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56" w:after="5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footerReference r:id="rId5" w:type="default"/>
          <w:footerReference r:id="rId6" w:type="even"/>
          <w:footnotePr>
            <w:numFmt w:val="decimal"/>
          </w:footnotePr>
          <w:pgSz w:w="12240" w:h="15840"/>
          <w:pgMar w:top="1701" w:right="0" w:bottom="907" w:left="0" w:header="0" w:footer="3" w:gutter="0"/>
          <w:cols w:space="720" w:num="1"/>
          <w:rtlGutter w:val="0"/>
          <w:docGrid w:linePitch="360" w:charSpace="0"/>
        </w:sectPr>
      </w:pPr>
    </w:p>
    <w:p>
      <w:pPr>
        <w:pStyle w:val="8"/>
        <w:keepNext/>
        <w:keepLines/>
        <w:widowControl w:val="0"/>
        <w:shd w:val="clear" w:color="auto" w:fill="auto"/>
        <w:bidi w:val="0"/>
        <w:spacing w:before="0" w:after="102"/>
        <w:ind w:left="380" w:right="0" w:firstLine="0"/>
        <w:jc w:val="left"/>
      </w:pPr>
      <w:bookmarkStart w:id="0" w:name="bookmark0"/>
      <w:r>
        <w:rPr>
          <w:rStyle w:val="9"/>
          <w:b w:val="0"/>
          <w:bCs w:val="0"/>
          <w:i w:val="0"/>
          <w:iCs w:val="0"/>
          <w:smallCaps w:val="0"/>
          <w:strike w:val="0"/>
        </w:rPr>
        <w:t>河南省财政厅</w:t>
      </w:r>
      <w:bookmarkEnd w:id="0"/>
    </w:p>
    <w:p>
      <w:pPr>
        <w:pStyle w:val="8"/>
        <w:keepNext/>
        <w:keepLines/>
        <w:widowControl w:val="0"/>
        <w:shd w:val="clear" w:color="auto" w:fill="auto"/>
        <w:bidi w:val="0"/>
        <w:spacing w:before="0" w:after="1070" w:line="792" w:lineRule="exact"/>
        <w:ind w:left="380" w:right="0" w:firstLine="0"/>
        <w:jc w:val="left"/>
      </w:pPr>
      <w:bookmarkStart w:id="1" w:name="bookmark1"/>
      <w:r>
        <w:rPr>
          <w:rStyle w:val="10"/>
          <w:b w:val="0"/>
          <w:bCs w:val="0"/>
          <w:i w:val="0"/>
          <w:iCs w:val="0"/>
          <w:smallCaps w:val="0"/>
          <w:strike w:val="0"/>
        </w:rPr>
        <w:t xml:space="preserve">河南省商务厅文件 </w:t>
      </w:r>
      <w:r>
        <w:rPr>
          <w:rStyle w:val="11"/>
          <w:b w:val="0"/>
          <w:bCs w:val="0"/>
          <w:i w:val="0"/>
          <w:iCs w:val="0"/>
          <w:smallCaps w:val="0"/>
          <w:strike w:val="0"/>
        </w:rPr>
        <w:t>河南省扶贫开发办公室</w:t>
      </w:r>
      <w:bookmarkEnd w:id="1"/>
    </w:p>
    <w:p>
      <w:pPr>
        <w:pStyle w:val="13"/>
        <w:keepNext w:val="0"/>
        <w:keepLines w:val="0"/>
        <w:widowControl w:val="0"/>
        <w:pBdr>
          <w:bottom w:val="single" w:color="auto" w:sz="4" w:space="1"/>
        </w:pBdr>
        <w:shd w:val="clear" w:color="auto" w:fill="auto"/>
        <w:bidi w:val="0"/>
        <w:spacing w:before="0" w:after="1157"/>
        <w:ind w:left="20" w:right="0" w:firstLine="0"/>
      </w:pPr>
      <w:r>
        <w:rPr>
          <w:color w:val="000000"/>
          <w:w w:val="100"/>
          <w:position w:val="0"/>
          <w:lang w:val="zh-CN" w:eastAsia="zh-CN" w:bidi="zh-CN"/>
        </w:rPr>
        <w:t>豫财贸〔2019〕21号</w:t>
      </w:r>
    </w:p>
    <w:p>
      <w:pPr>
        <w:pStyle w:val="15"/>
        <w:keepNext/>
        <w:keepLines/>
        <w:widowControl w:val="0"/>
        <w:shd w:val="clear" w:color="auto" w:fill="auto"/>
        <w:bidi w:val="0"/>
        <w:spacing w:before="0" w:after="247"/>
        <w:ind w:left="20" w:right="0" w:firstLine="0"/>
      </w:pPr>
      <w:bookmarkStart w:id="2" w:name="bookmark2"/>
      <w:r>
        <w:rPr>
          <w:color w:val="000000"/>
          <w:spacing w:val="0"/>
          <w:w w:val="100"/>
          <w:position w:val="0"/>
          <w:lang w:val="zh-CN" w:eastAsia="zh-CN" w:bidi="zh-CN"/>
        </w:rPr>
        <w:t>河南省财政厅河南省商务厅</w:t>
      </w:r>
      <w:r>
        <w:rPr>
          <w:color w:val="000000"/>
          <w:spacing w:val="0"/>
          <w:w w:val="100"/>
          <w:position w:val="0"/>
          <w:lang w:val="zh-CN" w:eastAsia="zh-CN" w:bidi="zh-CN"/>
        </w:rPr>
        <w:br w:type="textWrapping"/>
      </w:r>
      <w:r>
        <w:rPr>
          <w:color w:val="000000"/>
          <w:spacing w:val="0"/>
          <w:w w:val="100"/>
          <w:position w:val="0"/>
          <w:lang w:val="zh-CN" w:eastAsia="zh-CN" w:bidi="zh-CN"/>
        </w:rPr>
        <w:t>河南省扶贫开发办公室关于组织申报2019年</w:t>
      </w:r>
      <w:r>
        <w:rPr>
          <w:color w:val="000000"/>
          <w:spacing w:val="0"/>
          <w:w w:val="100"/>
          <w:position w:val="0"/>
          <w:lang w:val="zh-CN" w:eastAsia="zh-CN" w:bidi="zh-CN"/>
        </w:rPr>
        <w:br w:type="textWrapping"/>
      </w:r>
      <w:r>
        <w:rPr>
          <w:color w:val="000000"/>
          <w:spacing w:val="0"/>
          <w:w w:val="100"/>
          <w:position w:val="0"/>
          <w:lang w:val="zh-CN" w:eastAsia="zh-CN" w:bidi="zh-CN"/>
        </w:rPr>
        <w:t>国家级电子商务进农村综合示范县的通知</w:t>
      </w:r>
      <w:bookmarkEnd w:id="2"/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600" w:lineRule="exact"/>
        <w:ind w:left="0" w:right="0" w:firstLine="0"/>
        <w:jc w:val="left"/>
      </w:pPr>
      <w:r>
        <w:rPr>
          <w:color w:val="000000"/>
          <w:w w:val="100"/>
          <w:position w:val="0"/>
          <w:lang w:val="zh-CN" w:eastAsia="zh-CN" w:bidi="zh-CN"/>
        </w:rPr>
        <w:t>有关省辖市、省直管县（市）财政局、商务局、扶贫办：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600" w:lineRule="exact"/>
        <w:ind w:left="0" w:right="0" w:firstLine="660"/>
        <w:jc w:val="both"/>
        <w:sectPr>
          <w:type w:val="continuous"/>
          <w:pgSz w:w="12240" w:h="15840"/>
          <w:pgMar w:top="1701" w:right="1238" w:bottom="907" w:left="2036" w:header="0" w:footer="3" w:gutter="0"/>
          <w:cols w:space="720" w:num="1"/>
          <w:rtlGutter w:val="0"/>
          <w:docGrid w:linePitch="360" w:charSpace="0"/>
        </w:sectPr>
      </w:pPr>
      <w:r>
        <w:rPr>
          <w:color w:val="000000"/>
          <w:w w:val="100"/>
          <w:position w:val="0"/>
          <w:lang w:val="zh-CN" w:eastAsia="zh-CN" w:bidi="zh-CN"/>
        </w:rPr>
        <w:t xml:space="preserve">为贯彻落实中央及省委一号文件部署，推动农村电子商务深 入发展，进一步完善农村市场体系，促进农村流通现代化，助力 脱贫攻坚和乡村振兴，根据《财政部办公厅、商务部办公厅、国 务院扶贫办综合司关于开展2019年电子商务进农村综合示范工 作的通知》（财办建〔2019〕58号）要求，省财政厅、商务厅、 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600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扶贫办决定2019年继续组织申报国家级电子商务进农村综合示 范县（以下简称综合示范县）。现就有关事项通知如下：</w:t>
      </w:r>
    </w:p>
    <w:p>
      <w:pPr>
        <w:pStyle w:val="17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0"/>
        <w:ind w:left="0" w:right="0" w:firstLine="680"/>
        <w:jc w:val="both"/>
      </w:pPr>
      <w:r>
        <w:rPr>
          <w:rStyle w:val="18"/>
          <w:b w:val="0"/>
          <w:bCs w:val="0"/>
          <w:i w:val="0"/>
          <w:iCs w:val="0"/>
          <w:smallCaps w:val="0"/>
          <w:strike w:val="0"/>
        </w:rPr>
        <w:t>一、</w:t>
      </w:r>
      <w:r>
        <w:rPr>
          <w:rStyle w:val="18"/>
          <w:b w:val="0"/>
          <w:bCs w:val="0"/>
          <w:i w:val="0"/>
          <w:iCs w:val="0"/>
          <w:smallCaps w:val="0"/>
          <w:strike w:val="0"/>
        </w:rPr>
        <w:tab/>
      </w:r>
      <w:r>
        <w:rPr>
          <w:color w:val="000000"/>
          <w:w w:val="100"/>
          <w:position w:val="0"/>
          <w:lang w:val="zh-CN" w:eastAsia="zh-CN" w:bidi="zh-CN"/>
        </w:rPr>
        <w:t>申报范围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0" w:line="595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（一）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尚未纳入国家级综合示范、且具备基本条件的国贫县。 即：宜阳县、栾川县、社旗县、商城县、新县、潢川县、平舆 县、上蔡县、固始县、兰考县。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0" w:line="595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（二）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中央财政已支持过的国贫县及农村电商发展潜力较大 的非国贫县（不含市辖区）。申报对象为已支持过国贫县的，应 与我省同类县相比，具有相对较好的农村电商公共服务体系和产 业基础，发展潜力较大。申报对象为非国贫县的，应基本建立可 持续运营的农村电商公共服务体系，具备较好的产业、人才等基 础条件，农村网络零售额、农产品网络零售额、农村网商数量等 电商发展指标位于全省平均水平之上。</w:t>
      </w:r>
    </w:p>
    <w:p>
      <w:pPr>
        <w:pStyle w:val="17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0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二、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申报原则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418"/>
        </w:tabs>
        <w:bidi w:val="0"/>
        <w:spacing w:before="0" w:after="0" w:line="595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（一）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县（市）人民政府为申报主体。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418"/>
        </w:tabs>
        <w:bidi w:val="0"/>
        <w:spacing w:before="0" w:after="0" w:line="595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（二）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县（市）自愿申报，省辖市择优推荐。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0" w:line="595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（三）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中央财政以前年度支持过的示范县申报，资金使用和 项目建设需基本完成。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0" w:line="595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（四）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鼓励国贫县申报，前期工作成效显著、尚未摘帽的国 贫县优先支持。</w:t>
      </w:r>
    </w:p>
    <w:p>
      <w:pPr>
        <w:pStyle w:val="17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320" w:line="280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三、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工作程序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（一）确定申报数量。省商务厅、财政厅、扶贫办釆取因素 法，综合考虑农村电商工作情况和资金拨付率等指标确定有关省 辖市、省直管县申报数量上限（见附件2）。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（二）省辖市、省直管县（市）组织申报。省辖市财政局、 商务局、扶贫办对本辖区内申报的县（市）择优选拔，联合行文 向省财政厅、商务厅、扶贫办报送推荐报告及申报材料。省直管 县（市）人民政府直接向省财政厅、商务厅、扶贫办报送申报材 料。有关省辖市选拔办法和工作程序要适时公开，并经得起审 计、纪检等部门的检查。</w:t>
      </w:r>
    </w:p>
    <w:p>
      <w:pPr>
        <w:pStyle w:val="17"/>
        <w:keepNext w:val="0"/>
        <w:keepLines w:val="0"/>
        <w:widowControl w:val="0"/>
        <w:shd w:val="clear" w:color="auto" w:fill="auto"/>
        <w:tabs>
          <w:tab w:val="left" w:pos="1341"/>
        </w:tabs>
        <w:bidi w:val="0"/>
        <w:spacing w:before="0" w:after="0" w:line="586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四、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申报时间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申报截止时间为5月7日上午12时。逾期未申报的，视为 自动放弃。同时，将申报材料电子版发至</w:t>
      </w:r>
      <w:r>
        <w:rPr>
          <w:rStyle w:val="19"/>
          <w:b w:val="0"/>
          <w:bCs w:val="0"/>
          <w:i w:val="0"/>
          <w:iCs w:val="0"/>
          <w:smallCaps w:val="0"/>
          <w:strike w:val="0"/>
        </w:rPr>
        <w:t>swtjsc</w:t>
      </w:r>
      <w:r>
        <w:rPr>
          <w:color w:val="000000"/>
          <w:w w:val="100"/>
          <w:position w:val="0"/>
          <w:lang w:val="en-US" w:eastAsia="en-US" w:bidi="en-US"/>
        </w:rPr>
        <w:t xml:space="preserve">@ 126. </w:t>
      </w:r>
      <w:r>
        <w:rPr>
          <w:rStyle w:val="19"/>
          <w:b w:val="0"/>
          <w:bCs w:val="0"/>
          <w:i w:val="0"/>
          <w:iCs w:val="0"/>
          <w:smallCaps w:val="0"/>
          <w:strike w:val="0"/>
        </w:rPr>
        <w:t>com</w:t>
      </w:r>
      <w:r>
        <w:rPr>
          <w:color w:val="000000"/>
          <w:w w:val="100"/>
          <w:position w:val="0"/>
          <w:lang w:val="zh-CN" w:eastAsia="zh-CN" w:bidi="zh-CN"/>
        </w:rPr>
        <w:t xml:space="preserve">和 </w:t>
      </w:r>
      <w:r>
        <w:rPr>
          <w:rStyle w:val="19"/>
          <w:b w:val="0"/>
          <w:bCs w:val="0"/>
          <w:i w:val="0"/>
          <w:iCs w:val="0"/>
          <w:smallCaps w:val="0"/>
          <w:strike w:val="0"/>
        </w:rPr>
        <w:t>hnszbbl</w:t>
      </w:r>
      <w:r>
        <w:rPr>
          <w:color w:val="000000"/>
          <w:w w:val="100"/>
          <w:position w:val="0"/>
          <w:lang w:val="en-US" w:eastAsia="en-US" w:bidi="en-US"/>
        </w:rPr>
        <w:t xml:space="preserve">23@163. </w:t>
      </w:r>
      <w:r>
        <w:rPr>
          <w:rStyle w:val="19"/>
          <w:b w:val="0"/>
          <w:bCs w:val="0"/>
          <w:i w:val="0"/>
          <w:iCs w:val="0"/>
          <w:smallCaps w:val="0"/>
          <w:strike w:val="0"/>
        </w:rPr>
        <w:t>com</w:t>
      </w:r>
      <w:r>
        <w:rPr>
          <w:color w:val="000000"/>
          <w:w w:val="100"/>
          <w:position w:val="0"/>
          <w:lang w:val="en-US" w:eastAsia="en-US" w:bidi="en-US"/>
        </w:rPr>
        <w:t xml:space="preserve"> </w:t>
      </w:r>
      <w:r>
        <w:rPr>
          <w:color w:val="000000"/>
          <w:w w:val="100"/>
          <w:position w:val="0"/>
          <w:lang w:val="zh-CN" w:eastAsia="zh-CN" w:bidi="zh-CN"/>
        </w:rPr>
        <w:t>邮箱。</w:t>
      </w:r>
    </w:p>
    <w:p>
      <w:pPr>
        <w:pStyle w:val="17"/>
        <w:keepNext w:val="0"/>
        <w:keepLines w:val="0"/>
        <w:widowControl w:val="0"/>
        <w:shd w:val="clear" w:color="auto" w:fill="auto"/>
        <w:tabs>
          <w:tab w:val="left" w:pos="1341"/>
        </w:tabs>
        <w:bidi w:val="0"/>
        <w:spacing w:before="0" w:after="24" w:line="280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五、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申报材料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0" w:line="600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（一）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省辖市商务局、财政局、扶贫办推荐报告。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0" w:line="600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（二）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县（市）人民政府申报文件。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398"/>
        </w:tabs>
        <w:bidi w:val="0"/>
        <w:spacing w:before="0" w:after="0" w:line="600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（三）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县（市）工作方案。</w:t>
      </w:r>
    </w:p>
    <w:p>
      <w:pPr>
        <w:pStyle w:val="13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085"/>
        </w:tabs>
        <w:bidi w:val="0"/>
        <w:spacing w:before="0" w:after="0" w:line="600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中央财政尚未支持的国贫县工作方案：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341"/>
        </w:tabs>
        <w:bidi w:val="0"/>
        <w:spacing w:before="0" w:after="0" w:line="600" w:lineRule="exact"/>
        <w:ind w:left="0" w:right="0" w:firstLine="660"/>
        <w:jc w:val="both"/>
      </w:pPr>
      <w:r>
        <w:rPr>
          <w:color w:val="000000"/>
          <w:w w:val="100"/>
          <w:position w:val="0"/>
          <w:lang w:val="en-US" w:eastAsia="en-US" w:bidi="en-US"/>
        </w:rPr>
        <w:t>（1）</w:t>
      </w:r>
      <w:r>
        <w:rPr>
          <w:color w:val="000000"/>
          <w:w w:val="100"/>
          <w:position w:val="0"/>
          <w:lang w:val="en-US" w:eastAsia="en-US" w:bidi="en-US"/>
        </w:rPr>
        <w:tab/>
      </w:r>
      <w:r>
        <w:rPr>
          <w:color w:val="000000"/>
          <w:w w:val="100"/>
          <w:position w:val="0"/>
          <w:lang w:val="zh-CN" w:eastAsia="zh-CN" w:bidi="zh-CN"/>
        </w:rPr>
        <w:t>基本县情，本地物流、市场、产品、人才等梳理情况。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341"/>
        </w:tabs>
        <w:bidi w:val="0"/>
        <w:spacing w:before="0" w:after="0" w:line="600" w:lineRule="exact"/>
        <w:ind w:left="0" w:right="0" w:firstLine="660"/>
        <w:jc w:val="both"/>
      </w:pPr>
      <w:r>
        <w:rPr>
          <w:color w:val="000000"/>
          <w:w w:val="100"/>
          <w:position w:val="0"/>
          <w:lang w:val="en-US" w:eastAsia="en-US" w:bidi="en-US"/>
        </w:rPr>
        <w:t>（2）</w:t>
      </w:r>
      <w:r>
        <w:rPr>
          <w:color w:val="000000"/>
          <w:w w:val="100"/>
          <w:position w:val="0"/>
          <w:lang w:val="en-US" w:eastAsia="en-US" w:bidi="en-US"/>
        </w:rPr>
        <w:tab/>
      </w:r>
      <w:r>
        <w:rPr>
          <w:color w:val="000000"/>
          <w:w w:val="100"/>
          <w:position w:val="0"/>
          <w:lang w:val="zh-CN" w:eastAsia="zh-CN" w:bidi="zh-CN"/>
        </w:rPr>
        <w:t>围绕脱贫攻坚，有关工作措施、量化目标，主要建设方 向、投入机制、资金监管制度、项目现场监督机制等。</w:t>
      </w:r>
    </w:p>
    <w:p>
      <w:pPr>
        <w:pStyle w:val="13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085"/>
        </w:tabs>
        <w:bidi w:val="0"/>
        <w:spacing w:before="0" w:after="0" w:line="600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中央财政已支持过及农村电商发展潜力较大县工作方案：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600" w:lineRule="exact"/>
        <w:ind w:left="0" w:right="0" w:firstLine="660"/>
        <w:jc w:val="both"/>
      </w:pPr>
      <w:r>
        <w:rPr>
          <w:color w:val="000000"/>
          <w:w w:val="100"/>
          <w:position w:val="0"/>
          <w:lang w:val="en-US" w:eastAsia="en-US" w:bidi="en-US"/>
        </w:rPr>
        <w:t>（1）</w:t>
      </w:r>
      <w:r>
        <w:rPr>
          <w:color w:val="000000"/>
          <w:w w:val="100"/>
          <w:position w:val="0"/>
          <w:lang w:val="zh-CN" w:eastAsia="zh-CN" w:bidi="zh-CN"/>
        </w:rPr>
        <w:t>基本县情、本地特色产业、农村电商等发展概况。以前 年度支持过的示范县还需对前期工作进展、政策机制、缋效评 价、扶贫带贫或产销对接成效等进行总结。</w:t>
      </w:r>
    </w:p>
    <w:p>
      <w:pPr>
        <w:pStyle w:val="13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265"/>
        </w:tabs>
        <w:bidi w:val="0"/>
        <w:spacing w:before="0" w:after="0" w:line="590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重点围绕建立完善农村现代市场体系，扶持优势产业， 推进品牌、标准、品质控制等，制定打造综合示范“升级版”的 工作目标和措施。</w:t>
      </w:r>
    </w:p>
    <w:p>
      <w:pPr>
        <w:pStyle w:val="13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1265"/>
        </w:tabs>
        <w:bidi w:val="0"/>
        <w:spacing w:before="0" w:after="0" w:line="590" w:lineRule="exact"/>
        <w:ind w:left="0" w:right="0" w:firstLine="660"/>
        <w:jc w:val="both"/>
      </w:pPr>
      <w:r>
        <w:rPr>
          <w:color w:val="000000"/>
          <w:w w:val="100"/>
          <w:position w:val="0"/>
          <w:lang w:val="zh-CN" w:eastAsia="zh-CN" w:bidi="zh-CN"/>
        </w:rPr>
        <w:t>完善农村电商公共服务体系市场化、可持续发展机制的 具体举措。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244" w:line="586" w:lineRule="exact"/>
        <w:ind w:left="1920" w:right="2900" w:hanging="1260"/>
        <w:jc w:val="both"/>
      </w:pPr>
      <w:r>
        <w:rPr>
          <w:color w:val="000000"/>
          <w:w w:val="100"/>
          <w:position w:val="0"/>
          <w:lang w:val="zh-CN" w:eastAsia="zh-CN" w:bidi="zh-CN"/>
        </w:rPr>
        <w:t xml:space="preserve">联系人：省财政厅寇成生65808993 </w:t>
      </w:r>
      <w:r>
        <w:rPr>
          <w:rStyle w:val="20"/>
          <w:b w:val="0"/>
          <w:bCs w:val="0"/>
          <w:i w:val="0"/>
          <w:iCs w:val="0"/>
          <w:smallCaps w:val="0"/>
          <w:strike w:val="0"/>
        </w:rPr>
        <w:t>省商务厅党莎</w:t>
      </w:r>
      <w:r>
        <w:rPr>
          <w:color w:val="000000"/>
          <w:w w:val="100"/>
          <w:position w:val="0"/>
          <w:lang w:val="zh-CN" w:eastAsia="zh-CN" w:bidi="zh-CN"/>
        </w:rPr>
        <w:t xml:space="preserve"> 63576837 </w:t>
      </w:r>
      <w:r>
        <w:rPr>
          <w:rStyle w:val="21"/>
          <w:b w:val="0"/>
          <w:bCs w:val="0"/>
          <w:i w:val="0"/>
          <w:iCs w:val="0"/>
          <w:smallCaps w:val="0"/>
          <w:strike w:val="0"/>
        </w:rPr>
        <w:t>省扶贫办崔海成</w:t>
      </w:r>
      <w:r>
        <w:rPr>
          <w:color w:val="000000"/>
          <w:w w:val="100"/>
          <w:position w:val="0"/>
          <w:lang w:val="zh-CN" w:eastAsia="zh-CN" w:bidi="zh-CN"/>
        </w:rPr>
        <w:t xml:space="preserve"> 65919565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1" w:lineRule="exact"/>
        <w:ind w:left="2080" w:right="0"/>
        <w:jc w:val="both"/>
      </w:pPr>
      <w:r>
        <w:rPr>
          <w:color w:val="000000"/>
          <w:w w:val="100"/>
          <w:position w:val="0"/>
          <w:lang w:val="zh-CN" w:eastAsia="zh-CN" w:bidi="zh-CN"/>
        </w:rPr>
        <w:t>附件：</w:t>
      </w:r>
      <w:r>
        <w:rPr>
          <w:color w:val="000000"/>
          <w:w w:val="100"/>
          <w:position w:val="0"/>
          <w:lang w:val="en-US" w:eastAsia="en-US" w:bidi="en-US"/>
        </w:rPr>
        <w:t>1.</w:t>
      </w:r>
      <w:r>
        <w:rPr>
          <w:color w:val="000000"/>
          <w:w w:val="100"/>
          <w:position w:val="0"/>
          <w:lang w:val="zh-CN" w:eastAsia="zh-CN" w:bidi="zh-CN"/>
        </w:rPr>
        <w:t>《财政部办公厅商务部办公厅国务院扶贫办综合 司关于开展2019年电子商务进农村综合示范工作 的通知》(财办建〔2019〕58号)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584"/>
        <w:ind w:left="0" w:right="0" w:firstLine="0"/>
        <w:jc w:val="right"/>
      </w:pPr>
      <w:r>
        <w:rPr>
          <w:color w:val="000000"/>
          <w:w w:val="100"/>
          <w:position w:val="0"/>
          <w:lang w:val="en-US" w:eastAsia="en-US" w:bidi="en-US"/>
        </w:rPr>
        <w:t>2.</w:t>
      </w:r>
      <w:r>
        <w:rPr>
          <w:color w:val="000000"/>
          <w:w w:val="100"/>
          <w:position w:val="0"/>
          <w:lang w:val="zh-CN" w:eastAsia="zh-CN" w:bidi="zh-CN"/>
        </w:rPr>
        <w:t>有关省辖市、省直管县(市)示范县申报数量上限</w:t>
      </w:r>
    </w:p>
    <w:p>
      <w:pPr>
        <w:framePr w:h="2712" w:wrap="notBeside" w:vAnchor="text" w:hAnchor="text" w:xAlign="center" w:y="1"/>
        <w:widowControl w:val="0"/>
        <w:jc w:val="center"/>
        <w:rPr>
          <w:sz w:val="2"/>
          <w:szCs w:val="2"/>
        </w:rPr>
      </w:pPr>
      <w:r>
        <w:pict>
          <v:shape id="_x0000_i1025" o:spt="75" type="#_x0000_t75" style="height:136pt;width:414pt;" filled="f" o:preferrelative="t" stroked="f" coordsize="21600,21600">
            <v:path/>
            <v:fill on="f" focussize="0,0"/>
            <v:stroke on="f" joinstyle="miter"/>
            <v:imagedata r:id="rId18" r:href="rId19" o:title=""/>
            <o:lock v:ext="edit" aspectratio="t"/>
            <w10:wrap type="none"/>
            <w10:anchorlock/>
          </v:shape>
        </w:pict>
      </w:r>
    </w:p>
    <w:p>
      <w:pPr>
        <w:widowControl w:val="0"/>
        <w:rPr>
          <w:sz w:val="2"/>
          <w:szCs w:val="2"/>
        </w:rPr>
      </w:pPr>
    </w:p>
    <w:p>
      <w:pPr>
        <w:pStyle w:val="23"/>
        <w:keepNext w:val="0"/>
        <w:keepLines w:val="0"/>
        <w:widowControl w:val="0"/>
        <w:shd w:val="clear" w:color="auto" w:fill="auto"/>
        <w:bidi w:val="0"/>
        <w:spacing w:before="0" w:after="264"/>
        <w:ind w:left="0" w:right="0" w:firstLine="0"/>
        <w:jc w:val="left"/>
      </w:pPr>
      <w:r>
        <w:rPr>
          <w:color w:val="000000"/>
          <w:w w:val="100"/>
          <w:position w:val="0"/>
          <w:lang w:val="zh-CN" w:eastAsia="zh-CN" w:bidi="zh-CN"/>
        </w:rPr>
        <w:t>附件1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1155"/>
        <w:ind w:left="0" w:right="0" w:firstLine="0"/>
        <w:jc w:val="left"/>
      </w:pPr>
      <w:r>
        <w:rPr>
          <w:color w:val="000000"/>
          <w:w w:val="100"/>
          <w:position w:val="0"/>
          <w:lang w:val="zh-CN" w:eastAsia="zh-CN" w:bidi="zh-CN"/>
        </w:rPr>
        <w:t>特急</w:t>
      </w:r>
    </w:p>
    <w:p>
      <w:pPr>
        <w:pStyle w:val="25"/>
        <w:keepNext/>
        <w:keepLines/>
        <w:widowControl w:val="0"/>
        <w:shd w:val="clear" w:color="auto" w:fill="auto"/>
        <w:bidi w:val="0"/>
        <w:spacing w:before="0" w:after="1025"/>
        <w:ind w:left="720" w:right="360" w:firstLine="0"/>
        <w:jc w:val="both"/>
      </w:pPr>
      <w:bookmarkStart w:id="3" w:name="bookmark3"/>
      <w:r>
        <w:rPr>
          <w:color w:val="000000"/>
          <w:position w:val="0"/>
          <w:lang w:val="zh-CN" w:eastAsia="zh-CN" w:bidi="zh-CN"/>
        </w:rPr>
        <w:t xml:space="preserve">中华人民共和国财政部办公厅 中华人民共和国商务部办公厅 </w:t>
      </w:r>
      <w:r>
        <w:rPr>
          <w:rStyle w:val="26"/>
          <w:b w:val="0"/>
          <w:bCs w:val="0"/>
          <w:i w:val="0"/>
          <w:iCs w:val="0"/>
          <w:smallCaps w:val="0"/>
          <w:strike w:val="0"/>
        </w:rPr>
        <w:t>国务院扶贫开发领导小组办公室综合司</w:t>
      </w:r>
      <w:bookmarkEnd w:id="3"/>
    </w:p>
    <w:p>
      <w:pPr>
        <w:pStyle w:val="13"/>
        <w:keepNext w:val="0"/>
        <w:keepLines w:val="0"/>
        <w:widowControl w:val="0"/>
        <w:pBdr>
          <w:bottom w:val="single" w:color="auto" w:sz="4" w:space="1"/>
        </w:pBdr>
        <w:shd w:val="clear" w:color="auto" w:fill="auto"/>
        <w:bidi w:val="0"/>
        <w:spacing w:before="0" w:after="1126"/>
        <w:ind w:left="20" w:right="0" w:firstLine="0"/>
      </w:pPr>
      <w:r>
        <w:rPr>
          <w:color w:val="000000"/>
          <w:w w:val="100"/>
          <w:position w:val="0"/>
          <w:lang w:val="zh-CN" w:eastAsia="zh-CN" w:bidi="zh-CN"/>
        </w:rPr>
        <w:t>财办建〔2019〕58号</w:t>
      </w:r>
    </w:p>
    <w:p>
      <w:pPr>
        <w:pStyle w:val="28"/>
        <w:keepNext w:val="0"/>
        <w:keepLines w:val="0"/>
        <w:widowControl w:val="0"/>
        <w:shd w:val="clear" w:color="auto" w:fill="auto"/>
        <w:bidi w:val="0"/>
        <w:spacing w:before="0" w:after="1050"/>
        <w:ind w:left="20" w:right="0" w:firstLine="0"/>
      </w:pPr>
      <w:r>
        <w:rPr>
          <w:color w:val="000000"/>
          <w:spacing w:val="0"/>
          <w:w w:val="100"/>
          <w:position w:val="0"/>
          <w:lang w:val="zh-CN" w:eastAsia="zh-CN" w:bidi="zh-CN"/>
        </w:rPr>
        <w:t>财政部办公厅商务部办公厅国务院扶贫办</w:t>
      </w:r>
      <w:r>
        <w:rPr>
          <w:color w:val="000000"/>
          <w:spacing w:val="0"/>
          <w:w w:val="100"/>
          <w:position w:val="0"/>
          <w:lang w:val="zh-CN" w:eastAsia="zh-CN" w:bidi="zh-CN"/>
        </w:rPr>
        <w:br w:type="textWrapping"/>
      </w:r>
      <w:r>
        <w:rPr>
          <w:color w:val="000000"/>
          <w:spacing w:val="0"/>
          <w:w w:val="100"/>
          <w:position w:val="0"/>
          <w:lang w:val="zh-CN" w:eastAsia="zh-CN" w:bidi="zh-CN"/>
        </w:rPr>
        <w:t>综合司关于开展2019年电子商务进农村</w:t>
      </w:r>
      <w:r>
        <w:rPr>
          <w:color w:val="000000"/>
          <w:spacing w:val="0"/>
          <w:w w:val="100"/>
          <w:position w:val="0"/>
          <w:lang w:val="zh-CN" w:eastAsia="zh-CN" w:bidi="zh-CN"/>
        </w:rPr>
        <w:br w:type="textWrapping"/>
      </w:r>
      <w:r>
        <w:rPr>
          <w:color w:val="000000"/>
          <w:spacing w:val="0"/>
          <w:w w:val="100"/>
          <w:position w:val="0"/>
          <w:lang w:val="zh-CN" w:eastAsia="zh-CN" w:bidi="zh-CN"/>
        </w:rPr>
        <w:t>综合示范工作的通知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0"/>
        <w:jc w:val="left"/>
      </w:pPr>
      <w:r>
        <w:rPr>
          <w:color w:val="000000"/>
          <w:w w:val="100"/>
          <w:position w:val="0"/>
          <w:lang w:val="zh-CN" w:eastAsia="zh-CN" w:bidi="zh-CN"/>
        </w:rPr>
        <w:t>有关省、自治区、直辖市财政、商务、扶贫主管部门：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20"/>
        <w:jc w:val="both"/>
      </w:pPr>
      <w:r>
        <w:rPr>
          <w:color w:val="000000"/>
          <w:w w:val="100"/>
          <w:position w:val="0"/>
          <w:lang w:val="zh-CN" w:eastAsia="zh-CN" w:bidi="zh-CN"/>
        </w:rPr>
        <w:t xml:space="preserve">为贯彻落实中央一号文件部署，推动农村电子商务深入发展， 进一步完善农村市场体系，促进农村流通现代化，助力脱贫攻坚 和乡村振兴，财政部、商务部、国务院扶贫办决定2019年继续开 展电子商务进农村综合示范（以下称综合示范）。现就有关事项通 </w:t>
      </w:r>
      <w:r>
        <w:rPr>
          <w:rStyle w:val="29"/>
          <w:b w:val="0"/>
          <w:bCs w:val="0"/>
          <w:i w:val="0"/>
          <w:iCs w:val="0"/>
          <w:smallCaps w:val="0"/>
          <w:strike w:val="0"/>
        </w:rPr>
        <w:t>知如下：</w:t>
      </w:r>
    </w:p>
    <w:p>
      <w:pPr>
        <w:pStyle w:val="17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>一</w:t>
      </w:r>
      <w:r>
        <w:rPr>
          <w:rStyle w:val="31"/>
          <w:b w:val="0"/>
          <w:bCs w:val="0"/>
          <w:i w:val="0"/>
          <w:iCs w:val="0"/>
          <w:smallCaps w:val="0"/>
          <w:strike w:val="0"/>
        </w:rPr>
        <w:t>V</w:t>
      </w:r>
      <w:r>
        <w:rPr>
          <w:color w:val="000000"/>
          <w:w w:val="100"/>
          <w:position w:val="0"/>
          <w:lang w:val="zh-CN" w:eastAsia="zh-CN" w:bidi="zh-CN"/>
        </w:rPr>
        <w:t>指导思想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>以习近平新时代中国特色社会主义思想为指导，全面贯彻党 的十九大和十九届二中、三中全会精神，认真落实党中央、国务 院部署，聚焦脱贫攻坚和乡村振兴，以电子商务进农村综合示范 为抓手，加强农村流通设施建设，提升公共服务水平，促进产销 对接，探索数据驱动，打造综合示范“升级版”，构建普惠共享、 线上线下融合、工业品下乡和农产品进城畅通的农村现代流通体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3725"/>
        </w:tabs>
        <w:bidi w:val="0"/>
        <w:spacing w:before="0" w:after="52"/>
        <w:ind w:left="0" w:right="0" w:firstLine="0"/>
        <w:jc w:val="both"/>
      </w:pPr>
      <w:r>
        <w:rPr>
          <w:color w:val="000000"/>
          <w:w w:val="100"/>
          <w:position w:val="0"/>
          <w:lang w:val="zh-CN" w:eastAsia="zh-CN" w:bidi="zh-CN"/>
        </w:rPr>
        <w:t>系。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-</w:t>
      </w:r>
    </w:p>
    <w:p>
      <w:pPr>
        <w:pStyle w:val="17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>二、基本原则与目标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>（一）基本原则。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>中央统筹，地方落实。健全中央统筹、省负总责、市县抓落 实的管理体制。中央部门在政策、资金等方面创造条件，加强工 作指导。省级主管部门结合实际细化政策措施，自主选择示范县， 做好绩效评价和监督检查。示范地区自主统筹资金和项目，因地 制宜，推动政策精准落实。进一步压实各级主体责任，强化绩效 管理，推动政策发挥实效。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700"/>
        <w:jc w:val="left"/>
      </w:pPr>
      <w:r>
        <w:rPr>
          <w:color w:val="000000"/>
          <w:w w:val="100"/>
          <w:position w:val="0"/>
          <w:lang w:val="zh-CN" w:eastAsia="zh-CN" w:bidi="zh-CN"/>
        </w:rPr>
        <w:t>助力扶贫，靶向发力。推动综合示范对具备条件的国家扶贫 开发工作重点县和集中连片特殊困难县（以下称国贫县）实现全 覆盖。支持贫困地区特别是“三区三州”深度贫困地区在物流、 培训、供应链等项目建设上，向具备条件的建档立卡贫困村、贫 困户倾斜，加快补齐农村流通设施短板，完善农村电商公共服务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0"/>
        <w:jc w:val="both"/>
      </w:pPr>
      <w:r>
        <w:rPr>
          <w:color w:val="000000"/>
          <w:w w:val="100"/>
          <w:position w:val="0"/>
          <w:lang w:val="zh-CN" w:eastAsia="zh-CN" w:bidi="zh-CN"/>
        </w:rPr>
        <w:t>体系，促进产销对接，完善利益联结机制，因地制宜探索将农户 纳入农村电商发展链条，让电商发展成果惠及更多贫困群众。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00"/>
        <w:jc w:val="left"/>
      </w:pPr>
      <w:r>
        <w:rPr>
          <w:color w:val="000000"/>
          <w:w w:val="100"/>
          <w:position w:val="0"/>
          <w:lang w:val="zh-CN" w:eastAsia="zh-CN" w:bidi="zh-CN"/>
        </w:rPr>
        <w:t>挖掘潜力，巩固提升。对产业基础较好的示范县，进一步挖 掘农村电商发展潜力，打造综合示范“升级版”，促进脱贫攻坚和 乡村振兴的有效衔接。深化电商在农业农村中的应用，加强品牌 培育，提升标准化水平，提高品控能力，推动电商与特色农业、 乡村旅游、民俗文化等地方优势产业的有机融合，形成农村电商 可持续的市场化运营机制，促进农民稳定增收，巩固提升电商扶 贫成效。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>强化激励，鼓励创新。加强典型激励支持，鼓励农村电商发 展水平较好的地区探索农村现代流通和县域电商发展新模式。以 服务乡村振兴发展和新型城镇化为导向，以数据驱动为核心，面 向“三农”创新大数据、云服务、智慧物流等技术应用，培育辐 射带动效应较强的电商产业集聚区，加强创新孵化的引导和接入， 总结推广成熟经验，更好地服务农业农村现代化。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00"/>
        <w:jc w:val="left"/>
      </w:pPr>
      <w:r>
        <w:rPr>
          <w:color w:val="000000"/>
          <w:w w:val="100"/>
          <w:position w:val="0"/>
          <w:lang w:val="zh-CN" w:eastAsia="zh-CN" w:bidi="zh-CN"/>
        </w:rPr>
        <w:t>（二）发展目标。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00"/>
        <w:jc w:val="left"/>
      </w:pPr>
      <w:r>
        <w:rPr>
          <w:color w:val="000000"/>
          <w:w w:val="100"/>
          <w:position w:val="0"/>
          <w:lang w:val="zh-CN" w:eastAsia="zh-CN" w:bidi="zh-CN"/>
        </w:rPr>
        <w:t>在农村流通、电商扶贫、农业供给侧结构性改革等领域培育 一批各具特色、经验可复制推广的示范县。示范县农村电商加快 发展，显著提升农村流通基础设施和服务水平，促进扶贫带贫、 产销对接、便民消费等成效明显，农村网络零售额、农产品网络 零售额等指标整体增速高于全国农村平均水平。“三区三州”深 度贫困地区可结合实际，制定合理可行的发展目标。</w:t>
      </w:r>
    </w:p>
    <w:p>
      <w:pPr>
        <w:pStyle w:val="33"/>
        <w:keepNext w:val="0"/>
        <w:keepLines w:val="0"/>
        <w:widowControl w:val="0"/>
        <w:shd w:val="clear" w:color="auto" w:fill="auto"/>
        <w:bidi w:val="0"/>
        <w:spacing w:before="0" w:after="24"/>
        <w:ind w:left="0" w:right="0" w:firstLine="700"/>
        <w:jc w:val="both"/>
      </w:pPr>
      <w:r>
        <w:rPr>
          <w:color w:val="000000"/>
          <w:spacing w:val="0"/>
          <w:w w:val="100"/>
          <w:position w:val="0"/>
          <w:lang w:val="zh-CN" w:eastAsia="zh-CN" w:bidi="zh-CN"/>
        </w:rPr>
        <w:t>三、申报范围及要求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95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>2019年综合示范对具备条件的国贫县实现全覆盖，在全国范 围内择优支持一批前期工作基础较好、发展潜力较大的县，并加 强对典型县的激励支持。具体申报范围如下：</w:t>
      </w:r>
    </w:p>
    <w:p>
      <w:pPr>
        <w:pStyle w:val="30"/>
        <w:keepNext w:val="0"/>
        <w:keepLines w:val="0"/>
        <w:widowControl w:val="0"/>
        <w:shd w:val="clear" w:color="auto" w:fill="auto"/>
        <w:tabs>
          <w:tab w:val="left" w:pos="1567"/>
        </w:tabs>
        <w:bidi w:val="0"/>
        <w:spacing w:before="0" w:after="0" w:line="590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>（一）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未纳入综合示范、且具备基本条件的国贫县。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>有关省级主管部门应全面梳理未获支持的国贫县情况，综合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0"/>
        <w:jc w:val="both"/>
      </w:pPr>
      <w:r>
        <w:rPr>
          <w:color w:val="000000"/>
          <w:w w:val="100"/>
          <w:position w:val="0"/>
          <w:lang w:val="zh-CN" w:eastAsia="zh-CN" w:bidi="zh-CN"/>
        </w:rPr>
        <w:t>物流、网络、产品等农村电商发展客观要素，自主确定纳入示范 范围的基本条件，支持具备条件的国贫县申报。对不具备基本条 件的国贫县，应实事求是探索以结对帮扶、项目共享、合作培训 等其他方式进行帮扶。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700"/>
        <w:jc w:val="left"/>
      </w:pPr>
      <w:r>
        <w:rPr>
          <w:color w:val="000000"/>
          <w:w w:val="100"/>
          <w:position w:val="0"/>
          <w:lang w:val="zh-CN" w:eastAsia="zh-CN" w:bidi="zh-CN"/>
        </w:rPr>
        <w:t>支持西藏自治区以整区推进形式申报。有关省级主管部门应 立足本地农村产品、市场、人才等实际，制定合理可行的综合示 范工作方案，实事求是确定自治区农村电商发展目标、支持方向 和建设内容，着力推进资金、项目、物流、服务、产品等统筹， 坚持点线面结合，避免“小而散”和低水平建设，切实提升自治 区农村流通水平，助力脱贫攻坚和乡村振兴。商务部、财政部、 扶贫办将在市场营销、专家咨询、企业帮扶等方面协调资源。</w:t>
      </w:r>
    </w:p>
    <w:p>
      <w:pPr>
        <w:pStyle w:val="30"/>
        <w:keepNext w:val="0"/>
        <w:keepLines w:val="0"/>
        <w:widowControl w:val="0"/>
        <w:shd w:val="clear" w:color="auto" w:fill="auto"/>
        <w:tabs>
          <w:tab w:val="left" w:pos="1602"/>
        </w:tabs>
        <w:bidi w:val="0"/>
        <w:spacing w:before="0" w:after="0" w:line="590" w:lineRule="exact"/>
        <w:ind w:left="0" w:right="0" w:firstLine="700"/>
        <w:jc w:val="both"/>
      </w:pPr>
      <w:r>
        <w:rPr>
          <w:rStyle w:val="34"/>
          <w:b w:val="0"/>
          <w:bCs w:val="0"/>
          <w:i w:val="0"/>
          <w:iCs w:val="0"/>
          <w:smallCaps w:val="0"/>
          <w:strike w:val="0"/>
        </w:rPr>
        <w:t>（二）</w:t>
      </w:r>
      <w:r>
        <w:rPr>
          <w:rStyle w:val="34"/>
          <w:b w:val="0"/>
          <w:bCs w:val="0"/>
          <w:i w:val="0"/>
          <w:iCs w:val="0"/>
          <w:smallCaps w:val="0"/>
          <w:strike w:val="0"/>
        </w:rPr>
        <w:tab/>
      </w:r>
      <w:r>
        <w:rPr>
          <w:color w:val="000000"/>
          <w:w w:val="100"/>
          <w:position w:val="0"/>
          <w:lang w:val="zh-CN" w:eastAsia="zh-CN" w:bidi="zh-CN"/>
        </w:rPr>
        <w:t>已支持过的国贫县及农村电商发展潜力较大的县</w:t>
      </w:r>
      <w:r>
        <w:rPr>
          <w:rStyle w:val="34"/>
          <w:b w:val="0"/>
          <w:bCs w:val="0"/>
          <w:i w:val="0"/>
          <w:iCs w:val="0"/>
          <w:smallCaps w:val="0"/>
          <w:strike w:val="0"/>
        </w:rPr>
        <w:t xml:space="preserve">（不 </w:t>
      </w:r>
      <w:r>
        <w:rPr>
          <w:color w:val="000000"/>
          <w:w w:val="100"/>
          <w:position w:val="0"/>
          <w:lang w:val="zh-CN" w:eastAsia="zh-CN" w:bidi="zh-CN"/>
        </w:rPr>
        <w:t>含市辖区）。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700"/>
        <w:jc w:val="both"/>
      </w:pPr>
      <w:r>
        <w:rPr>
          <w:color w:val="000000"/>
          <w:w w:val="100"/>
          <w:position w:val="0"/>
          <w:lang w:val="zh-CN" w:eastAsia="zh-CN" w:bidi="zh-CN"/>
        </w:rPr>
        <w:t xml:space="preserve">申报对象为已支持过国贫县的，应与本省（区）同类县相比, 具有相对较好的农村电商公共服务体系和产业基础，发展潜力较 大。申报对象为非国贫县的，应基本建立可持续运营的农村电商 </w:t>
      </w:r>
      <w:r>
        <w:rPr>
          <w:rStyle w:val="29"/>
          <w:b w:val="0"/>
          <w:bCs w:val="0"/>
          <w:i w:val="0"/>
          <w:iCs w:val="0"/>
          <w:smallCaps w:val="0"/>
          <w:strike w:val="0"/>
        </w:rPr>
        <w:t>公共服务体系，具备较好的产业、人才等基础条件，农村网络零 售额、农产品网络零售额、农村网商数等电商发展指标位于本省 平均水平之上。以前年度支持过的示范县申报，资金拨付和项目 建设需基本完成。申报方案须紧扣打造综合示范“升级版”，围绕 建立完善农村现代市场体系，进一步挖掘农村电商潜力，提高农 村流通效率，加强农村产品的品牌、品质控制和标准体系建设， 强化益贫带贫利益联结机制，巩固脱贫成效，促进乡村振兴。工 作目标可量化、可考核。鼓励国贫县申报，已支持国贫县数量不 得低于此类县申报数量的50%,其中，前期工作成效显著、尚未摘 帽的国贫县优先支持。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/>
        <w:ind w:left="800" w:right="0" w:firstLine="0"/>
        <w:jc w:val="left"/>
      </w:pPr>
      <w:r>
        <w:rPr>
          <w:rStyle w:val="35"/>
          <w:b w:val="0"/>
          <w:bCs w:val="0"/>
          <w:i w:val="0"/>
          <w:iCs w:val="0"/>
          <w:smallCaps w:val="0"/>
          <w:strike w:val="0"/>
        </w:rPr>
        <w:t>（三）</w:t>
      </w:r>
      <w:r>
        <w:rPr>
          <w:color w:val="000000"/>
          <w:w w:val="100"/>
          <w:position w:val="0"/>
          <w:lang w:val="zh-CN" w:eastAsia="zh-CN" w:bidi="zh-CN"/>
        </w:rPr>
        <w:t>农村电商工作典型县。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根据《国务院办公厅关于对真抓实干成效明显地方进一步加 大激励支持力度的通知》</w:t>
      </w:r>
      <w:r>
        <w:rPr>
          <w:color w:val="000000"/>
          <w:w w:val="100"/>
          <w:position w:val="0"/>
          <w:lang w:val="en-US" w:eastAsia="en-US" w:bidi="en-US"/>
        </w:rPr>
        <w:t>（</w:t>
      </w:r>
      <w:r>
        <w:rPr>
          <w:color w:val="000000"/>
          <w:w w:val="100"/>
          <w:position w:val="0"/>
          <w:lang w:val="zh-CN" w:eastAsia="zh-CN" w:bidi="zh-CN"/>
        </w:rPr>
        <w:t>国办发〔2018〕117号）确定的，在农 村电商发展、扶贫带贫和产销对接等成效突出的山西省临猗县等 10个典型县市。此类典型县不需要再行申报，直接纳入综合示范 范围。</w:t>
      </w:r>
    </w:p>
    <w:p>
      <w:pPr>
        <w:pStyle w:val="3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680"/>
        <w:jc w:val="both"/>
      </w:pPr>
      <w:r>
        <w:rPr>
          <w:color w:val="000000"/>
          <w:spacing w:val="0"/>
          <w:w w:val="100"/>
          <w:position w:val="0"/>
          <w:lang w:val="zh-CN" w:eastAsia="zh-CN" w:bidi="zh-CN"/>
        </w:rPr>
        <w:t>四、中央财政资金支持方式和重点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鼓励各地优先采取以奖代补、贷款贴息等支持方式，通过中 央财政资金引导带动社会资本共同参与农村电子商务工作。中央 财政资金重点支持以下方向：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320" w:line="300" w:lineRule="exact"/>
        <w:ind w:left="800" w:right="0" w:firstLine="0"/>
        <w:jc w:val="left"/>
      </w:pPr>
      <w:r>
        <w:rPr>
          <w:rStyle w:val="35"/>
          <w:b w:val="0"/>
          <w:bCs w:val="0"/>
          <w:i w:val="0"/>
          <w:iCs w:val="0"/>
          <w:smallCaps w:val="0"/>
          <w:strike w:val="0"/>
        </w:rPr>
        <w:t>（一）</w:t>
      </w:r>
      <w:r>
        <w:rPr>
          <w:color w:val="000000"/>
          <w:w w:val="100"/>
          <w:position w:val="0"/>
          <w:lang w:val="zh-CN" w:eastAsia="zh-CN" w:bidi="zh-CN"/>
        </w:rPr>
        <w:t>农村流通</w:t>
      </w:r>
      <w:bookmarkStart w:id="5" w:name="_GoBack"/>
      <w:bookmarkEnd w:id="5"/>
      <w:r>
        <w:rPr>
          <w:rStyle w:val="35"/>
          <w:b w:val="0"/>
          <w:bCs w:val="0"/>
          <w:i w:val="0"/>
          <w:iCs w:val="0"/>
          <w:smallCaps w:val="0"/>
          <w:strike w:val="0"/>
        </w:rPr>
        <w:t>出</w:t>
      </w:r>
      <w:r>
        <w:rPr>
          <w:color w:val="000000"/>
          <w:w w:val="100"/>
          <w:position w:val="0"/>
          <w:lang w:val="zh-CN" w:eastAsia="zh-CN" w:bidi="zh-CN"/>
        </w:rPr>
        <w:t>设施。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300" w:lineRule="exact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 xml:space="preserve">支持建设农村产品（含农副产品、手工艺品、乡村旅游、民 </w:t>
      </w:r>
      <w:r>
        <w:rPr>
          <w:rStyle w:val="12"/>
          <w:b w:val="0"/>
          <w:bCs w:val="0"/>
          <w:i w:val="0"/>
          <w:iCs w:val="0"/>
          <w:smallCaps w:val="0"/>
          <w:strike w:val="0"/>
        </w:rPr>
        <w:t>俗等特色产品及服务等）分级、包装、预冷等产地初加工和商品 化预处理设施，完善产、供、销全链条服务，提高农村产品商品 化率。支持农村传统流通企业转型升级，重点建设本地化连锁化 的服务和营销体系，实现线上线下融合发展，提升农村流通水平。 支持建设完善县、乡、村三级物流配送体系，整合商贸物流快递 资源，开展共同配送，降低物流成本；鼓励有条件的地区合理规 划，在区域节点建设仓储物流中心，发展智慧物流。用于农村流 通基础设施建设的资金比例原则上不低于50%。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562"/>
        </w:tabs>
        <w:bidi w:val="0"/>
        <w:spacing w:before="0" w:after="0" w:line="586" w:lineRule="exact"/>
        <w:ind w:left="0" w:right="0" w:firstLine="760"/>
        <w:jc w:val="both"/>
      </w:pPr>
      <w:r>
        <w:rPr>
          <w:color w:val="000000"/>
          <w:w w:val="100"/>
          <w:position w:val="0"/>
          <w:lang w:val="zh-CN" w:eastAsia="zh-CN" w:bidi="zh-CN"/>
        </w:rPr>
        <w:t>（二）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农村电商公共服务体系。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60"/>
        <w:jc w:val="both"/>
      </w:pPr>
      <w:r>
        <w:rPr>
          <w:color w:val="000000"/>
          <w:w w:val="100"/>
          <w:position w:val="0"/>
          <w:lang w:val="zh-CN" w:eastAsia="zh-CN" w:bidi="zh-CN"/>
        </w:rPr>
        <w:t>支持乡村电商服务体系的建设改造，整合邮政、供销、快递、 金融、政务等资源，拓展便民生活、代买代卖、信息咨询、职业 介绍、旅游出行等服务功能，推进智慧乡村服务应用。支持县级 电商公共服务中心建设和升级，统筹推进品牌、标准、品质控制、 金融、物流、培训等服务。农村电商公共服务体系应坚持市场化 原则，突出服务，强化可持续运营机制。硬件建设应坚持实用、 节约原则，充分利用现有设施设备、闲置厂房。公共服务中心资 金使用比例原则上不高于15%。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562"/>
        </w:tabs>
        <w:bidi w:val="0"/>
        <w:spacing w:before="0" w:after="0" w:line="586" w:lineRule="exact"/>
        <w:ind w:left="0" w:right="0" w:firstLine="760"/>
        <w:jc w:val="both"/>
      </w:pPr>
      <w:r>
        <w:rPr>
          <w:color w:val="000000"/>
          <w:w w:val="100"/>
          <w:position w:val="0"/>
          <w:lang w:val="zh-CN" w:eastAsia="zh-CN" w:bidi="zh-CN"/>
        </w:rPr>
        <w:t>（三）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农村电子商务培训。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60"/>
        <w:jc w:val="both"/>
        <w:sectPr>
          <w:footerReference r:id="rId7" w:type="default"/>
          <w:footerReference r:id="rId8" w:type="even"/>
          <w:pgSz w:w="12240" w:h="15840"/>
          <w:pgMar w:top="1701" w:right="1238" w:bottom="907" w:left="2036" w:header="0" w:footer="3" w:gutter="0"/>
          <w:cols w:space="720" w:num="1"/>
          <w:rtlGutter w:val="0"/>
          <w:docGrid w:linePitch="360" w:charSpace="0"/>
        </w:sectPr>
      </w:pPr>
      <w:r>
        <w:rPr>
          <w:color w:val="000000"/>
          <w:w w:val="100"/>
          <w:position w:val="0"/>
          <w:lang w:val="zh-CN" w:eastAsia="zh-CN" w:bidi="zh-CN"/>
        </w:rPr>
        <w:t xml:space="preserve">支持对基层干部、合作社员、创业青年、具备条件贫困户等 开展农村电商培训。重点强化培训机制,注重服务质量而非数量, 增强培训的针对性，提升美工、产品设计、宣传、营销等实操技 能；注重培训后服务而非“一锤子”培训，建立农村电商培训转 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60"/>
        <w:jc w:val="both"/>
      </w:pPr>
      <w:r>
        <w:rPr>
          <w:rStyle w:val="29"/>
          <w:b w:val="0"/>
          <w:bCs w:val="0"/>
          <w:i w:val="0"/>
          <w:iCs w:val="0"/>
          <w:smallCaps w:val="0"/>
          <w:strike w:val="0"/>
        </w:rPr>
        <w:t>化机制，加强电商培训与就业用工的对接，加强创业孵化。如实 做好培训记录。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各地可按照上述方向，结合实际，因地制宜细化建设内容和 标准。一是首次纳入示范的贫困县，要围绕助力脱贫攻坚，加快 补齐设施和服务短板，加强人才培训，增强内生动力。特别是深 度贫困地区，着重完善物流快递网络，推进优质商品下乡，探索 打开农产品网络销量。二是有一定产业基础、潜力较大的县，要 围绕打造综合示范“升级版”，扶持特色产业，延长电商价值链 和供应链，进一步扩大惠及群体，促进稳定增收。三是国务院激 励支持的典型县，要发挥好农村电商服务乡村振兴标杆引领作用， 积极探索新路径，发展新业态，形成可复制推广的经验模式。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>根据《财政部关于印发〈服务业发展资金管理办法〉的通知》 （财建〔2019〕50号）等有关规定，中央财政资金不得用于网络 交易平台、楼堂馆所建设、工作经费及购买流量等支出。省级财 政部门可依据《财政部关于推进地方盘活财政存量资金有关事项 的通知》（财预〔2015〕15号）有关规定，统筹安排本省示范县长 期闲置的中央财政资金，用于奖励助推脱贫攻坚、促进产销对接 等工作成绩突出的优秀示范县。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/>
        <w:ind w:left="680" w:right="5380" w:firstLine="0"/>
        <w:jc w:val="left"/>
      </w:pPr>
      <w:r>
        <w:rPr>
          <w:rStyle w:val="36"/>
          <w:b/>
          <w:bCs/>
          <w:i w:val="0"/>
          <w:iCs w:val="0"/>
          <w:smallCaps w:val="0"/>
          <w:strike w:val="0"/>
        </w:rPr>
        <w:t xml:space="preserve">五、工作程序 </w:t>
      </w:r>
      <w:r>
        <w:rPr>
          <w:color w:val="000000"/>
          <w:w w:val="100"/>
          <w:position w:val="0"/>
          <w:lang w:val="en-US" w:eastAsia="en-US" w:bidi="en-US"/>
        </w:rPr>
        <w:t>（</w:t>
      </w:r>
      <w:r>
        <w:rPr>
          <w:color w:val="000000"/>
          <w:w w:val="100"/>
          <w:position w:val="0"/>
          <w:lang w:val="zh-CN" w:eastAsia="zh-CN" w:bidi="zh-CN"/>
        </w:rPr>
        <w:t>一</w:t>
      </w:r>
      <w:r>
        <w:rPr>
          <w:color w:val="000000"/>
          <w:w w:val="100"/>
          <w:position w:val="0"/>
          <w:lang w:val="en-US" w:eastAsia="en-US" w:bidi="en-US"/>
        </w:rPr>
        <w:t>）</w:t>
      </w:r>
      <w:r>
        <w:rPr>
          <w:color w:val="000000"/>
          <w:w w:val="100"/>
          <w:position w:val="0"/>
          <w:lang w:val="zh-CN" w:eastAsia="zh-CN" w:bidi="zh-CN"/>
        </w:rPr>
        <w:t>确定申报数量。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680"/>
        <w:jc w:val="both"/>
      </w:pPr>
      <w:r>
        <w:rPr>
          <w:color w:val="000000"/>
          <w:w w:val="100"/>
          <w:position w:val="0"/>
          <w:lang w:val="zh-CN" w:eastAsia="zh-CN" w:bidi="zh-CN"/>
        </w:rPr>
        <w:t xml:space="preserve">商务部、财政部、国务院扶贫办采取因素法，综合考虑脱贫 攻坚和国务院典型激励政策任务，确定各省示范县申报数量上限 </w:t>
      </w:r>
      <w:r>
        <w:rPr>
          <w:rStyle w:val="12"/>
          <w:b w:val="0"/>
          <w:bCs w:val="0"/>
          <w:i w:val="0"/>
          <w:iCs w:val="0"/>
          <w:smallCaps w:val="0"/>
          <w:strike w:val="0"/>
        </w:rPr>
        <w:t>（见附件）。选取因素包括各省农村网络零售额、农产品网络零售 额、农村网商数量、资金拨付率等指标。</w:t>
      </w:r>
    </w:p>
    <w:p>
      <w:pPr>
        <w:pStyle w:val="30"/>
        <w:keepNext w:val="0"/>
        <w:keepLines w:val="0"/>
        <w:widowControl w:val="0"/>
        <w:shd w:val="clear" w:color="auto" w:fill="auto"/>
        <w:tabs>
          <w:tab w:val="left" w:pos="1561"/>
        </w:tabs>
        <w:bidi w:val="0"/>
        <w:spacing w:before="0" w:after="0" w:line="590" w:lineRule="exact"/>
        <w:ind w:left="0" w:right="0" w:firstLine="760"/>
        <w:jc w:val="both"/>
      </w:pPr>
      <w:r>
        <w:rPr>
          <w:color w:val="000000"/>
          <w:w w:val="100"/>
          <w:position w:val="0"/>
          <w:lang w:val="zh-CN" w:eastAsia="zh-CN" w:bidi="zh-CN"/>
        </w:rPr>
        <w:t>（二）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地方组织申报。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760"/>
        <w:jc w:val="both"/>
      </w:pPr>
      <w:r>
        <w:rPr>
          <w:color w:val="000000"/>
          <w:w w:val="100"/>
          <w:position w:val="0"/>
          <w:lang w:val="zh-CN" w:eastAsia="zh-CN" w:bidi="zh-CN"/>
        </w:rPr>
        <w:t>有关省级主管部门按照自愿择优的原则，组织辖区内符合条 件的县级人民政府申报，对未支持国贫县之外的申报对象打分排 序。鼓励“三区三州”贫困地区以整体形式申报。各省级主管部 门应于5月10日前，将具备条件的国贫县名单、其他县排序名单、 评选依据、省级工作方案（见附件）报三部门办备案。逾期或未 按规定报备的，视同自动放弃。</w:t>
      </w:r>
    </w:p>
    <w:p>
      <w:pPr>
        <w:pStyle w:val="30"/>
        <w:keepNext w:val="0"/>
        <w:keepLines w:val="0"/>
        <w:widowControl w:val="0"/>
        <w:shd w:val="clear" w:color="auto" w:fill="auto"/>
        <w:tabs>
          <w:tab w:val="left" w:pos="1561"/>
        </w:tabs>
        <w:bidi w:val="0"/>
        <w:spacing w:before="0" w:after="0"/>
        <w:ind w:left="0" w:right="0" w:firstLine="760"/>
        <w:jc w:val="both"/>
      </w:pPr>
      <w:r>
        <w:rPr>
          <w:rStyle w:val="35"/>
          <w:b w:val="0"/>
          <w:bCs w:val="0"/>
          <w:i w:val="0"/>
          <w:iCs w:val="0"/>
          <w:smallCaps w:val="0"/>
          <w:strike w:val="0"/>
        </w:rPr>
        <w:t>（三）</w:t>
      </w:r>
      <w:r>
        <w:rPr>
          <w:rStyle w:val="35"/>
          <w:b w:val="0"/>
          <w:bCs w:val="0"/>
          <w:i w:val="0"/>
          <w:iCs w:val="0"/>
          <w:smallCaps w:val="0"/>
          <w:strike w:val="0"/>
        </w:rPr>
        <w:tab/>
      </w:r>
      <w:r>
        <w:rPr>
          <w:color w:val="000000"/>
          <w:w w:val="100"/>
          <w:position w:val="0"/>
          <w:lang w:val="zh-CN" w:eastAsia="zh-CN" w:bidi="zh-CN"/>
        </w:rPr>
        <w:t>确定示范县和资金拨付。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60"/>
        <w:jc w:val="left"/>
      </w:pPr>
      <w:r>
        <w:rPr>
          <w:color w:val="000000"/>
          <w:w w:val="100"/>
          <w:position w:val="0"/>
          <w:lang w:val="zh-CN" w:eastAsia="zh-CN" w:bidi="zh-CN"/>
        </w:rPr>
        <w:t>三部门组织对地方上报的工作方案进行评审，根据方案得分， 结合前期绩效评价情况，确定各省示范县最终数量和资金数额。 各省按照三部门提供数量确定最终示范县，做好政务公开，并于5 月20曰前，将最终的示范县名单和省级、县级工作方案，以省级 人民政府函形式报送三部门，示范县排序名单应与此前备案顺序 一致。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0" w:right="0" w:firstLine="760"/>
        <w:jc w:val="both"/>
      </w:pPr>
      <w:r>
        <w:rPr>
          <w:color w:val="000000"/>
          <w:w w:val="100"/>
          <w:position w:val="0"/>
          <w:lang w:val="zh-CN" w:eastAsia="zh-CN" w:bidi="zh-CN"/>
        </w:rPr>
        <w:t>中央财政资金和绩效目标下达后，省级财政部门要及时拨付 资金，细化绩效目标并分解至相关县；省级主管部门要积极组织 实施，加强监督检查，组织开展绩效执行监控和绩效自评，负责 对示范地区进行绩效评价，及时报送示范工作情况，并接受三部 门的监督检查。各地工作方案将是三部门监督检查的重要依据。</w:t>
      </w:r>
    </w:p>
    <w:p>
      <w:pPr>
        <w:pStyle w:val="3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780"/>
        <w:jc w:val="left"/>
      </w:pPr>
      <w:r>
        <w:rPr>
          <w:color w:val="000000"/>
          <w:spacing w:val="0"/>
          <w:w w:val="100"/>
          <w:position w:val="0"/>
          <w:lang w:val="zh-CN" w:eastAsia="zh-CN" w:bidi="zh-CN"/>
        </w:rPr>
        <w:t>六、工作要求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555"/>
        </w:tabs>
        <w:bidi w:val="0"/>
        <w:spacing w:before="0" w:after="0" w:line="590" w:lineRule="exact"/>
        <w:ind w:left="0" w:right="0" w:firstLine="780"/>
        <w:jc w:val="left"/>
      </w:pPr>
      <w:r>
        <w:rPr>
          <w:rStyle w:val="37"/>
          <w:b w:val="0"/>
          <w:bCs w:val="0"/>
          <w:i w:val="0"/>
          <w:iCs w:val="0"/>
          <w:smallCaps w:val="0"/>
          <w:strike w:val="0"/>
        </w:rPr>
        <w:t>（一）</w:t>
      </w:r>
      <w:r>
        <w:rPr>
          <w:rStyle w:val="37"/>
          <w:b w:val="0"/>
          <w:bCs w:val="0"/>
          <w:i w:val="0"/>
          <w:iCs w:val="0"/>
          <w:smallCaps w:val="0"/>
          <w:strike w:val="0"/>
        </w:rPr>
        <w:tab/>
      </w:r>
      <w:r>
        <w:rPr>
          <w:color w:val="000000"/>
          <w:w w:val="100"/>
          <w:position w:val="0"/>
          <w:lang w:val="zh-CN" w:eastAsia="zh-CN" w:bidi="zh-CN"/>
        </w:rPr>
        <w:t>加强组织领导。各地要加强综合示范工作的统筹指导， 建立多部门参与的工作协调机制，加大政策协同力度，从本地实 际出发，研究出台土地、税费、人才等配套措施，推进政策落地。 贫困地区要重点发挥好农村电商在产业扶贫方面的作用，坚持焦 点不散、靶心不变，从本地实际出发，做好农村电商政策设计。 未摘帽贫困县重点补短板、强基础、促上行，精准农村电商帮扶 举措。已摘帽贫困县重点是深挖农村电商潜力，巩固脱贫成效， 做大做强特色产业，打造综合示范“升级版”，做好脱贫攻坚和乡 村振兴政策衔接。产业基础较好的县要积极探索农村电商发展新 路径新模式，更好的服务乡村振兴。形成各具特色、梯次推进的 农村电商发展格局。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555"/>
        </w:tabs>
        <w:bidi w:val="0"/>
        <w:spacing w:before="0" w:after="0" w:line="590" w:lineRule="exact"/>
        <w:ind w:left="0" w:right="0" w:firstLine="780"/>
        <w:jc w:val="left"/>
      </w:pPr>
      <w:r>
        <w:rPr>
          <w:color w:val="000000"/>
          <w:w w:val="100"/>
          <w:position w:val="0"/>
          <w:lang w:val="zh-CN" w:eastAsia="zh-CN" w:bidi="zh-CN"/>
        </w:rPr>
        <w:t>（二）</w:t>
      </w:r>
      <w:r>
        <w:rPr>
          <w:color w:val="000000"/>
          <w:w w:val="100"/>
          <w:position w:val="0"/>
          <w:lang w:val="zh-CN" w:eastAsia="zh-CN" w:bidi="zh-CN"/>
        </w:rPr>
        <w:tab/>
      </w:r>
      <w:r>
        <w:rPr>
          <w:color w:val="000000"/>
          <w:w w:val="100"/>
          <w:position w:val="0"/>
          <w:lang w:val="zh-CN" w:eastAsia="zh-CN" w:bidi="zh-CN"/>
        </w:rPr>
        <w:t>健全责任监督机制。省级主管部门是综合示范工作的 第一责任主体，对选择的示范县负责，并因地制宜制定实施方案， 细化资金支持方向和奖补标准，明确各类项目建设标准、要求和 验收办法，做好政策的承上启下，组织对示范县开展绩效评价。 示范县人民政府是综合示范工作的直接责任主体，对具体工作负 责，要结合本地实际，自主安排资金和项目，建立台账制度，明 确责任人和进展时限，确保资金安全、方案落地、农民受益。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555"/>
        </w:tabs>
        <w:bidi w:val="0"/>
        <w:spacing w:before="0" w:after="0" w:line="590" w:lineRule="exact"/>
        <w:ind w:left="0" w:right="0" w:firstLine="780"/>
        <w:jc w:val="left"/>
        <w:sectPr>
          <w:footerReference r:id="rId9" w:type="default"/>
          <w:footerReference r:id="rId10" w:type="even"/>
          <w:pgSz w:w="12240" w:h="15840"/>
          <w:pgMar w:top="1701" w:right="1238" w:bottom="907" w:left="2036" w:header="0" w:footer="3" w:gutter="0"/>
          <w:cols w:space="720" w:num="1"/>
          <w:rtlGutter w:val="0"/>
          <w:docGrid w:linePitch="360" w:charSpace="0"/>
        </w:sectPr>
      </w:pPr>
      <w:r>
        <w:rPr>
          <w:rStyle w:val="37"/>
          <w:b w:val="0"/>
          <w:bCs w:val="0"/>
          <w:i w:val="0"/>
          <w:iCs w:val="0"/>
          <w:smallCaps w:val="0"/>
          <w:strike w:val="0"/>
        </w:rPr>
        <w:t>（三）</w:t>
      </w:r>
      <w:r>
        <w:rPr>
          <w:rStyle w:val="37"/>
          <w:b w:val="0"/>
          <w:bCs w:val="0"/>
          <w:i w:val="0"/>
          <w:iCs w:val="0"/>
          <w:smallCaps w:val="0"/>
          <w:strike w:val="0"/>
        </w:rPr>
        <w:tab/>
      </w:r>
      <w:r>
        <w:rPr>
          <w:color w:val="000000"/>
          <w:w w:val="100"/>
          <w:position w:val="0"/>
          <w:lang w:val="zh-CN" w:eastAsia="zh-CN" w:bidi="zh-CN"/>
        </w:rPr>
        <w:t>强化工作指导。省级主管部门开展全过程绩效管理， 切实加强指导监督，密切跟踪示范地区项目进展情况，及时发现 并解决资金和项目管理等存在的问题。省级主管部门应建立完善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90" w:lineRule="exact"/>
        <w:ind w:left="0" w:right="0" w:firstLine="0"/>
        <w:jc w:val="both"/>
      </w:pPr>
      <w:r>
        <w:rPr>
          <w:color w:val="000000"/>
          <w:w w:val="100"/>
          <w:position w:val="0"/>
          <w:lang w:val="zh-CN" w:eastAsia="zh-CN" w:bidi="zh-CN"/>
        </w:rPr>
        <w:t>曰常监管机制，委托会计师事务所等专业第三方机构加强事中管 理。督促示范县依法依规竞争选择承办单位，加强对承办单位履 约能力的考核，不仅重视项目建设，更要重视项目后期运营和帮 扶实效。指导示范县制定有效措施，做好扶贫带贫、产销对接等 工作，对脱贫户保持政策稳定性和持续性。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577"/>
        </w:tabs>
        <w:bidi w:val="0"/>
        <w:spacing w:before="0" w:after="0" w:line="590" w:lineRule="exact"/>
        <w:ind w:left="0" w:right="0" w:firstLine="800"/>
        <w:jc w:val="both"/>
      </w:pPr>
      <w:r>
        <w:rPr>
          <w:rStyle w:val="38"/>
          <w:b w:val="0"/>
          <w:bCs w:val="0"/>
          <w:i w:val="0"/>
          <w:iCs w:val="0"/>
          <w:smallCaps w:val="0"/>
          <w:strike w:val="0"/>
        </w:rPr>
        <w:t>（四）</w:t>
      </w:r>
      <w:r>
        <w:rPr>
          <w:rStyle w:val="38"/>
          <w:b w:val="0"/>
          <w:bCs w:val="0"/>
          <w:i w:val="0"/>
          <w:iCs w:val="0"/>
          <w:smallCaps w:val="0"/>
          <w:strike w:val="0"/>
        </w:rPr>
        <w:tab/>
      </w:r>
      <w:r>
        <w:rPr>
          <w:color w:val="000000"/>
          <w:w w:val="100"/>
          <w:position w:val="0"/>
          <w:lang w:val="zh-CN" w:eastAsia="zh-CN" w:bidi="zh-CN"/>
        </w:rPr>
        <w:t>做好政务公开和信息报送。省级主管部门应在部门政 府网站推行综合示范政务公开，并督促示范县人民政府在其门户 网站推行综合示范政务公开，及时、全面、集中地公开综合示范 实施方案、资金安排、项目内容、决策过程等信息。督促示范县 在中央财政资金支持项目显著位置标识“全国电子商务进农村综 合示范项目”字样。督促示范县和承办单位与商务部农村电子商 务信息系统进行对接，及时更新项目进展、资金拨付以及项目绩 效自评结果等材料。指导示范县与项目承办主体达成协议，凡接 受财政补贴的承办主体，必须按要求提供项目有关交易和活动信 息，同时依法保护承办主体的信息安全。未提供完整信息的项目 不得验收。加快推进智慧乡村服务应用，加强农村电商、产品、 消费等数据处理和应用，不断提升管理水平。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577"/>
        </w:tabs>
        <w:bidi w:val="0"/>
        <w:spacing w:before="0" w:after="0" w:line="590" w:lineRule="exact"/>
        <w:ind w:left="0" w:right="0" w:firstLine="800"/>
        <w:jc w:val="left"/>
      </w:pPr>
      <w:r>
        <w:rPr>
          <w:rStyle w:val="38"/>
          <w:b w:val="0"/>
          <w:bCs w:val="0"/>
          <w:i w:val="0"/>
          <w:iCs w:val="0"/>
          <w:smallCaps w:val="0"/>
          <w:strike w:val="0"/>
        </w:rPr>
        <w:t>（五）</w:t>
      </w:r>
      <w:r>
        <w:rPr>
          <w:rStyle w:val="38"/>
          <w:b w:val="0"/>
          <w:bCs w:val="0"/>
          <w:i w:val="0"/>
          <w:iCs w:val="0"/>
          <w:smallCaps w:val="0"/>
          <w:strike w:val="0"/>
        </w:rPr>
        <w:tab/>
      </w:r>
      <w:r>
        <w:rPr>
          <w:color w:val="000000"/>
          <w:w w:val="100"/>
          <w:position w:val="0"/>
          <w:lang w:val="zh-CN" w:eastAsia="zh-CN" w:bidi="zh-CN"/>
        </w:rPr>
        <w:t>加大总结宣传力度。各地要善于利用各种媒体，加大 农村电子商务政策成效的宣传力度，积极营造正向舆论氛围，调 动贫困群众学电商、用电商、促增收的积极性，不断提升贫困地 区的电子商务参与度。要及时总结前期综合示范工作实施成效， 发现推广典型经验做法，加强地区间的交流与借鉴，增强综合示</w:t>
      </w:r>
      <w:r>
        <w:br w:type="page"/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636"/>
        <w:ind w:left="880" w:right="0" w:firstLine="0"/>
        <w:jc w:val="left"/>
      </w:pPr>
      <w:r>
        <w:rPr>
          <w:color w:val="000000"/>
          <w:w w:val="100"/>
          <w:position w:val="0"/>
          <w:lang w:val="zh-CN" w:eastAsia="zh-CN" w:bidi="zh-CN"/>
        </w:rPr>
        <w:t>范辐射效应。</w:t>
      </w: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586" w:lineRule="exact"/>
        <w:ind w:left="2420" w:right="1220" w:hanging="920"/>
        <w:jc w:val="left"/>
        <w:sectPr>
          <w:footerReference r:id="rId11" w:type="default"/>
          <w:footerReference r:id="rId12" w:type="even"/>
          <w:pgSz w:w="12240" w:h="15840"/>
          <w:pgMar w:top="1701" w:right="1238" w:bottom="907" w:left="2036" w:header="0" w:footer="3" w:gutter="0"/>
          <w:cols w:space="720" w:num="1"/>
          <w:titlePg/>
          <w:rtlGutter w:val="0"/>
          <w:docGrid w:linePitch="360" w:charSpace="0"/>
        </w:sectPr>
      </w:pPr>
      <w:r>
        <w:rPr>
          <w:color w:val="000000"/>
          <w:w w:val="100"/>
          <w:position w:val="0"/>
          <w:lang w:val="zh-CN" w:eastAsia="zh-CN" w:bidi="zh-CN"/>
        </w:rPr>
        <w:t xml:space="preserve">附件：1.各省（区、市）示范县申报数量上限 </w:t>
      </w:r>
      <w:r>
        <w:rPr>
          <w:rStyle w:val="39"/>
          <w:b/>
          <w:bCs/>
          <w:i w:val="0"/>
          <w:iCs w:val="0"/>
          <w:smallCaps w:val="0"/>
          <w:strike w:val="0"/>
        </w:rPr>
        <w:t>2</w:t>
      </w:r>
      <w:r>
        <w:rPr>
          <w:rStyle w:val="40"/>
          <w:b/>
          <w:bCs/>
          <w:i w:val="0"/>
          <w:iCs w:val="0"/>
          <w:smallCaps w:val="0"/>
          <w:strike w:val="0"/>
        </w:rPr>
        <w:t>.</w:t>
      </w:r>
      <w:r>
        <w:rPr>
          <w:color w:val="000000"/>
          <w:w w:val="100"/>
          <w:position w:val="0"/>
          <w:lang w:val="zh-CN" w:eastAsia="zh-CN" w:bidi="zh-CN"/>
        </w:rPr>
        <w:t>工作方案基本要求</w:t>
      </w:r>
    </w:p>
    <w:p>
      <w:pPr>
        <w:widowControl w:val="0"/>
        <w:spacing w:before="65" w:after="6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2240" w:h="15840"/>
          <w:pgMar w:top="2008" w:right="0" w:bottom="514" w:left="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360" w:lineRule="exact"/>
      </w:pPr>
      <w:r>
        <w:pict>
          <v:shape id="_x0000_s1033" o:spid="_x0000_s1033" o:spt="75" type="#_x0000_t75" style="position:absolute;left:0pt;margin-left:68.1pt;margin-top:0pt;height:155.05pt;width:275.05pt;mso-position-horizontal-relative:margin;z-index:-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20" r:href="rId21" o:title=""/>
            <o:lock v:ext="edit" aspectratio="t"/>
          </v:shape>
        </w:pict>
      </w:r>
      <w:r>
        <w:pict>
          <v:shape id="_x0000_s1034" o:spid="_x0000_s1034" o:spt="75" type="#_x0000_t75" style="position:absolute;left:0pt;margin-left:376pt;margin-top:18.95pt;height:121.45pt;width:120pt;mso-position-horizontal-relative:margin;z-index:-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22" r:href="rId23" o:title=""/>
            <o:lock v:ext="edit" aspectratio="t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7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2240" w:h="15840"/>
          <w:pgMar w:top="2008" w:right="1126" w:bottom="514" w:left="163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674" w:lineRule="exact"/>
      </w:pPr>
      <w:r>
        <w:pict>
          <v:shape id="_x0000_s1035" o:spid="_x0000_s1035" o:spt="202" type="#_x0000_t202" style="position:absolute;left:0pt;margin-left:49.2pt;margin-top:0pt;height:18.65pt;width:40.55pt;mso-position-horizontal-relative:margin;mso-position-vertical-relative:margin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pStyle w:val="17"/>
                    <w:keepNext w:val="0"/>
                    <w:keepLines w:val="0"/>
                    <w:widowControl w:val="0"/>
                    <w:shd w:val="clear" w:color="auto" w:fill="auto"/>
                    <w:bidi w:val="0"/>
                    <w:spacing w:before="0" w:after="0" w:line="280" w:lineRule="exact"/>
                    <w:ind w:left="0" w:right="0" w:firstLine="0"/>
                    <w:jc w:val="left"/>
                  </w:pPr>
                  <w:r>
                    <w:rPr>
                      <w:rStyle w:val="42"/>
                      <w:b w:val="0"/>
                      <w:bCs w:val="0"/>
                      <w:i w:val="0"/>
                      <w:iCs w:val="0"/>
                      <w:smallCaps w:val="0"/>
                      <w:strike w:val="0"/>
                    </w:rPr>
                    <w:t>附件1</w:t>
                  </w:r>
                </w:p>
              </w:txbxContent>
            </v:textbox>
          </v:shape>
        </w:pict>
      </w:r>
    </w:p>
    <w:p>
      <w:pPr>
        <w:widowControl w:val="0"/>
        <w:rPr>
          <w:sz w:val="2"/>
          <w:szCs w:val="2"/>
        </w:rPr>
        <w:sectPr>
          <w:pgSz w:w="12240" w:h="15840"/>
          <w:pgMar w:top="1797" w:right="795" w:bottom="2295" w:left="1102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221" w:lineRule="exact"/>
        <w:rPr>
          <w:sz w:val="18"/>
          <w:szCs w:val="18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2240" w:h="15840"/>
          <w:pgMar w:top="2266" w:right="0" w:bottom="2511" w:left="0" w:header="0" w:footer="3" w:gutter="0"/>
          <w:cols w:space="720" w:num="1"/>
          <w:rtlGutter w:val="0"/>
          <w:docGrid w:linePitch="360" w:charSpace="0"/>
        </w:sectPr>
      </w:pPr>
    </w:p>
    <w:p>
      <w:pPr>
        <w:pStyle w:val="33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pict>
          <v:shape id="_x0000_s1036" o:spid="_x0000_s1036" o:spt="202" type="#_x0000_t202" style="position:absolute;left:0pt;margin-left:0.05pt;margin-top:40.8pt;height:0.05pt;width:226.3pt;mso-position-horizontal-relative:margin;mso-position-vertical-relative:margin;mso-wrap-distance-bottom:0.5pt;mso-wrap-distance-top:0pt;z-index:-1258301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tbl>
                  <w:tblPr>
                    <w:tblStyle w:val="2"/>
                    <w:tblW w:w="4527" w:type="dxa"/>
                    <w:jc w:val="center"/>
                    <w:tblInd w:w="0" w:type="dxa"/>
                    <w:tblLayout w:type="fixed"/>
                    <w:tblCellMar>
                      <w:top w:w="0" w:type="dxa"/>
                      <w:left w:w="10" w:type="dxa"/>
                      <w:bottom w:w="0" w:type="dxa"/>
                      <w:right w:w="10" w:type="dxa"/>
                    </w:tblCellMar>
                  </w:tblPr>
                  <w:tblGrid>
                    <w:gridCol w:w="653"/>
                    <w:gridCol w:w="888"/>
                    <w:gridCol w:w="1080"/>
                    <w:gridCol w:w="946"/>
                    <w:gridCol w:w="960"/>
                  </w:tblGrid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82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序号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省份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4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国贫县</w:t>
                        </w: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其他县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合计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552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河北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2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</w:t>
                        </w: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9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557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山西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9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内蒙古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0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4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辽宁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0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吉林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05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6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黑龙江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05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7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江苏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400" w:firstLine="0"/>
                          <w:jc w:val="righ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05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浙江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0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9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安徽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00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10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福建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0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11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江西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0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山东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4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13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河南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2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10</w:t>
                        </w: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29" w:hRule="exact"/>
                      <w:jc w:val="center"/>
                    </w:trPr>
                    <w:tc>
                      <w:tcPr>
                        <w:tcW w:w="653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6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14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湖北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46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8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4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/>
          </v:shape>
        </w:pict>
      </w:r>
      <w:r>
        <w:pict>
          <v:shape id="_x0000_s1037" o:spid="_x0000_s1037" o:spt="202" type="#_x0000_t202" style="position:absolute;left:0pt;margin-left:279.6pt;margin-top:39.85pt;height:0.05pt;width:237.6pt;mso-position-horizontal-relative:margin;mso-position-vertical-relative:margin;mso-wrap-distance-bottom:0pt;mso-wrap-distance-top:0pt;z-index:-1258301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tbl>
                  <w:tblPr>
                    <w:tblStyle w:val="2"/>
                    <w:tblW w:w="4753" w:type="dxa"/>
                    <w:jc w:val="center"/>
                    <w:tblInd w:w="0" w:type="dxa"/>
                    <w:tblLayout w:type="fixed"/>
                    <w:tblCellMar>
                      <w:top w:w="0" w:type="dxa"/>
                      <w:left w:w="10" w:type="dxa"/>
                      <w:bottom w:w="0" w:type="dxa"/>
                      <w:right w:w="10" w:type="dxa"/>
                    </w:tblCellMar>
                  </w:tblPr>
                  <w:tblGrid>
                    <w:gridCol w:w="624"/>
                    <w:gridCol w:w="898"/>
                    <w:gridCol w:w="1056"/>
                    <w:gridCol w:w="1085"/>
                    <w:gridCol w:w="1090"/>
                  </w:tblGrid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86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序号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省份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2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国贫县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其他县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3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合计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557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15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湖南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557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16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广东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4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17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广西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11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9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18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海南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0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19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重庆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0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20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四川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8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00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21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贵州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0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22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云南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15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0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23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西藏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47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47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00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24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陕西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4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25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甘肃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4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26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青海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12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14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27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宁夏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29" w:hRule="exact"/>
                      <w:jc w:val="center"/>
                    </w:trPr>
                    <w:tc>
                      <w:tcPr>
                        <w:tcW w:w="624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bottom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28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200" w:right="0" w:firstLine="0"/>
                          <w:jc w:val="left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新疆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5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3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43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/>
          </v:shape>
        </w:pict>
      </w:r>
      <w:r>
        <w:rPr>
          <w:color w:val="000000"/>
          <w:spacing w:val="0"/>
          <w:w w:val="100"/>
          <w:position w:val="0"/>
          <w:lang w:val="zh-CN" w:eastAsia="zh-CN" w:bidi="zh-CN"/>
        </w:rPr>
        <w:t>各省（区、市）示范县申报数量上限</w:t>
      </w:r>
    </w:p>
    <w:p>
      <w:pPr>
        <w:pStyle w:val="45"/>
        <w:keepNext w:val="0"/>
        <w:keepLines w:val="0"/>
        <w:widowControl w:val="0"/>
        <w:shd w:val="clear" w:color="auto" w:fill="auto"/>
        <w:bidi w:val="0"/>
        <w:spacing w:before="0" w:after="0"/>
        <w:ind w:left="980" w:right="1320"/>
        <w:jc w:val="left"/>
        <w:sectPr>
          <w:type w:val="continuous"/>
          <w:pgSz w:w="12240" w:h="15840"/>
          <w:pgMar w:top="2266" w:right="795" w:bottom="2511" w:left="1102" w:header="0" w:footer="3" w:gutter="0"/>
          <w:cols w:space="720" w:num="1"/>
          <w:rtlGutter w:val="0"/>
          <w:docGrid w:linePitch="360" w:charSpace="0"/>
        </w:sectPr>
      </w:pPr>
      <w:r>
        <w:rPr>
          <w:color w:val="000000"/>
          <w:spacing w:val="0"/>
          <w:w w:val="100"/>
          <w:position w:val="0"/>
          <w:lang w:val="zh-CN" w:eastAsia="zh-CN" w:bidi="zh-CN"/>
        </w:rPr>
        <w:t>注：</w:t>
      </w:r>
      <w:r>
        <w:rPr>
          <w:color w:val="000000"/>
          <w:spacing w:val="0"/>
          <w:w w:val="100"/>
          <w:position w:val="0"/>
          <w:lang w:val="en-US" w:eastAsia="en-US" w:bidi="en-US"/>
        </w:rPr>
        <w:t>1.</w:t>
      </w:r>
      <w:r>
        <w:rPr>
          <w:color w:val="000000"/>
          <w:spacing w:val="0"/>
          <w:w w:val="100"/>
          <w:position w:val="0"/>
          <w:lang w:val="zh-CN" w:eastAsia="zh-CN" w:bidi="zh-CN"/>
        </w:rPr>
        <w:t xml:space="preserve">国贫县指未支持过的国家级贫困县，其他县指产业基础较好、农村电商发展潜力较大的县。 </w:t>
      </w:r>
      <w:r>
        <w:rPr>
          <w:color w:val="000000"/>
          <w:spacing w:val="0"/>
          <w:w w:val="100"/>
          <w:position w:val="0"/>
          <w:lang w:val="en-US" w:eastAsia="en-US" w:bidi="en-US"/>
        </w:rPr>
        <w:t>2.</w:t>
      </w:r>
      <w:r>
        <w:rPr>
          <w:color w:val="000000"/>
          <w:spacing w:val="0"/>
          <w:w w:val="100"/>
          <w:position w:val="0"/>
          <w:lang w:val="zh-CN" w:eastAsia="zh-CN" w:bidi="zh-CN"/>
        </w:rPr>
        <w:t>前期国务院激励的地方典型市县不再计入申报数量，直接纳入示范范围。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288" w:line="300" w:lineRule="exact"/>
        <w:ind w:left="1040" w:right="0" w:firstLine="0"/>
        <w:jc w:val="left"/>
      </w:pPr>
      <w:r>
        <w:rPr>
          <w:color w:val="000000"/>
          <w:w w:val="100"/>
          <w:position w:val="0"/>
          <w:lang w:val="zh-CN" w:eastAsia="zh-CN" w:bidi="zh-CN"/>
        </w:rPr>
        <w:t>附件2:</w:t>
      </w:r>
    </w:p>
    <w:p>
      <w:pPr>
        <w:pStyle w:val="47"/>
        <w:keepNext w:val="0"/>
        <w:keepLines w:val="0"/>
        <w:widowControl w:val="0"/>
        <w:shd w:val="clear" w:color="auto" w:fill="auto"/>
        <w:bidi w:val="0"/>
        <w:spacing w:before="0" w:after="612"/>
        <w:ind w:left="120" w:right="0" w:firstLine="0"/>
      </w:pPr>
      <w:r>
        <w:rPr>
          <w:color w:val="000000"/>
          <w:spacing w:val="0"/>
          <w:w w:val="100"/>
          <w:position w:val="0"/>
          <w:lang w:val="zh-CN" w:eastAsia="zh-CN" w:bidi="zh-CN"/>
        </w:rPr>
        <w:t>工作方案基本要求</w:t>
      </w:r>
    </w:p>
    <w:p>
      <w:pPr>
        <w:pStyle w:val="33"/>
        <w:keepNext w:val="0"/>
        <w:keepLines w:val="0"/>
        <w:widowControl w:val="0"/>
        <w:shd w:val="clear" w:color="auto" w:fill="auto"/>
        <w:tabs>
          <w:tab w:val="left" w:pos="2297"/>
        </w:tabs>
        <w:bidi w:val="0"/>
        <w:spacing w:before="0" w:after="0" w:line="600" w:lineRule="exact"/>
        <w:ind w:left="1040" w:right="0" w:firstLine="640"/>
        <w:jc w:val="both"/>
      </w:pPr>
      <w:r>
        <w:rPr>
          <w:color w:val="000000"/>
          <w:spacing w:val="0"/>
          <w:w w:val="100"/>
          <w:position w:val="0"/>
          <w:lang w:val="zh-CN" w:eastAsia="zh-CN" w:bidi="zh-CN"/>
        </w:rPr>
        <w:t>一、</w:t>
      </w:r>
      <w:r>
        <w:rPr>
          <w:color w:val="000000"/>
          <w:spacing w:val="0"/>
          <w:w w:val="100"/>
          <w:position w:val="0"/>
          <w:lang w:val="zh-CN" w:eastAsia="zh-CN" w:bidi="zh-CN"/>
        </w:rPr>
        <w:tab/>
      </w:r>
      <w:r>
        <w:rPr>
          <w:color w:val="000000"/>
          <w:spacing w:val="0"/>
          <w:w w:val="100"/>
          <w:position w:val="0"/>
          <w:lang w:val="zh-CN" w:eastAsia="zh-CN" w:bidi="zh-CN"/>
        </w:rPr>
        <w:t>前期工作总结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600" w:lineRule="exact"/>
        <w:ind w:left="1040" w:right="1140" w:firstLine="640"/>
        <w:jc w:val="both"/>
      </w:pPr>
      <w:r>
        <w:rPr>
          <w:color w:val="000000"/>
          <w:w w:val="100"/>
          <w:position w:val="0"/>
          <w:lang w:val="zh-CN" w:eastAsia="zh-CN" w:bidi="zh-CN"/>
        </w:rPr>
        <w:t>前期已开展综合示范的省份，主要围绕前期工作进展、 责任监督机制、绩效评价情况、电商扶贫和产销对接成效等 进行总结，找准工作中不足或问题。前期开展整体推进的省 区还需对统筹资金、项目、物流等具体措施、成效和不足进 行总结。首次参加综合示范的省份，主要围绕已形成的政策 机制、主要做法，以及扶贫带贫、产销对接成效等进行总结。</w:t>
      </w:r>
    </w:p>
    <w:p>
      <w:pPr>
        <w:pStyle w:val="33"/>
        <w:keepNext w:val="0"/>
        <w:keepLines w:val="0"/>
        <w:widowControl w:val="0"/>
        <w:shd w:val="clear" w:color="auto" w:fill="auto"/>
        <w:tabs>
          <w:tab w:val="left" w:pos="2297"/>
        </w:tabs>
        <w:bidi w:val="0"/>
        <w:spacing w:before="0" w:after="80"/>
        <w:ind w:left="1040" w:right="0" w:firstLine="640"/>
        <w:jc w:val="both"/>
      </w:pPr>
      <w:r>
        <w:rPr>
          <w:color w:val="000000"/>
          <w:spacing w:val="0"/>
          <w:w w:val="100"/>
          <w:position w:val="0"/>
          <w:lang w:val="zh-CN" w:eastAsia="zh-CN" w:bidi="zh-CN"/>
        </w:rPr>
        <w:t>二、</w:t>
      </w:r>
      <w:r>
        <w:rPr>
          <w:color w:val="000000"/>
          <w:spacing w:val="0"/>
          <w:w w:val="100"/>
          <w:position w:val="0"/>
          <w:lang w:val="zh-CN" w:eastAsia="zh-CN" w:bidi="zh-CN"/>
        </w:rPr>
        <w:tab/>
      </w:r>
      <w:r>
        <w:rPr>
          <w:rStyle w:val="48"/>
          <w:b w:val="0"/>
          <w:bCs w:val="0"/>
          <w:i w:val="0"/>
          <w:iCs w:val="0"/>
          <w:smallCaps w:val="0"/>
          <w:strike w:val="0"/>
        </w:rPr>
        <w:t>2019</w:t>
      </w:r>
      <w:r>
        <w:rPr>
          <w:color w:val="000000"/>
          <w:spacing w:val="0"/>
          <w:w w:val="100"/>
          <w:position w:val="0"/>
          <w:lang w:val="zh-CN" w:eastAsia="zh-CN" w:bidi="zh-CN"/>
        </w:rPr>
        <w:t>年工作方案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600" w:lineRule="exact"/>
        <w:ind w:left="1040" w:right="0" w:firstLine="640"/>
        <w:jc w:val="left"/>
      </w:pPr>
      <w:r>
        <w:rPr>
          <w:color w:val="000000"/>
          <w:w w:val="100"/>
          <w:position w:val="0"/>
          <w:lang w:val="zh-CN" w:eastAsia="zh-CN" w:bidi="zh-CN"/>
        </w:rPr>
        <w:t>各地工作方案是专家评审和后续复核评价的重要依据。 有关省级主管部门务必高度重视，指导申报县做好方案编制， 主要目标要量化、细化，措施可落地，管理可问责，避免大 而化之、泛泛而谈。不同类别的申报主体方案应体现差异性：</w:t>
      </w:r>
    </w:p>
    <w:p>
      <w:pPr>
        <w:pStyle w:val="50"/>
        <w:keepNext w:val="0"/>
        <w:keepLines w:val="0"/>
        <w:widowControl w:val="0"/>
        <w:shd w:val="clear" w:color="auto" w:fill="auto"/>
        <w:bidi w:val="0"/>
        <w:spacing w:before="0" w:after="0"/>
        <w:ind w:left="1040" w:right="0" w:firstLine="640"/>
        <w:jc w:val="both"/>
      </w:pPr>
      <w:r>
        <w:rPr>
          <w:color w:val="000000"/>
          <w:spacing w:val="0"/>
          <w:w w:val="100"/>
          <w:position w:val="0"/>
          <w:lang w:val="zh-CN" w:eastAsia="zh-CN" w:bidi="zh-CN"/>
        </w:rPr>
        <w:t>（一）省级工作方案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605" w:lineRule="exact"/>
        <w:ind w:left="1040" w:right="1140" w:firstLine="640"/>
        <w:jc w:val="both"/>
      </w:pPr>
      <w:r>
        <w:rPr>
          <w:color w:val="000000"/>
          <w:w w:val="100"/>
          <w:position w:val="0"/>
          <w:lang w:val="zh-CN" w:eastAsia="zh-CN" w:bidi="zh-CN"/>
        </w:rPr>
        <w:t>1.未支持贫困县申报名单（基本条件认定依据），挖潜力 的县排序名单、评审流程和评审指标体系、县基本情况和工 作目标等。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605" w:lineRule="exact"/>
        <w:ind w:left="1040" w:right="1140" w:firstLine="640"/>
        <w:jc w:val="left"/>
      </w:pPr>
      <w:r>
        <w:rPr>
          <w:color w:val="000000"/>
          <w:w w:val="100"/>
          <w:position w:val="0"/>
          <w:lang w:val="en-US" w:eastAsia="en-US" w:bidi="en-US"/>
        </w:rPr>
        <w:t>2.2019</w:t>
      </w:r>
      <w:r>
        <w:rPr>
          <w:color w:val="000000"/>
          <w:w w:val="100"/>
          <w:position w:val="0"/>
          <w:lang w:val="zh-CN" w:eastAsia="zh-CN" w:bidi="zh-CN"/>
        </w:rPr>
        <w:t>年全省农村电商工作目标、资金和项目管理办法、 责任监督检查机制、绩效评价及项目验收办法等。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605" w:lineRule="exact"/>
        <w:ind w:left="1040" w:right="0" w:firstLine="640"/>
        <w:jc w:val="left"/>
      </w:pPr>
      <w:r>
        <w:rPr>
          <w:color w:val="000000"/>
          <w:w w:val="100"/>
          <w:position w:val="0"/>
          <w:lang w:val="zh-CN" w:eastAsia="zh-CN" w:bidi="zh-CN"/>
        </w:rPr>
        <w:t>西藏自治区工作方案应紧扣电商扶贫，围绕整区推进， 重点介绍推进资金、项目、物流、服务、产品等的统筹机制，</w:t>
      </w:r>
    </w:p>
    <w:p>
      <w:pPr>
        <w:pStyle w:val="52"/>
        <w:keepNext w:val="0"/>
        <w:keepLines w:val="0"/>
        <w:widowControl w:val="0"/>
        <w:shd w:val="clear" w:color="auto" w:fill="auto"/>
        <w:bidi w:val="0"/>
        <w:spacing w:before="0" w:after="0"/>
        <w:ind w:left="8040" w:right="0" w:firstLine="0"/>
        <w:jc w:val="left"/>
      </w:pPr>
      <w:r>
        <w:rPr>
          <w:color w:val="000000"/>
          <w:w w:val="100"/>
          <w:position w:val="0"/>
          <w:sz w:val="24"/>
          <w:szCs w:val="24"/>
          <w:lang w:val="en-US" w:eastAsia="en-US" w:bidi="en-US"/>
        </w:rPr>
        <w:t>—</w:t>
      </w:r>
      <w:r>
        <w:rPr>
          <w:color w:val="000000"/>
          <w:w w:val="100"/>
          <w:position w:val="0"/>
          <w:sz w:val="24"/>
          <w:szCs w:val="24"/>
          <w:lang w:val="zh-CN" w:eastAsia="zh-CN" w:bidi="zh-CN"/>
        </w:rPr>
        <w:t xml:space="preserve">17 </w:t>
      </w:r>
      <w:r>
        <w:rPr>
          <w:color w:val="000000"/>
          <w:w w:val="100"/>
          <w:position w:val="0"/>
          <w:sz w:val="24"/>
          <w:szCs w:val="24"/>
          <w:lang w:val="en-US" w:eastAsia="en-US" w:bidi="en-US"/>
        </w:rPr>
        <w:t>—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614" w:lineRule="exact"/>
        <w:ind w:left="800" w:right="0" w:firstLine="0"/>
        <w:jc w:val="left"/>
      </w:pPr>
      <w:r>
        <w:rPr>
          <w:color w:val="000000"/>
          <w:w w:val="100"/>
          <w:position w:val="0"/>
          <w:lang w:val="zh-CN" w:eastAsia="zh-CN" w:bidi="zh-CN"/>
        </w:rPr>
        <w:t>综合示范整体目标、支持方向、建设内容、预期成效等。</w:t>
      </w:r>
    </w:p>
    <w:p>
      <w:pPr>
        <w:pStyle w:val="50"/>
        <w:keepNext w:val="0"/>
        <w:keepLines w:val="0"/>
        <w:widowControl w:val="0"/>
        <w:shd w:val="clear" w:color="auto" w:fill="auto"/>
        <w:bidi w:val="0"/>
        <w:spacing w:before="0" w:after="0" w:line="614" w:lineRule="exact"/>
        <w:ind w:left="800" w:right="0" w:firstLine="640"/>
        <w:jc w:val="left"/>
      </w:pPr>
      <w:r>
        <w:rPr>
          <w:color w:val="000000"/>
          <w:spacing w:val="0"/>
          <w:w w:val="100"/>
          <w:position w:val="0"/>
          <w:lang w:val="zh-CN" w:eastAsia="zh-CN" w:bidi="zh-CN"/>
        </w:rPr>
        <w:t>（二）未支持国贫县工作方案</w:t>
      </w:r>
    </w:p>
    <w:p>
      <w:pPr>
        <w:pStyle w:val="3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1818"/>
        </w:tabs>
        <w:bidi w:val="0"/>
        <w:spacing w:before="0" w:after="0" w:line="614" w:lineRule="exact"/>
        <w:ind w:left="800" w:right="0" w:firstLine="640"/>
        <w:jc w:val="left"/>
      </w:pPr>
      <w:r>
        <w:rPr>
          <w:color w:val="000000"/>
          <w:w w:val="100"/>
          <w:position w:val="0"/>
          <w:lang w:val="zh-CN" w:eastAsia="zh-CN" w:bidi="zh-CN"/>
        </w:rPr>
        <w:t>基本县情，本地物流、市场、产品、人才等梳理情况。</w:t>
      </w:r>
    </w:p>
    <w:p>
      <w:pPr>
        <w:pStyle w:val="3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1797"/>
        </w:tabs>
        <w:bidi w:val="0"/>
        <w:spacing w:before="0" w:after="0" w:line="614" w:lineRule="exact"/>
        <w:ind w:left="800" w:right="1360" w:firstLine="640"/>
        <w:jc w:val="both"/>
      </w:pPr>
      <w:r>
        <w:rPr>
          <w:color w:val="000000"/>
          <w:w w:val="100"/>
          <w:position w:val="0"/>
          <w:lang w:val="zh-CN" w:eastAsia="zh-CN" w:bidi="zh-CN"/>
        </w:rPr>
        <w:t>围绕脱贫攻坚，有关工作措施、量化目标，主要建设方 向、投入机制、资金监管制度、项目现场监督机制等。</w:t>
      </w:r>
    </w:p>
    <w:p>
      <w:pPr>
        <w:pStyle w:val="50"/>
        <w:keepNext w:val="0"/>
        <w:keepLines w:val="0"/>
        <w:widowControl w:val="0"/>
        <w:shd w:val="clear" w:color="auto" w:fill="auto"/>
        <w:bidi w:val="0"/>
        <w:spacing w:before="0" w:after="60" w:line="300" w:lineRule="exact"/>
        <w:ind w:left="1740" w:right="0" w:firstLine="0"/>
        <w:jc w:val="left"/>
      </w:pPr>
      <w:r>
        <w:rPr>
          <w:color w:val="000000"/>
          <w:spacing w:val="0"/>
          <w:w w:val="100"/>
          <w:position w:val="0"/>
          <w:lang w:val="zh-CN" w:eastAsia="zh-CN" w:bidi="zh-CN"/>
        </w:rPr>
        <w:t>（三）挖潜力县工作方案</w:t>
      </w:r>
    </w:p>
    <w:p>
      <w:pPr>
        <w:pStyle w:val="30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1830"/>
        </w:tabs>
        <w:bidi w:val="0"/>
        <w:spacing w:before="0" w:after="0" w:line="600" w:lineRule="exact"/>
        <w:ind w:left="800" w:right="1360" w:firstLine="640"/>
        <w:jc w:val="both"/>
      </w:pPr>
      <w:r>
        <w:rPr>
          <w:color w:val="000000"/>
          <w:w w:val="100"/>
          <w:position w:val="0"/>
          <w:lang w:val="zh-CN" w:eastAsia="zh-CN" w:bidi="zh-CN"/>
        </w:rPr>
        <w:t>基本县情、本地特色产业、农村电商等发展概况。以前 年度支持过的示范县还需对前期工作进展、政策机制、绩效 评价、扶贫带贫或产销对接成效等进行总结。</w:t>
      </w:r>
    </w:p>
    <w:p>
      <w:pPr>
        <w:pStyle w:val="30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1830"/>
        </w:tabs>
        <w:bidi w:val="0"/>
        <w:spacing w:before="0" w:after="0" w:line="600" w:lineRule="exact"/>
        <w:ind w:left="800" w:right="1360" w:firstLine="640"/>
        <w:jc w:val="both"/>
      </w:pPr>
      <w:r>
        <w:rPr>
          <w:color w:val="000000"/>
          <w:w w:val="100"/>
          <w:position w:val="0"/>
          <w:lang w:val="zh-CN" w:eastAsia="zh-CN" w:bidi="zh-CN"/>
        </w:rPr>
        <w:t>重点围绕建立完善农村现代市场体系，扶持优势产业, 推进品牌、标准、品质控制等，打造综合示范“升级版”的 工作目标和措施。</w:t>
      </w:r>
    </w:p>
    <w:p>
      <w:pPr>
        <w:pStyle w:val="30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1830"/>
        </w:tabs>
        <w:bidi w:val="0"/>
        <w:spacing w:before="0" w:after="0" w:line="600" w:lineRule="exact"/>
        <w:ind w:left="800" w:right="1360" w:firstLine="640"/>
        <w:jc w:val="both"/>
      </w:pPr>
      <w:r>
        <w:rPr>
          <w:color w:val="000000"/>
          <w:w w:val="100"/>
          <w:position w:val="0"/>
          <w:lang w:val="zh-CN" w:eastAsia="zh-CN" w:bidi="zh-CN"/>
        </w:rPr>
        <w:t>加强农村电商公共服务体系市场化、可持续发展机制的 具体举措。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600" w:lineRule="exact"/>
        <w:ind w:left="800" w:right="0" w:firstLine="640"/>
        <w:jc w:val="left"/>
      </w:pPr>
      <w:r>
        <w:rPr>
          <w:color w:val="000000"/>
          <w:w w:val="100"/>
          <w:position w:val="0"/>
          <w:lang w:val="zh-CN" w:eastAsia="zh-CN" w:bidi="zh-CN"/>
        </w:rPr>
        <w:t xml:space="preserve">国务院典型激励市县工作方案可围绕农村现代市场体系 建设，农村电商服务乡村振兴，推广应用数据驱动、智慧物 流、大数据、云服务等新思路新举措，有一定创新、超前性。 </w:t>
      </w:r>
      <w:r>
        <w:rPr>
          <w:rStyle w:val="36"/>
          <w:b/>
          <w:bCs/>
          <w:i w:val="0"/>
          <w:iCs w:val="0"/>
          <w:smallCaps w:val="0"/>
          <w:strike w:val="0"/>
        </w:rPr>
        <w:t xml:space="preserve">三、下一步加强管理的工作措施 </w:t>
      </w:r>
      <w:r>
        <w:rPr>
          <w:color w:val="000000"/>
          <w:w w:val="100"/>
          <w:position w:val="0"/>
          <w:lang w:val="zh-CN" w:eastAsia="zh-CN" w:bidi="zh-CN"/>
        </w:rPr>
        <w:t>本省财政专项资金细化支持方向、标准，以及绩效管理 和项目验收办法。省级主管部门对示范县的工作指导、监督 检查机制。进一步加强政务公开和信息报送的政策措施，省 级主管部门和示范地区人民政府门户网站设置公开专栏（有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600" w:lineRule="exact"/>
        <w:ind w:left="800" w:right="0" w:firstLine="0"/>
        <w:jc w:val="left"/>
      </w:pPr>
      <w:r>
        <w:rPr>
          <w:color w:val="000000"/>
          <w:w w:val="100"/>
          <w:position w:val="0"/>
          <w:lang w:val="zh-CN" w:eastAsia="zh-CN" w:bidi="zh-CN"/>
        </w:rPr>
        <w:t>关信息不得散见于网站）情况。委托专业第三方会计师事务</w:t>
      </w:r>
    </w:p>
    <w:p>
      <w:pPr>
        <w:pStyle w:val="54"/>
        <w:keepNext w:val="0"/>
        <w:keepLines w:val="0"/>
        <w:widowControl w:val="0"/>
        <w:shd w:val="clear" w:color="auto" w:fill="auto"/>
        <w:bidi w:val="0"/>
        <w:spacing w:before="0" w:after="0"/>
        <w:ind w:left="800" w:right="0" w:firstLine="0"/>
        <w:jc w:val="left"/>
        <w:sectPr>
          <w:footerReference r:id="rId13" w:type="default"/>
          <w:footerReference r:id="rId14" w:type="even"/>
          <w:pgSz w:w="12240" w:h="15840"/>
          <w:pgMar w:top="1665" w:right="673" w:bottom="220" w:left="1223" w:header="0" w:footer="3" w:gutter="0"/>
          <w:cols w:space="720" w:num="1"/>
          <w:rtlGutter w:val="0"/>
          <w:docGrid w:linePitch="360" w:charSpace="0"/>
        </w:sectPr>
      </w:pPr>
      <w:r>
        <w:rPr>
          <w:rFonts w:ascii="Times New Roman" w:hAnsi="Times New Roman" w:eastAsia="Times New Roman" w:cs="Times New Roman"/>
          <w:color w:val="000000"/>
          <w:w w:val="100"/>
          <w:position w:val="0"/>
          <w:sz w:val="24"/>
          <w:szCs w:val="24"/>
          <w:lang w:val="zh-CN" w:eastAsia="zh-CN" w:bidi="zh-CN"/>
        </w:rPr>
        <w:t>—18</w:t>
      </w:r>
      <w:r>
        <w:rPr>
          <w:rStyle w:val="55"/>
          <w:b w:val="0"/>
          <w:bCs w:val="0"/>
          <w:i w:val="0"/>
          <w:iCs w:val="0"/>
          <w:smallCaps w:val="0"/>
          <w:strike w:val="0"/>
        </w:rPr>
        <w:t xml:space="preserve"> —</w:t>
      </w:r>
    </w:p>
    <w:p>
      <w:pPr>
        <w:pStyle w:val="30"/>
        <w:keepNext w:val="0"/>
        <w:keepLines w:val="0"/>
        <w:widowControl w:val="0"/>
        <w:shd w:val="clear" w:color="auto" w:fill="auto"/>
        <w:bidi w:val="0"/>
        <w:spacing w:before="0" w:after="0" w:line="610" w:lineRule="exact"/>
        <w:ind w:left="900" w:right="1280" w:firstLine="0"/>
        <w:jc w:val="left"/>
      </w:pPr>
      <w:r>
        <w:rPr>
          <w:color w:val="000000"/>
          <w:w w:val="100"/>
          <w:position w:val="0"/>
          <w:lang w:val="zh-CN" w:eastAsia="zh-CN" w:bidi="zh-CN"/>
        </w:rPr>
        <w:t>所、审计机构等加强日常现场管理的政策措施。推进智慧乡 村等大数据应用，提高工作成效和扶贫信息收集水平的办法。</w:t>
      </w:r>
    </w:p>
    <w:p>
      <w:pPr>
        <w:pStyle w:val="52"/>
        <w:keepNext w:val="0"/>
        <w:keepLines w:val="0"/>
        <w:widowControl w:val="0"/>
        <w:shd w:val="clear" w:color="auto" w:fill="auto"/>
        <w:bidi w:val="0"/>
        <w:spacing w:before="0" w:after="528"/>
        <w:ind w:left="840" w:right="0" w:firstLine="0"/>
        <w:jc w:val="left"/>
      </w:pPr>
      <w:r>
        <w:rPr>
          <w:color w:val="000000"/>
          <w:w w:val="100"/>
          <w:position w:val="0"/>
          <w:sz w:val="24"/>
          <w:szCs w:val="24"/>
          <w:lang w:val="zh-CN" w:eastAsia="zh-CN" w:bidi="zh-CN"/>
        </w:rPr>
        <w:t>附件2</w:t>
      </w:r>
    </w:p>
    <w:p>
      <w:pPr>
        <w:pStyle w:val="15"/>
        <w:keepNext/>
        <w:keepLines/>
        <w:widowControl w:val="0"/>
        <w:shd w:val="clear" w:color="auto" w:fill="auto"/>
        <w:bidi w:val="0"/>
        <w:spacing w:before="0" w:after="0" w:line="380" w:lineRule="exact"/>
        <w:ind w:left="0" w:right="60" w:firstLine="0"/>
      </w:pPr>
      <w:bookmarkStart w:id="4" w:name="bookmark4"/>
      <w:r>
        <w:rPr>
          <w:color w:val="000000"/>
          <w:spacing w:val="0"/>
          <w:w w:val="100"/>
          <w:position w:val="0"/>
          <w:lang w:val="zh-CN" w:eastAsia="zh-CN" w:bidi="zh-CN"/>
        </w:rPr>
        <w:t>有关省辖市、省直管县（市）示范县申报数量上限</w:t>
      </w:r>
      <w:bookmarkEnd w:id="4"/>
    </w:p>
    <w:tbl>
      <w:tblPr>
        <w:tblStyle w:val="2"/>
        <w:tblW w:w="8861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4"/>
        <w:gridCol w:w="2088"/>
        <w:gridCol w:w="2093"/>
        <w:gridCol w:w="2074"/>
        <w:gridCol w:w="175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78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序号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10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省辖市、</w:t>
            </w:r>
          </w:p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100" w:after="0" w:line="240" w:lineRule="exact"/>
              <w:ind w:left="1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省直管县（市）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350" w:lineRule="exact"/>
              <w:ind w:left="0" w:right="2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未纳入国家级 示范县的10个 国贫县（含 财政直管县）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10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其他县</w:t>
            </w:r>
          </w:p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100" w:after="0" w:line="240" w:lineRule="exact"/>
              <w:ind w:left="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（含财政直管县）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合计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全省合计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2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24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34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郑州市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340" w:firstLine="0"/>
              <w:jc w:val="righ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开封市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90" w:lineRule="exact"/>
              <w:ind w:left="1740" w:right="0" w:firstLine="0"/>
              <w:jc w:val="left"/>
            </w:pPr>
            <w:r>
              <w:rPr>
                <w:rStyle w:val="56"/>
                <w:b w:val="0"/>
                <w:bCs w:val="0"/>
                <w:i w:val="0"/>
                <w:iCs w:val="0"/>
                <w:smallCaps w:val="0"/>
                <w:strike w:val="0"/>
              </w:rPr>
              <w:t>•-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3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洛阳市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2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340" w:firstLine="0"/>
              <w:jc w:val="righ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4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平顶山市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5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安阳市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340" w:firstLine="0"/>
              <w:jc w:val="righ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6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鹤壁市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7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新乡市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340" w:firstLine="0"/>
              <w:jc w:val="righ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8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焦作市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9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濮阳市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10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许昌市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11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漯河市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12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三门峡市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13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南阳市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2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3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14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商丘市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61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3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15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信阳市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2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61" w:wrap="notBeside" w:vAnchor="text" w:hAnchor="text" w:xAlign="center" w:y="1"/>
              <w:widowControl w:val="0"/>
              <w:shd w:val="clear" w:color="auto" w:fill="auto"/>
              <w:bidi w:val="0"/>
              <w:spacing w:before="0" w:after="0" w:line="240" w:lineRule="exact"/>
              <w:ind w:left="4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4</w:t>
            </w:r>
          </w:p>
        </w:tc>
      </w:tr>
    </w:tbl>
    <w:p>
      <w:pPr>
        <w:framePr w:w="8861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Style w:val="2"/>
        <w:tblW w:w="8832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0"/>
        <w:gridCol w:w="2088"/>
        <w:gridCol w:w="2088"/>
        <w:gridCol w:w="2088"/>
        <w:gridCol w:w="1718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82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1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序号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100" w:line="240" w:lineRule="exact"/>
              <w:ind w:left="0" w:right="0" w:firstLine="0"/>
            </w:pPr>
            <w:r>
              <w:rPr>
                <w:rStyle w:val="57"/>
                <w:b w:val="0"/>
                <w:bCs w:val="0"/>
                <w:i w:val="0"/>
                <w:iCs w:val="0"/>
                <w:smallCaps w:val="0"/>
                <w:strike w:val="0"/>
              </w:rPr>
              <w:t>省辖市、</w:t>
            </w:r>
          </w:p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100" w:after="0" w:line="240" w:lineRule="exact"/>
              <w:ind w:left="16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省直管县（市）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350" w:lineRule="exact"/>
              <w:ind w:left="0" w:right="2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未纳入国家级 示范县的10个 国贫县（含 财政直管县）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10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其他县</w:t>
            </w:r>
          </w:p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100" w:after="0" w:line="240" w:lineRule="exact"/>
              <w:ind w:left="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（含财政直管县）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合计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32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16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周口市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3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32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17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驻马店市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2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32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18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兰考县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2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3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32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19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固始县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2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framePr w:w="883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320" w:right="0" w:firstLine="0"/>
              <w:jc w:val="left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20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鹿邑县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framePr w:w="8832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framePr w:w="8832" w:wrap="notBeside" w:vAnchor="text" w:hAnchor="text" w:y="1"/>
              <w:widowControl w:val="0"/>
              <w:shd w:val="clear" w:color="auto" w:fill="auto"/>
              <w:bidi w:val="0"/>
              <w:spacing w:before="0" w:after="0" w:line="240" w:lineRule="exact"/>
              <w:ind w:left="20" w:right="0" w:firstLine="0"/>
            </w:pPr>
            <w:r>
              <w:rPr>
                <w:rStyle w:val="43"/>
                <w:b w:val="0"/>
                <w:bCs w:val="0"/>
                <w:i w:val="0"/>
                <w:iCs w:val="0"/>
                <w:smallCaps w:val="0"/>
                <w:strike w:val="0"/>
              </w:rPr>
              <w:t>1</w:t>
            </w:r>
          </w:p>
        </w:tc>
      </w:tr>
    </w:tbl>
    <w:p>
      <w:pPr>
        <w:framePr w:w="8832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footerReference r:id="rId16" w:type="first"/>
          <w:footerReference r:id="rId15" w:type="default"/>
          <w:pgSz w:w="12240" w:h="15840"/>
          <w:pgMar w:top="1836" w:right="1018" w:bottom="1471" w:left="878" w:header="0" w:footer="3" w:gutter="0"/>
          <w:cols w:space="720" w:num="1"/>
          <w:titlePg/>
          <w:rtlGutter w:val="0"/>
          <w:docGrid w:linePitch="360" w:charSpace="0"/>
        </w:sectPr>
      </w:pPr>
    </w:p>
    <w:p>
      <w:pPr>
        <w:pStyle w:val="23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  <w:sectPr>
          <w:pgSz w:w="12240" w:h="15840"/>
          <w:pgMar w:top="14092" w:right="1887" w:bottom="858" w:left="1834" w:header="0" w:footer="3" w:gutter="0"/>
          <w:cols w:space="720" w:num="1"/>
          <w:rtlGutter w:val="0"/>
          <w:docGrid w:linePitch="360" w:charSpace="0"/>
        </w:sectPr>
      </w:pPr>
      <w:r>
        <w:rPr>
          <w:rStyle w:val="58"/>
          <w:b w:val="0"/>
          <w:bCs w:val="0"/>
          <w:i w:val="0"/>
          <w:iCs w:val="0"/>
          <w:smallCaps w:val="0"/>
          <w:strike w:val="0"/>
        </w:rPr>
        <w:t>信息公开选项：主动公开</w:t>
      </w:r>
    </w:p>
    <w:p>
      <w:pPr>
        <w:widowControl w:val="0"/>
        <w:spacing w:before="11" w:after="11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2240" w:h="15840"/>
          <w:pgMar w:top="14092" w:right="0" w:bottom="858" w:left="0" w:header="0" w:footer="3" w:gutter="0"/>
          <w:cols w:space="720" w:num="1"/>
          <w:rtlGutter w:val="0"/>
          <w:docGrid w:linePitch="360" w:charSpace="0"/>
        </w:sectPr>
      </w:pPr>
    </w:p>
    <w:p>
      <w:pPr>
        <w:pStyle w:val="5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w w:val="100"/>
          <w:position w:val="0"/>
          <w:sz w:val="24"/>
          <w:szCs w:val="24"/>
          <w:lang w:val="zh-CN" w:eastAsia="zh-CN" w:bidi="zh-CN"/>
        </w:rPr>
        <w:t xml:space="preserve">河南省财政厅办公室 </w:t>
      </w:r>
      <w:r>
        <w:rPr>
          <w:rStyle w:val="59"/>
          <w:b w:val="0"/>
          <w:bCs w:val="0"/>
          <w:i w:val="0"/>
          <w:iCs w:val="0"/>
          <w:smallCaps w:val="0"/>
          <w:strike w:val="0"/>
        </w:rPr>
        <w:t>2019年5月5日印发</w:t>
      </w:r>
    </w:p>
    <w:sectPr>
      <w:type w:val="continuous"/>
      <w:pgSz w:w="12240" w:h="15840"/>
      <w:pgMar w:top="14092" w:right="1887" w:bottom="858" w:left="2146" w:header="0" w:footer="3" w:gutter="0"/>
      <w:cols w:space="3034" w:num="2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rPr>
        <w:sz w:val="2"/>
        <w:szCs w:val="2"/>
      </w:rPr>
    </w:pPr>
    <w:r>
      <w:pict>
        <v:shape id="_x0000_s2050" o:spid="_x0000_s2050" o:spt="202" type="#_x0000_t202" style="position:absolute;left:0pt;margin-left:501.75pt;margin-top:758.1pt;height:9.1pt;width:4.55pt;mso-position-horizontal-relative:page;mso-position-vertical-relative:page;mso-wrap-style:none;z-index:-188744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t>#</w:t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fldChar w:fldCharType="end"/>
                </w:r>
              </w:p>
            </w:txbxContent>
          </v:textbox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rPr>
        <w:sz w:val="2"/>
        <w:szCs w:val="2"/>
      </w:rPr>
    </w:pPr>
    <w:r>
      <w:pict>
        <v:shape id="_x0000_s2055" o:spid="_x0000_s2055" o:spt="202" type="#_x0000_t202" style="position:absolute;left:0pt;margin-left:439.65pt;margin-top:750pt;height:9.35pt;width:11.5pt;mso-position-horizontal-relative:page;mso-position-vertical-relative:page;mso-wrap-style:none;z-index:-188744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41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t>#</w:t>
                </w:r>
                <w:r>
                  <w:rPr>
                    <w:rStyle w:val="41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fldChar w:fldCharType="end"/>
                </w:r>
              </w:p>
            </w:txbxContent>
          </v:textbox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rPr>
        <w:sz w:val="2"/>
        <w:szCs w:val="2"/>
      </w:rPr>
    </w:pPr>
    <w:r>
      <w:pict>
        <v:shape id="_x0000_s2056" o:spid="_x0000_s2056" o:spt="202" type="#_x0000_t202" style="position:absolute;left:0pt;margin-left:470.6pt;margin-top:777.85pt;height:8.4pt;width:10.1pt;mso-position-horizontal-relative:page;mso-position-vertical-relative:page;mso-wrap-style:none;z-index:-188744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41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t>#</w:t>
                </w:r>
                <w:r>
                  <w:rPr>
                    <w:rStyle w:val="41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rPr>
        <w:sz w:val="2"/>
        <w:szCs w:val="2"/>
      </w:rPr>
    </w:pPr>
    <w:r>
      <w:pict>
        <v:shape id="_x0000_s2049" o:spid="_x0000_s2049" o:spt="202" type="#_x0000_t202" style="position:absolute;left:0pt;margin-left:501.75pt;margin-top:758.1pt;height:9.1pt;width:4.55pt;mso-position-horizontal-relative:page;mso-position-vertical-relative:page;mso-wrap-style:none;z-index:-188744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t>#</w:t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rPr>
        <w:sz w:val="2"/>
        <w:szCs w:val="2"/>
      </w:rPr>
    </w:pPr>
    <w:r>
      <w:pict>
        <v:shape id="_x0000_s2052" o:spid="_x0000_s2052" o:spt="202" type="#_x0000_t202" style="position:absolute;left:0pt;margin-left:494.9pt;margin-top:772.95pt;height:8.4pt;width:8.9pt;mso-position-horizontal-relative:page;mso-position-vertical-relative:page;mso-wrap-style:none;z-index:-188744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t>#</w:t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rPr>
        <w:sz w:val="2"/>
        <w:szCs w:val="2"/>
      </w:rPr>
    </w:pPr>
    <w:r>
      <w:pict>
        <v:shape id="_x0000_s2051" o:spid="_x0000_s2051" o:spt="202" type="#_x0000_t202" style="position:absolute;left:0pt;margin-left:150.5pt;margin-top:756.4pt;height:8.4pt;width:10.1pt;mso-position-horizontal-relative:page;mso-position-vertical-relative:page;mso-wrap-style:none;z-index:-188744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t>#</w:t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fldChar w:fldCharType="end"/>
                </w: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rPr>
        <w:sz w:val="2"/>
        <w:szCs w:val="2"/>
      </w:rPr>
    </w:pPr>
    <w:r>
      <w:pict>
        <v:shape id="_x0000_s2054" o:spid="_x0000_s2054" o:spt="202" type="#_x0000_t202" style="position:absolute;left:0pt;margin-left:510.75pt;margin-top:757.35pt;height:8.4pt;width:54pt;mso-position-horizontal-relative:page;mso-position-vertical-relative:page;mso-wrap-style:none;z-index:-188744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</w:pP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  <w:lang w:val="en-US" w:eastAsia="en-US" w:bidi="en-US"/>
                  </w:rPr>
                  <w:t>—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t>#</w:t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fldChar w:fldCharType="end"/>
                </w:r>
                <w:r>
                  <w:rPr>
                    <w:rStyle w:val="6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t xml:space="preserve"> —</w:t>
                </w:r>
              </w:p>
            </w:txbxContent>
          </v:textbox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rPr>
        <w:sz w:val="2"/>
        <w:szCs w:val="2"/>
      </w:rPr>
    </w:pPr>
    <w:r>
      <w:pict>
        <v:shape id="_x0000_s2053" o:spid="_x0000_s2053" o:spt="202" type="#_x0000_t202" style="position:absolute;left:0pt;margin-left:103.8pt;margin-top:681pt;height:10.3pt;width:283.2pt;mso-position-horizontal-relative:page;mso-position-vertical-relative:page;mso-wrap-style:none;z-index:-188744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keepNext w:val="0"/>
                  <w:keepLines w:val="0"/>
                  <w:widowControl w:val="0"/>
                  <w:shd w:val="clear" w:color="auto" w:fill="auto"/>
                  <w:bidi w:val="0"/>
                  <w:spacing w:before="0" w:after="0" w:line="240" w:lineRule="auto"/>
                  <w:ind w:left="0" w:right="0" w:firstLine="0"/>
                  <w:jc w:val="left"/>
                </w:pPr>
                <w:r>
                  <w:rPr>
                    <w:rStyle w:val="41"/>
                    <w:b w:val="0"/>
                    <w:bCs w:val="0"/>
                    <w:i w:val="0"/>
                    <w:iCs w:val="0"/>
                    <w:smallCaps w:val="0"/>
                    <w:strike w:val="0"/>
                  </w:rPr>
                  <w:t>3.西藏实际以整体推进形式申报，为方便统计，仍以单个县计算。</w:t>
                </w:r>
              </w:p>
            </w:txbxContent>
          </v:textbox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singleLevel"/>
    <w:tmpl w:val="BF205925"/>
    <w:lvl w:ilvl="0" w:tentative="0">
      <w:start w:val="1"/>
      <w:numFmt w:val="decimal"/>
      <w:lvlText w:val="%1."/>
      <w:lvlJc w:val="left"/>
      <w:rPr>
        <w:rFonts w:ascii="PMingLiU" w:hAnsi="PMingLiU" w:eastAsia="PMingLiU" w:cs="P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  <w:lang w:val="zh-CN" w:eastAsia="zh-CN" w:bidi="zh-CN"/>
      </w:rPr>
    </w:lvl>
  </w:abstractNum>
  <w:abstractNum w:abstractNumId="1">
    <w:nsid w:val="CF092B84"/>
    <w:multiLevelType w:val="singleLevel"/>
    <w:tmpl w:val="CF092B84"/>
    <w:lvl w:ilvl="0" w:tentative="0">
      <w:start w:val="2"/>
      <w:numFmt w:val="decimal"/>
      <w:lvlText w:val="(%1)"/>
      <w:lvlJc w:val="left"/>
      <w:rPr>
        <w:rFonts w:ascii="PMingLiU" w:hAnsi="PMingLiU" w:eastAsia="PMingLiU" w:cs="PMingLiU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8"/>
        <w:szCs w:val="28"/>
        <w:u w:val="none"/>
        <w:lang w:val="en-US" w:eastAsia="en-US" w:bidi="en-US"/>
      </w:rPr>
    </w:lvl>
  </w:abstractNum>
  <w:abstractNum w:abstractNumId="2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PMingLiU" w:hAnsi="PMingLiU" w:eastAsia="PMingLiU" w:cs="PMingLiU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8"/>
        <w:szCs w:val="28"/>
        <w:u w:val="none"/>
        <w:lang w:val="en-US" w:eastAsia="en-US" w:bidi="en-US"/>
      </w:rPr>
    </w:lvl>
  </w:abstractNum>
  <w:abstractNum w:abstractNumId="3">
    <w:nsid w:val="59ADCABA"/>
    <w:multiLevelType w:val="singleLevel"/>
    <w:tmpl w:val="59ADCABA"/>
    <w:lvl w:ilvl="0" w:tentative="0">
      <w:start w:val="1"/>
      <w:numFmt w:val="decimal"/>
      <w:lvlText w:val="%1."/>
      <w:lvlJc w:val="left"/>
      <w:rPr>
        <w:rFonts w:ascii="PMingLiU" w:hAnsi="PMingLiU" w:eastAsia="PMingLiU" w:cs="P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0"/>
        <w:szCs w:val="30"/>
        <w:u w:val="none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2"/>
  </w:compat>
  <w:rsids>
    <w:rsidRoot w:val="00000000"/>
    <w:rsid w:val="745A77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lang w:val="zh-CN" w:eastAsia="zh-CN" w:bidi="zh-CN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lang w:val="zh-CN" w:eastAsia="zh-CN" w:bidi="zh-CN"/>
    </w:rPr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Header or footer|1_"/>
    <w:basedOn w:val="3"/>
    <w:link w:val="5"/>
    <w:uiPriority w:val="0"/>
    <w:rPr>
      <w:rFonts w:ascii="PMingLiU" w:hAnsi="PMingLiU" w:eastAsia="PMingLiU" w:cs="PMingLiU"/>
      <w:sz w:val="19"/>
      <w:szCs w:val="19"/>
      <w:u w:val="none"/>
    </w:rPr>
  </w:style>
  <w:style w:type="paragraph" w:customStyle="1" w:styleId="5">
    <w:name w:val="Header or footer|11"/>
    <w:basedOn w:val="1"/>
    <w:link w:val="4"/>
    <w:qFormat/>
    <w:uiPriority w:val="0"/>
    <w:pPr>
      <w:widowControl w:val="0"/>
      <w:shd w:val="clear" w:color="auto" w:fill="FFFFFF"/>
      <w:spacing w:line="190" w:lineRule="exact"/>
    </w:pPr>
    <w:rPr>
      <w:rFonts w:ascii="PMingLiU" w:hAnsi="PMingLiU" w:eastAsia="PMingLiU" w:cs="PMingLiU"/>
      <w:sz w:val="19"/>
      <w:szCs w:val="19"/>
      <w:u w:val="none"/>
    </w:rPr>
  </w:style>
  <w:style w:type="character" w:customStyle="1" w:styleId="6">
    <w:name w:val="Header or footer|1 + Spacing 2 pt"/>
    <w:basedOn w:val="4"/>
    <w:semiHidden/>
    <w:unhideWhenUsed/>
    <w:uiPriority w:val="0"/>
    <w:rPr>
      <w:color w:val="000000"/>
      <w:spacing w:val="40"/>
      <w:w w:val="100"/>
      <w:position w:val="0"/>
      <w:lang w:val="zh-CN" w:eastAsia="zh-CN" w:bidi="zh-CN"/>
    </w:rPr>
  </w:style>
  <w:style w:type="character" w:customStyle="1" w:styleId="7">
    <w:name w:val="Heading #2|1_"/>
    <w:basedOn w:val="3"/>
    <w:link w:val="8"/>
    <w:uiPriority w:val="0"/>
    <w:rPr>
      <w:rFonts w:ascii="PMingLiU" w:hAnsi="PMingLiU" w:eastAsia="PMingLiU" w:cs="PMingLiU"/>
      <w:spacing w:val="100"/>
      <w:sz w:val="52"/>
      <w:szCs w:val="52"/>
      <w:u w:val="none"/>
    </w:rPr>
  </w:style>
  <w:style w:type="paragraph" w:customStyle="1" w:styleId="8">
    <w:name w:val="Heading #2|11"/>
    <w:basedOn w:val="1"/>
    <w:link w:val="7"/>
    <w:qFormat/>
    <w:uiPriority w:val="0"/>
    <w:pPr>
      <w:widowControl w:val="0"/>
      <w:shd w:val="clear" w:color="auto" w:fill="FFFFFF"/>
      <w:spacing w:after="320" w:line="520" w:lineRule="exact"/>
      <w:outlineLvl w:val="1"/>
    </w:pPr>
    <w:rPr>
      <w:rFonts w:ascii="PMingLiU" w:hAnsi="PMingLiU" w:eastAsia="PMingLiU" w:cs="PMingLiU"/>
      <w:spacing w:val="100"/>
      <w:sz w:val="52"/>
      <w:szCs w:val="52"/>
      <w:u w:val="none"/>
    </w:rPr>
  </w:style>
  <w:style w:type="character" w:customStyle="1" w:styleId="9">
    <w:name w:val="Heading #2|1 + Spacing 31 pt"/>
    <w:basedOn w:val="7"/>
    <w:semiHidden/>
    <w:unhideWhenUsed/>
    <w:uiPriority w:val="0"/>
    <w:rPr>
      <w:color w:val="D72D41"/>
      <w:spacing w:val="620"/>
      <w:w w:val="100"/>
      <w:position w:val="0"/>
      <w:lang w:val="zh-CN" w:eastAsia="zh-CN" w:bidi="zh-CN"/>
    </w:rPr>
  </w:style>
  <w:style w:type="character" w:customStyle="1" w:styleId="10">
    <w:name w:val="Heading #2|1 + Spacing 24 pt"/>
    <w:basedOn w:val="7"/>
    <w:semiHidden/>
    <w:unhideWhenUsed/>
    <w:uiPriority w:val="0"/>
    <w:rPr>
      <w:color w:val="D72D41"/>
      <w:spacing w:val="490"/>
      <w:w w:val="100"/>
      <w:position w:val="0"/>
      <w:lang w:val="zh-CN" w:eastAsia="zh-CN" w:bidi="zh-CN"/>
    </w:rPr>
  </w:style>
  <w:style w:type="character" w:customStyle="1" w:styleId="11">
    <w:name w:val="Heading #2|1"/>
    <w:basedOn w:val="7"/>
    <w:semiHidden/>
    <w:unhideWhenUsed/>
    <w:uiPriority w:val="0"/>
    <w:rPr>
      <w:color w:val="D72D41"/>
      <w:w w:val="100"/>
      <w:position w:val="0"/>
      <w:lang w:val="zh-CN" w:eastAsia="zh-CN" w:bidi="zh-CN"/>
    </w:rPr>
  </w:style>
  <w:style w:type="character" w:customStyle="1" w:styleId="12">
    <w:name w:val="Body text|2_"/>
    <w:basedOn w:val="3"/>
    <w:link w:val="13"/>
    <w:uiPriority w:val="0"/>
    <w:rPr>
      <w:rFonts w:ascii="PMingLiU" w:hAnsi="PMingLiU" w:eastAsia="PMingLiU" w:cs="PMingLiU"/>
      <w:spacing w:val="30"/>
      <w:sz w:val="28"/>
      <w:szCs w:val="28"/>
      <w:u w:val="none"/>
    </w:rPr>
  </w:style>
  <w:style w:type="paragraph" w:customStyle="1" w:styleId="13">
    <w:name w:val="Body text|2"/>
    <w:basedOn w:val="1"/>
    <w:link w:val="12"/>
    <w:qFormat/>
    <w:uiPriority w:val="0"/>
    <w:pPr>
      <w:widowControl w:val="0"/>
      <w:shd w:val="clear" w:color="auto" w:fill="FFFFFF"/>
      <w:spacing w:before="660" w:after="1540" w:line="280" w:lineRule="exact"/>
      <w:ind w:hanging="1420"/>
      <w:jc w:val="center"/>
    </w:pPr>
    <w:rPr>
      <w:rFonts w:ascii="PMingLiU" w:hAnsi="PMingLiU" w:eastAsia="PMingLiU" w:cs="PMingLiU"/>
      <w:spacing w:val="30"/>
      <w:sz w:val="28"/>
      <w:szCs w:val="28"/>
      <w:u w:val="none"/>
    </w:rPr>
  </w:style>
  <w:style w:type="character" w:customStyle="1" w:styleId="14">
    <w:name w:val="Heading #3|1_"/>
    <w:basedOn w:val="3"/>
    <w:link w:val="15"/>
    <w:uiPriority w:val="0"/>
    <w:rPr>
      <w:rFonts w:ascii="PMingLiU" w:hAnsi="PMingLiU" w:eastAsia="PMingLiU" w:cs="PMingLiU"/>
      <w:sz w:val="38"/>
      <w:szCs w:val="38"/>
      <w:u w:val="none"/>
    </w:rPr>
  </w:style>
  <w:style w:type="paragraph" w:customStyle="1" w:styleId="15">
    <w:name w:val="Heading #3|1"/>
    <w:basedOn w:val="1"/>
    <w:link w:val="14"/>
    <w:qFormat/>
    <w:uiPriority w:val="0"/>
    <w:pPr>
      <w:widowControl w:val="0"/>
      <w:shd w:val="clear" w:color="auto" w:fill="FFFFFF"/>
      <w:spacing w:before="1540" w:after="120" w:line="758" w:lineRule="exact"/>
      <w:jc w:val="center"/>
      <w:outlineLvl w:val="2"/>
    </w:pPr>
    <w:rPr>
      <w:rFonts w:ascii="PMingLiU" w:hAnsi="PMingLiU" w:eastAsia="PMingLiU" w:cs="PMingLiU"/>
      <w:sz w:val="38"/>
      <w:szCs w:val="38"/>
      <w:u w:val="none"/>
    </w:rPr>
  </w:style>
  <w:style w:type="character" w:customStyle="1" w:styleId="16">
    <w:name w:val="Body text|3_"/>
    <w:basedOn w:val="3"/>
    <w:link w:val="17"/>
    <w:uiPriority w:val="0"/>
    <w:rPr>
      <w:rFonts w:ascii="PMingLiU" w:hAnsi="PMingLiU" w:eastAsia="PMingLiU" w:cs="PMingLiU"/>
      <w:spacing w:val="20"/>
      <w:sz w:val="28"/>
      <w:szCs w:val="28"/>
      <w:u w:val="none"/>
    </w:rPr>
  </w:style>
  <w:style w:type="paragraph" w:customStyle="1" w:styleId="17">
    <w:name w:val="Body text|3"/>
    <w:basedOn w:val="1"/>
    <w:link w:val="16"/>
    <w:uiPriority w:val="0"/>
    <w:pPr>
      <w:widowControl w:val="0"/>
      <w:shd w:val="clear" w:color="auto" w:fill="FFFFFF"/>
      <w:spacing w:line="595" w:lineRule="exact"/>
      <w:jc w:val="distribute"/>
    </w:pPr>
    <w:rPr>
      <w:rFonts w:ascii="PMingLiU" w:hAnsi="PMingLiU" w:eastAsia="PMingLiU" w:cs="PMingLiU"/>
      <w:spacing w:val="20"/>
      <w:sz w:val="28"/>
      <w:szCs w:val="28"/>
      <w:u w:val="none"/>
    </w:rPr>
  </w:style>
  <w:style w:type="character" w:customStyle="1" w:styleId="18">
    <w:name w:val="Body text|3 + 5.5 pt"/>
    <w:aliases w:val="Spacing 2 pt,Scaling 75%"/>
    <w:basedOn w:val="16"/>
    <w:semiHidden/>
    <w:unhideWhenUsed/>
    <w:uiPriority w:val="0"/>
    <w:rPr>
      <w:color w:val="000000"/>
      <w:spacing w:val="50"/>
      <w:w w:val="75"/>
      <w:position w:val="0"/>
      <w:sz w:val="11"/>
      <w:szCs w:val="11"/>
      <w:lang w:val="zh-CN" w:eastAsia="zh-CN" w:bidi="zh-CN"/>
    </w:rPr>
  </w:style>
  <w:style w:type="character" w:customStyle="1" w:styleId="19">
    <w:name w:val="Body text|2 + Times New Roman"/>
    <w:aliases w:val="15 pt,Spacing 0 pt"/>
    <w:basedOn w:val="12"/>
    <w:semiHidden/>
    <w:unhideWhenUsed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30"/>
      <w:szCs w:val="30"/>
      <w:lang w:val="en-US" w:eastAsia="en-US" w:bidi="en-US"/>
    </w:rPr>
  </w:style>
  <w:style w:type="character" w:customStyle="1" w:styleId="20">
    <w:name w:val="Body text|2 + Spacing 8 pt"/>
    <w:basedOn w:val="12"/>
    <w:semiHidden/>
    <w:unhideWhenUsed/>
    <w:uiPriority w:val="0"/>
    <w:rPr>
      <w:color w:val="000000"/>
      <w:spacing w:val="170"/>
      <w:w w:val="100"/>
      <w:position w:val="0"/>
      <w:lang w:val="zh-CN" w:eastAsia="zh-CN" w:bidi="zh-CN"/>
    </w:rPr>
  </w:style>
  <w:style w:type="character" w:customStyle="1" w:styleId="21">
    <w:name w:val="Body text|2 + Spacing 4 pt"/>
    <w:basedOn w:val="12"/>
    <w:semiHidden/>
    <w:unhideWhenUsed/>
    <w:uiPriority w:val="0"/>
    <w:rPr>
      <w:color w:val="000000"/>
      <w:spacing w:val="90"/>
      <w:w w:val="100"/>
      <w:position w:val="0"/>
      <w:lang w:val="zh-CN" w:eastAsia="zh-CN" w:bidi="zh-CN"/>
    </w:rPr>
  </w:style>
  <w:style w:type="character" w:customStyle="1" w:styleId="22">
    <w:name w:val="Body text|4_"/>
    <w:basedOn w:val="3"/>
    <w:link w:val="23"/>
    <w:uiPriority w:val="0"/>
    <w:rPr>
      <w:rFonts w:ascii="PMingLiU" w:hAnsi="PMingLiU" w:eastAsia="PMingLiU" w:cs="PMingLiU"/>
      <w:spacing w:val="60"/>
      <w:sz w:val="26"/>
      <w:szCs w:val="26"/>
      <w:u w:val="none"/>
    </w:rPr>
  </w:style>
  <w:style w:type="paragraph" w:customStyle="1" w:styleId="23">
    <w:name w:val="Body text|4"/>
    <w:basedOn w:val="1"/>
    <w:link w:val="22"/>
    <w:uiPriority w:val="0"/>
    <w:pPr>
      <w:widowControl w:val="0"/>
      <w:shd w:val="clear" w:color="auto" w:fill="FFFFFF"/>
      <w:spacing w:after="280" w:line="260" w:lineRule="exact"/>
    </w:pPr>
    <w:rPr>
      <w:rFonts w:ascii="PMingLiU" w:hAnsi="PMingLiU" w:eastAsia="PMingLiU" w:cs="PMingLiU"/>
      <w:spacing w:val="60"/>
      <w:sz w:val="26"/>
      <w:szCs w:val="26"/>
      <w:u w:val="none"/>
    </w:rPr>
  </w:style>
  <w:style w:type="character" w:customStyle="1" w:styleId="24">
    <w:name w:val="Heading #1|1_"/>
    <w:basedOn w:val="3"/>
    <w:link w:val="25"/>
    <w:uiPriority w:val="0"/>
    <w:rPr>
      <w:rFonts w:ascii="PMingLiU" w:hAnsi="PMingLiU" w:eastAsia="PMingLiU" w:cs="PMingLiU"/>
      <w:spacing w:val="140"/>
      <w:w w:val="75"/>
      <w:sz w:val="60"/>
      <w:szCs w:val="60"/>
      <w:u w:val="none"/>
    </w:rPr>
  </w:style>
  <w:style w:type="paragraph" w:customStyle="1" w:styleId="25">
    <w:name w:val="Heading #1|1"/>
    <w:basedOn w:val="1"/>
    <w:link w:val="24"/>
    <w:qFormat/>
    <w:uiPriority w:val="0"/>
    <w:pPr>
      <w:widowControl w:val="0"/>
      <w:shd w:val="clear" w:color="auto" w:fill="FFFFFF"/>
      <w:spacing w:before="1680" w:after="500" w:line="936" w:lineRule="exact"/>
      <w:jc w:val="distribute"/>
      <w:outlineLvl w:val="0"/>
    </w:pPr>
    <w:rPr>
      <w:rFonts w:ascii="PMingLiU" w:hAnsi="PMingLiU" w:eastAsia="PMingLiU" w:cs="PMingLiU"/>
      <w:spacing w:val="140"/>
      <w:w w:val="75"/>
      <w:sz w:val="60"/>
      <w:szCs w:val="60"/>
      <w:u w:val="none"/>
    </w:rPr>
  </w:style>
  <w:style w:type="character" w:customStyle="1" w:styleId="26">
    <w:name w:val="Heading #1|1 + Spacing 0 pt"/>
    <w:basedOn w:val="24"/>
    <w:semiHidden/>
    <w:unhideWhenUsed/>
    <w:uiPriority w:val="0"/>
    <w:rPr>
      <w:color w:val="000000"/>
      <w:spacing w:val="0"/>
      <w:position w:val="0"/>
      <w:lang w:val="zh-CN" w:eastAsia="zh-CN" w:bidi="zh-CN"/>
    </w:rPr>
  </w:style>
  <w:style w:type="character" w:customStyle="1" w:styleId="27">
    <w:name w:val="Body text|5_"/>
    <w:basedOn w:val="3"/>
    <w:link w:val="28"/>
    <w:uiPriority w:val="0"/>
    <w:rPr>
      <w:rFonts w:ascii="PMingLiU" w:hAnsi="PMingLiU" w:eastAsia="PMingLiU" w:cs="PMingLiU"/>
      <w:sz w:val="42"/>
      <w:szCs w:val="42"/>
      <w:u w:val="none"/>
    </w:rPr>
  </w:style>
  <w:style w:type="paragraph" w:customStyle="1" w:styleId="28">
    <w:name w:val="Body text|5"/>
    <w:basedOn w:val="1"/>
    <w:link w:val="27"/>
    <w:uiPriority w:val="0"/>
    <w:pPr>
      <w:widowControl w:val="0"/>
      <w:shd w:val="clear" w:color="auto" w:fill="FFFFFF"/>
      <w:spacing w:before="1420" w:after="1000" w:line="648" w:lineRule="exact"/>
      <w:jc w:val="center"/>
    </w:pPr>
    <w:rPr>
      <w:rFonts w:ascii="PMingLiU" w:hAnsi="PMingLiU" w:eastAsia="PMingLiU" w:cs="PMingLiU"/>
      <w:sz w:val="42"/>
      <w:szCs w:val="42"/>
      <w:u w:val="none"/>
    </w:rPr>
  </w:style>
  <w:style w:type="character" w:customStyle="1" w:styleId="29">
    <w:name w:val="Body text|6_"/>
    <w:basedOn w:val="3"/>
    <w:link w:val="30"/>
    <w:uiPriority w:val="0"/>
    <w:rPr>
      <w:rFonts w:ascii="PMingLiU" w:hAnsi="PMingLiU" w:eastAsia="PMingLiU" w:cs="PMingLiU"/>
      <w:spacing w:val="20"/>
      <w:sz w:val="30"/>
      <w:szCs w:val="30"/>
      <w:u w:val="none"/>
    </w:rPr>
  </w:style>
  <w:style w:type="paragraph" w:customStyle="1" w:styleId="30">
    <w:name w:val="Body text|6"/>
    <w:basedOn w:val="1"/>
    <w:link w:val="29"/>
    <w:uiPriority w:val="0"/>
    <w:pPr>
      <w:widowControl w:val="0"/>
      <w:shd w:val="clear" w:color="auto" w:fill="FFFFFF"/>
      <w:spacing w:line="586" w:lineRule="exact"/>
      <w:jc w:val="distribute"/>
    </w:pPr>
    <w:rPr>
      <w:rFonts w:ascii="PMingLiU" w:hAnsi="PMingLiU" w:eastAsia="PMingLiU" w:cs="PMingLiU"/>
      <w:spacing w:val="20"/>
      <w:sz w:val="30"/>
      <w:szCs w:val="30"/>
      <w:u w:val="none"/>
    </w:rPr>
  </w:style>
  <w:style w:type="character" w:customStyle="1" w:styleId="31">
    <w:name w:val="Body text|3 + Arial"/>
    <w:aliases w:val="6.5 pt,Spacing 0 pt,Scaling 75%"/>
    <w:basedOn w:val="16"/>
    <w:semiHidden/>
    <w:unhideWhenUsed/>
    <w:uiPriority w:val="0"/>
    <w:rPr>
      <w:rFonts w:ascii="Arial" w:hAnsi="Arial" w:eastAsia="Arial" w:cs="Arial"/>
      <w:color w:val="000000"/>
      <w:spacing w:val="0"/>
      <w:w w:val="75"/>
      <w:position w:val="0"/>
      <w:sz w:val="13"/>
      <w:szCs w:val="13"/>
      <w:lang w:val="zh-CN" w:eastAsia="zh-CN" w:bidi="zh-CN"/>
    </w:rPr>
  </w:style>
  <w:style w:type="character" w:customStyle="1" w:styleId="32">
    <w:name w:val="Body text|7_"/>
    <w:basedOn w:val="3"/>
    <w:link w:val="33"/>
    <w:uiPriority w:val="0"/>
    <w:rPr>
      <w:rFonts w:ascii="PMingLiU" w:hAnsi="PMingLiU" w:eastAsia="PMingLiU" w:cs="PMingLiU"/>
      <w:b/>
      <w:bCs/>
      <w:sz w:val="30"/>
      <w:szCs w:val="30"/>
      <w:u w:val="none"/>
    </w:rPr>
  </w:style>
  <w:style w:type="paragraph" w:customStyle="1" w:styleId="33">
    <w:name w:val="Body text|7"/>
    <w:basedOn w:val="1"/>
    <w:link w:val="32"/>
    <w:uiPriority w:val="0"/>
    <w:pPr>
      <w:widowControl w:val="0"/>
      <w:shd w:val="clear" w:color="auto" w:fill="FFFFFF"/>
      <w:spacing w:after="260" w:line="300" w:lineRule="exact"/>
      <w:jc w:val="distribute"/>
    </w:pPr>
    <w:rPr>
      <w:rFonts w:ascii="PMingLiU" w:hAnsi="PMingLiU" w:eastAsia="PMingLiU" w:cs="PMingLiU"/>
      <w:b/>
      <w:bCs/>
      <w:sz w:val="30"/>
      <w:szCs w:val="30"/>
      <w:u w:val="none"/>
    </w:rPr>
  </w:style>
  <w:style w:type="character" w:customStyle="1" w:styleId="34">
    <w:name w:val="Body text|6 + 14 pt"/>
    <w:aliases w:val="Spacing 1 pt"/>
    <w:basedOn w:val="29"/>
    <w:semiHidden/>
    <w:unhideWhenUsed/>
    <w:uiPriority w:val="0"/>
    <w:rPr>
      <w:color w:val="000000"/>
      <w:spacing w:val="30"/>
      <w:w w:val="100"/>
      <w:position w:val="0"/>
      <w:sz w:val="28"/>
      <w:szCs w:val="28"/>
      <w:lang w:val="zh-CN" w:eastAsia="zh-CN" w:bidi="zh-CN"/>
    </w:rPr>
  </w:style>
  <w:style w:type="character" w:customStyle="1" w:styleId="35">
    <w:name w:val="Body text|6 + 13 pt"/>
    <w:aliases w:val="Spacing 3 pt"/>
    <w:basedOn w:val="29"/>
    <w:semiHidden/>
    <w:unhideWhenUsed/>
    <w:uiPriority w:val="0"/>
    <w:rPr>
      <w:color w:val="000000"/>
      <w:spacing w:val="60"/>
      <w:w w:val="100"/>
      <w:position w:val="0"/>
      <w:sz w:val="26"/>
      <w:szCs w:val="26"/>
      <w:lang w:val="zh-CN" w:eastAsia="zh-CN" w:bidi="zh-CN"/>
    </w:rPr>
  </w:style>
  <w:style w:type="character" w:customStyle="1" w:styleId="36">
    <w:name w:val="Body text|6 + Bold"/>
    <w:aliases w:val="Spacing 0 pt"/>
    <w:basedOn w:val="29"/>
    <w:semiHidden/>
    <w:unhideWhenUsed/>
    <w:uiPriority w:val="0"/>
    <w:rPr>
      <w:b/>
      <w:bCs/>
      <w:color w:val="000000"/>
      <w:spacing w:val="0"/>
      <w:w w:val="100"/>
      <w:position w:val="0"/>
      <w:lang w:val="zh-CN" w:eastAsia="zh-CN" w:bidi="zh-CN"/>
    </w:rPr>
  </w:style>
  <w:style w:type="character" w:customStyle="1" w:styleId="37">
    <w:name w:val="Body text|2 + 12 pt"/>
    <w:basedOn w:val="12"/>
    <w:semiHidden/>
    <w:unhideWhenUsed/>
    <w:uiPriority w:val="0"/>
    <w:rPr>
      <w:color w:val="000000"/>
      <w:w w:val="100"/>
      <w:position w:val="0"/>
      <w:sz w:val="24"/>
      <w:szCs w:val="24"/>
      <w:lang w:val="zh-CN" w:eastAsia="zh-CN" w:bidi="zh-CN"/>
    </w:rPr>
  </w:style>
  <w:style w:type="character" w:customStyle="1" w:styleId="38">
    <w:name w:val="Body text|2 + 13 pt"/>
    <w:aliases w:val="Spacing 3 pt"/>
    <w:basedOn w:val="12"/>
    <w:semiHidden/>
    <w:unhideWhenUsed/>
    <w:qFormat/>
    <w:uiPriority w:val="0"/>
    <w:rPr>
      <w:color w:val="000000"/>
      <w:spacing w:val="60"/>
      <w:w w:val="100"/>
      <w:position w:val="0"/>
      <w:sz w:val="26"/>
      <w:szCs w:val="26"/>
      <w:lang w:val="zh-CN" w:eastAsia="zh-CN" w:bidi="zh-CN"/>
    </w:rPr>
  </w:style>
  <w:style w:type="character" w:customStyle="1" w:styleId="39">
    <w:name w:val="Body text|2 + Times New Roman"/>
    <w:aliases w:val="16 pt,Bold,Spacing 0 pt"/>
    <w:basedOn w:val="12"/>
    <w:semiHidden/>
    <w:unhideWhenUsed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32"/>
      <w:szCs w:val="32"/>
      <w:lang w:val="en-US" w:eastAsia="en-US" w:bidi="en-US"/>
    </w:rPr>
  </w:style>
  <w:style w:type="character" w:customStyle="1" w:styleId="40">
    <w:name w:val="Body text|2 + Arial"/>
    <w:aliases w:val="12 pt,Bold,Spacing 0 pt"/>
    <w:basedOn w:val="12"/>
    <w:semiHidden/>
    <w:unhideWhenUsed/>
    <w:uiPriority w:val="0"/>
    <w:rPr>
      <w:rFonts w:ascii="Arial" w:hAnsi="Arial" w:eastAsia="Arial" w:cs="Arial"/>
      <w:b/>
      <w:b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41">
    <w:name w:val="Header or footer|1"/>
    <w:basedOn w:val="4"/>
    <w:semiHidden/>
    <w:unhideWhenUsed/>
    <w:qFormat/>
    <w:uiPriority w:val="0"/>
    <w:rPr>
      <w:color w:val="000000"/>
      <w:spacing w:val="0"/>
      <w:w w:val="100"/>
      <w:position w:val="0"/>
      <w:lang w:val="zh-CN" w:eastAsia="zh-CN" w:bidi="zh-CN"/>
    </w:rPr>
  </w:style>
  <w:style w:type="character" w:customStyle="1" w:styleId="42">
    <w:name w:val="Body text|3 Exact"/>
    <w:basedOn w:val="3"/>
    <w:semiHidden/>
    <w:unhideWhenUsed/>
    <w:qFormat/>
    <w:uiPriority w:val="0"/>
    <w:rPr>
      <w:rFonts w:ascii="PMingLiU" w:hAnsi="PMingLiU" w:eastAsia="PMingLiU" w:cs="PMingLiU"/>
      <w:spacing w:val="20"/>
      <w:sz w:val="28"/>
      <w:szCs w:val="28"/>
      <w:u w:val="none"/>
    </w:rPr>
  </w:style>
  <w:style w:type="character" w:customStyle="1" w:styleId="43">
    <w:name w:val="Body text|2 + 12 pt1"/>
    <w:basedOn w:val="12"/>
    <w:semiHidden/>
    <w:unhideWhenUsed/>
    <w:qFormat/>
    <w:uiPriority w:val="0"/>
    <w:rPr>
      <w:color w:val="000000"/>
      <w:w w:val="100"/>
      <w:position w:val="0"/>
      <w:sz w:val="24"/>
      <w:szCs w:val="24"/>
      <w:lang w:val="zh-CN" w:eastAsia="zh-CN" w:bidi="zh-CN"/>
    </w:rPr>
  </w:style>
  <w:style w:type="character" w:customStyle="1" w:styleId="44">
    <w:name w:val="Body text|8_"/>
    <w:basedOn w:val="3"/>
    <w:link w:val="45"/>
    <w:qFormat/>
    <w:uiPriority w:val="0"/>
    <w:rPr>
      <w:rFonts w:ascii="PMingLiU" w:hAnsi="PMingLiU" w:eastAsia="PMingLiU" w:cs="PMingLiU"/>
      <w:sz w:val="19"/>
      <w:szCs w:val="19"/>
      <w:u w:val="none"/>
    </w:rPr>
  </w:style>
  <w:style w:type="paragraph" w:customStyle="1" w:styleId="45">
    <w:name w:val="Body text|8"/>
    <w:basedOn w:val="1"/>
    <w:link w:val="44"/>
    <w:uiPriority w:val="0"/>
    <w:pPr>
      <w:widowControl w:val="0"/>
      <w:shd w:val="clear" w:color="auto" w:fill="FFFFFF"/>
      <w:spacing w:line="557" w:lineRule="exact"/>
      <w:ind w:hanging="400"/>
    </w:pPr>
    <w:rPr>
      <w:rFonts w:ascii="PMingLiU" w:hAnsi="PMingLiU" w:eastAsia="PMingLiU" w:cs="PMingLiU"/>
      <w:sz w:val="19"/>
      <w:szCs w:val="19"/>
      <w:u w:val="none"/>
    </w:rPr>
  </w:style>
  <w:style w:type="character" w:customStyle="1" w:styleId="46">
    <w:name w:val="Body text|9_"/>
    <w:basedOn w:val="3"/>
    <w:link w:val="47"/>
    <w:qFormat/>
    <w:uiPriority w:val="0"/>
    <w:rPr>
      <w:rFonts w:ascii="PMingLiU" w:hAnsi="PMingLiU" w:eastAsia="PMingLiU" w:cs="PMingLiU"/>
      <w:sz w:val="34"/>
      <w:szCs w:val="34"/>
      <w:u w:val="none"/>
    </w:rPr>
  </w:style>
  <w:style w:type="paragraph" w:customStyle="1" w:styleId="47">
    <w:name w:val="Body text|9"/>
    <w:basedOn w:val="1"/>
    <w:link w:val="46"/>
    <w:uiPriority w:val="0"/>
    <w:pPr>
      <w:widowControl w:val="0"/>
      <w:shd w:val="clear" w:color="auto" w:fill="FFFFFF"/>
      <w:spacing w:before="320" w:after="820" w:line="340" w:lineRule="exact"/>
      <w:jc w:val="center"/>
    </w:pPr>
    <w:rPr>
      <w:rFonts w:ascii="PMingLiU" w:hAnsi="PMingLiU" w:eastAsia="PMingLiU" w:cs="PMingLiU"/>
      <w:sz w:val="34"/>
      <w:szCs w:val="34"/>
      <w:u w:val="none"/>
    </w:rPr>
  </w:style>
  <w:style w:type="character" w:customStyle="1" w:styleId="48">
    <w:name w:val="Body text|7 + Not Bold"/>
    <w:aliases w:val="Spacing 1 pt"/>
    <w:basedOn w:val="32"/>
    <w:semiHidden/>
    <w:unhideWhenUsed/>
    <w:qFormat/>
    <w:uiPriority w:val="0"/>
    <w:rPr>
      <w:color w:val="000000"/>
      <w:spacing w:val="20"/>
      <w:w w:val="100"/>
      <w:position w:val="0"/>
      <w:lang w:val="zh-CN" w:eastAsia="zh-CN" w:bidi="zh-CN"/>
    </w:rPr>
  </w:style>
  <w:style w:type="character" w:customStyle="1" w:styleId="49">
    <w:name w:val="Body text|10_"/>
    <w:basedOn w:val="3"/>
    <w:link w:val="50"/>
    <w:uiPriority w:val="0"/>
    <w:rPr>
      <w:rFonts w:ascii="PMingLiU" w:hAnsi="PMingLiU" w:eastAsia="PMingLiU" w:cs="PMingLiU"/>
      <w:sz w:val="30"/>
      <w:szCs w:val="30"/>
      <w:u w:val="none"/>
    </w:rPr>
  </w:style>
  <w:style w:type="paragraph" w:customStyle="1" w:styleId="50">
    <w:name w:val="Body text|10"/>
    <w:basedOn w:val="1"/>
    <w:link w:val="49"/>
    <w:uiPriority w:val="0"/>
    <w:pPr>
      <w:widowControl w:val="0"/>
      <w:shd w:val="clear" w:color="auto" w:fill="FFFFFF"/>
      <w:spacing w:line="600" w:lineRule="exact"/>
      <w:jc w:val="distribute"/>
    </w:pPr>
    <w:rPr>
      <w:rFonts w:ascii="PMingLiU" w:hAnsi="PMingLiU" w:eastAsia="PMingLiU" w:cs="PMingLiU"/>
      <w:sz w:val="30"/>
      <w:szCs w:val="30"/>
      <w:u w:val="none"/>
    </w:rPr>
  </w:style>
  <w:style w:type="character" w:customStyle="1" w:styleId="51">
    <w:name w:val="Body text|11_"/>
    <w:basedOn w:val="3"/>
    <w:link w:val="52"/>
    <w:qFormat/>
    <w:uiPriority w:val="0"/>
    <w:rPr>
      <w:rFonts w:ascii="PMingLiU" w:hAnsi="PMingLiU" w:eastAsia="PMingLiU" w:cs="PMingLiU"/>
      <w:spacing w:val="30"/>
      <w:u w:val="none"/>
    </w:rPr>
  </w:style>
  <w:style w:type="paragraph" w:customStyle="1" w:styleId="52">
    <w:name w:val="Body text|11"/>
    <w:basedOn w:val="1"/>
    <w:link w:val="51"/>
    <w:uiPriority w:val="0"/>
    <w:pPr>
      <w:widowControl w:val="0"/>
      <w:shd w:val="clear" w:color="auto" w:fill="FFFFFF"/>
      <w:spacing w:line="240" w:lineRule="exact"/>
    </w:pPr>
    <w:rPr>
      <w:rFonts w:ascii="PMingLiU" w:hAnsi="PMingLiU" w:eastAsia="PMingLiU" w:cs="PMingLiU"/>
      <w:spacing w:val="30"/>
      <w:u w:val="none"/>
    </w:rPr>
  </w:style>
  <w:style w:type="character" w:customStyle="1" w:styleId="53">
    <w:name w:val="Body text|12_"/>
    <w:basedOn w:val="3"/>
    <w:link w:val="54"/>
    <w:qFormat/>
    <w:uiPriority w:val="0"/>
    <w:rPr>
      <w:spacing w:val="90"/>
      <w:u w:val="none"/>
    </w:rPr>
  </w:style>
  <w:style w:type="paragraph" w:customStyle="1" w:styleId="54">
    <w:name w:val="Body text|12"/>
    <w:basedOn w:val="1"/>
    <w:link w:val="53"/>
    <w:uiPriority w:val="0"/>
    <w:pPr>
      <w:widowControl w:val="0"/>
      <w:shd w:val="clear" w:color="auto" w:fill="FFFFFF"/>
      <w:spacing w:line="266" w:lineRule="exact"/>
    </w:pPr>
    <w:rPr>
      <w:spacing w:val="90"/>
      <w:u w:val="none"/>
    </w:rPr>
  </w:style>
  <w:style w:type="character" w:customStyle="1" w:styleId="55">
    <w:name w:val="Body text|12 + 4 pt"/>
    <w:aliases w:val="Spacing 0 pt"/>
    <w:basedOn w:val="53"/>
    <w:semiHidden/>
    <w:unhideWhenUsed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8"/>
      <w:szCs w:val="8"/>
      <w:lang w:val="zh-CN" w:eastAsia="zh-CN" w:bidi="zh-CN"/>
    </w:rPr>
  </w:style>
  <w:style w:type="character" w:customStyle="1" w:styleId="56">
    <w:name w:val="Body text|2 + Arial"/>
    <w:aliases w:val="4 pt,Spacing 3 pt"/>
    <w:basedOn w:val="12"/>
    <w:semiHidden/>
    <w:unhideWhenUsed/>
    <w:qFormat/>
    <w:uiPriority w:val="0"/>
    <w:rPr>
      <w:rFonts w:ascii="Arial" w:hAnsi="Arial" w:eastAsia="Arial" w:cs="Arial"/>
      <w:color w:val="000000"/>
      <w:spacing w:val="60"/>
      <w:w w:val="100"/>
      <w:position w:val="0"/>
      <w:sz w:val="8"/>
      <w:szCs w:val="8"/>
      <w:lang w:val="zh-CN" w:eastAsia="zh-CN" w:bidi="zh-CN"/>
    </w:rPr>
  </w:style>
  <w:style w:type="character" w:customStyle="1" w:styleId="57">
    <w:name w:val="Body text|2 + 12 pt"/>
    <w:aliases w:val="Spacing 0 pt"/>
    <w:basedOn w:val="12"/>
    <w:semiHidden/>
    <w:unhideWhenUsed/>
    <w:qFormat/>
    <w:uiPriority w:val="0"/>
    <w:rPr>
      <w:color w:val="000000"/>
      <w:spacing w:val="0"/>
      <w:w w:val="100"/>
      <w:position w:val="0"/>
      <w:sz w:val="24"/>
      <w:szCs w:val="24"/>
      <w:lang w:val="zh-CN" w:eastAsia="zh-CN" w:bidi="zh-CN"/>
    </w:rPr>
  </w:style>
  <w:style w:type="character" w:customStyle="1" w:styleId="58">
    <w:name w:val="Body text|4 + Spacing 0 pt"/>
    <w:basedOn w:val="22"/>
    <w:semiHidden/>
    <w:unhideWhenUsed/>
    <w:uiPriority w:val="0"/>
    <w:rPr>
      <w:color w:val="000000"/>
      <w:spacing w:val="0"/>
      <w:w w:val="100"/>
      <w:position w:val="0"/>
      <w:lang w:val="zh-CN" w:eastAsia="zh-CN" w:bidi="zh-CN"/>
    </w:rPr>
  </w:style>
  <w:style w:type="character" w:customStyle="1" w:styleId="59">
    <w:name w:val="Body text|11 + Spacing 3 pt"/>
    <w:basedOn w:val="51"/>
    <w:semiHidden/>
    <w:unhideWhenUsed/>
    <w:uiPriority w:val="0"/>
    <w:rPr>
      <w:color w:val="000000"/>
      <w:spacing w:val="70"/>
      <w:w w:val="100"/>
      <w:position w:val="0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3.jpeg" TargetMode="External"/><Relationship Id="rId22" Type="http://schemas.openxmlformats.org/officeDocument/2006/relationships/image" Target="media/image3.jpeg"/><Relationship Id="rId21" Type="http://schemas.openxmlformats.org/officeDocument/2006/relationships/image" Target="media/image2.jpeg" TargetMode="External"/><Relationship Id="rId20" Type="http://schemas.openxmlformats.org/officeDocument/2006/relationships/image" Target="media/image2.jpeg"/><Relationship Id="rId2" Type="http://schemas.openxmlformats.org/officeDocument/2006/relationships/settings" Target="settings.xml"/><Relationship Id="rId19" Type="http://schemas.openxmlformats.org/officeDocument/2006/relationships/image" Target="media/image1.jpeg" TargetMode="External"/><Relationship Id="rId18" Type="http://schemas.openxmlformats.org/officeDocument/2006/relationships/image" Target="media/image1.jpeg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49"/>
    <customShpInfo spid="_x0000_s2052"/>
    <customShpInfo spid="_x0000_s2051"/>
    <customShpInfo spid="_x0000_s2054"/>
    <customShpInfo spid="_x0000_s2053"/>
    <customShpInfo spid="_x0000_s2055"/>
    <customShpInfo spid="_x0000_s2056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Office_11.1.0.8612_F1E327BC-269C-435d-A152-05C5408002CA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2019-05-06T02:19:29Z</dcterms:created>
  <dc:creator>Lenovo</dc:creator>
  <cp:lastModifiedBy>Administrator</cp:lastModifiedBy>
  <dcterms:modified xsi:type="dcterms:W3CDTF">2019-05-06T02:21:40Z</dcterms:modified>
  <dc:title>无标题-1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