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40" w:leftChars="-400" w:right="-932" w:rightChars="-444"/>
        <w:jc w:val="center"/>
        <w:rPr>
          <w:rFonts w:hint="eastAsia" w:ascii="仿宋_GB2312" w:eastAsia="仿宋_GB2312"/>
          <w:sz w:val="44"/>
          <w:szCs w:val="44"/>
        </w:rPr>
      </w:pPr>
      <w:r>
        <w:rPr>
          <w:rFonts w:hint="eastAsia" w:ascii="仿宋_GB2312" w:eastAsia="仿宋_GB2312"/>
          <w:sz w:val="44"/>
          <w:szCs w:val="44"/>
        </w:rPr>
        <w:t>渑池县人民政府征收土地</w:t>
      </w:r>
    </w:p>
    <w:p>
      <w:pPr>
        <w:ind w:left="-840" w:leftChars="-400" w:right="-932" w:rightChars="-444"/>
        <w:jc w:val="center"/>
        <w:rPr>
          <w:rFonts w:hint="eastAsia" w:ascii="仿宋_GB2312" w:eastAsia="仿宋_GB2312"/>
          <w:sz w:val="44"/>
          <w:szCs w:val="44"/>
        </w:rPr>
      </w:pPr>
      <w:r>
        <w:rPr>
          <w:rFonts w:hint="eastAsia" w:ascii="仿宋_GB2312" w:eastAsia="仿宋_GB2312"/>
          <w:sz w:val="44"/>
          <w:szCs w:val="44"/>
        </w:rPr>
        <w:t>公      告</w:t>
      </w:r>
    </w:p>
    <w:p>
      <w:pPr>
        <w:ind w:left="-840" w:leftChars="-400" w:right="-932" w:rightChars="-444"/>
        <w:jc w:val="center"/>
        <w:rPr>
          <w:rFonts w:hint="eastAsia" w:ascii="仿宋_GB2312" w:eastAsia="仿宋_GB2312"/>
          <w:sz w:val="36"/>
          <w:szCs w:val="36"/>
        </w:rPr>
      </w:pPr>
      <w:r>
        <w:rPr>
          <w:rFonts w:hint="eastAsia" w:ascii="仿宋_GB2312" w:eastAsia="仿宋_GB2312"/>
          <w:sz w:val="36"/>
          <w:szCs w:val="36"/>
        </w:rPr>
        <w:t>渑征告[202</w:t>
      </w:r>
      <w:r>
        <w:rPr>
          <w:rFonts w:hint="eastAsia" w:ascii="仿宋_GB2312" w:eastAsia="仿宋_GB2312"/>
          <w:sz w:val="36"/>
          <w:szCs w:val="36"/>
          <w:lang w:val="en-US" w:eastAsia="zh-CN"/>
        </w:rPr>
        <w:t>3</w:t>
      </w:r>
      <w:r>
        <w:rPr>
          <w:rFonts w:hint="eastAsia" w:ascii="仿宋_GB2312" w:eastAsia="仿宋_GB2312"/>
          <w:sz w:val="36"/>
          <w:szCs w:val="36"/>
        </w:rPr>
        <w:t>]</w:t>
      </w:r>
      <w:r>
        <w:rPr>
          <w:rFonts w:hint="eastAsia" w:ascii="仿宋_GB2312" w:eastAsia="仿宋_GB2312"/>
          <w:sz w:val="36"/>
          <w:szCs w:val="36"/>
          <w:lang w:eastAsia="zh-CN"/>
        </w:rPr>
        <w:t>第</w:t>
      </w:r>
      <w:r>
        <w:rPr>
          <w:rFonts w:hint="eastAsia" w:ascii="仿宋_GB2312" w:eastAsia="仿宋_GB2312"/>
          <w:sz w:val="36"/>
          <w:szCs w:val="36"/>
          <w:lang w:val="en-US" w:eastAsia="zh-CN"/>
        </w:rPr>
        <w:t>1</w:t>
      </w:r>
      <w:r>
        <w:rPr>
          <w:rFonts w:hint="eastAsia" w:ascii="仿宋_GB2312" w:eastAsia="仿宋_GB2312"/>
          <w:sz w:val="36"/>
          <w:szCs w:val="36"/>
        </w:rPr>
        <w:t>号</w:t>
      </w:r>
    </w:p>
    <w:p>
      <w:pPr>
        <w:spacing w:line="500" w:lineRule="exact"/>
        <w:ind w:left="-840" w:leftChars="-400" w:right="-932" w:rightChars="-444" w:firstLine="600" w:firstLineChars="200"/>
        <w:rPr>
          <w:rFonts w:hint="eastAsia" w:ascii="仿宋_GB2312" w:eastAsia="仿宋_GB2312"/>
          <w:sz w:val="30"/>
          <w:szCs w:val="30"/>
        </w:rPr>
      </w:pPr>
      <w:r>
        <w:rPr>
          <w:rFonts w:hint="eastAsia" w:ascii="仿宋_GB2312" w:eastAsia="仿宋_GB2312"/>
          <w:sz w:val="30"/>
          <w:szCs w:val="30"/>
        </w:rPr>
        <w:t>现根据《中华人民共和国土地管理法》第四十八条、《中华人民共和国土地管理法实施条例》第三十一条之规定，现将已批准的《土地征收方案》内容和土地征收有关事项予以公告：</w:t>
      </w:r>
    </w:p>
    <w:p>
      <w:pPr>
        <w:numPr>
          <w:ilvl w:val="0"/>
          <w:numId w:val="1"/>
        </w:numPr>
        <w:spacing w:line="500" w:lineRule="exact"/>
        <w:ind w:left="-840" w:leftChars="-400" w:right="-932" w:rightChars="-444" w:firstLine="600" w:firstLineChars="200"/>
        <w:rPr>
          <w:rFonts w:hint="eastAsia" w:ascii="仿宋_GB2312" w:eastAsia="仿宋_GB2312"/>
          <w:sz w:val="30"/>
          <w:szCs w:val="30"/>
        </w:rPr>
      </w:pPr>
      <w:r>
        <w:rPr>
          <w:rFonts w:hint="eastAsia" w:ascii="仿宋_GB2312" w:eastAsia="仿宋_GB2312"/>
          <w:sz w:val="30"/>
          <w:szCs w:val="30"/>
        </w:rPr>
        <w:t>批准情况：河南省人民政府于2022年</w:t>
      </w:r>
      <w:r>
        <w:rPr>
          <w:rFonts w:hint="eastAsia" w:ascii="仿宋_GB2312" w:eastAsia="仿宋_GB2312"/>
          <w:sz w:val="30"/>
          <w:szCs w:val="30"/>
          <w:lang w:val="en-US" w:eastAsia="zh-CN"/>
        </w:rPr>
        <w:t>12</w:t>
      </w:r>
      <w:r>
        <w:rPr>
          <w:rFonts w:hint="eastAsia" w:ascii="仿宋_GB2312" w:eastAsia="仿宋_GB2312"/>
          <w:sz w:val="30"/>
          <w:szCs w:val="30"/>
        </w:rPr>
        <w:t>月</w:t>
      </w:r>
      <w:r>
        <w:rPr>
          <w:rFonts w:hint="eastAsia" w:ascii="仿宋_GB2312" w:eastAsia="仿宋_GB2312"/>
          <w:sz w:val="30"/>
          <w:szCs w:val="30"/>
          <w:lang w:val="en-US" w:eastAsia="zh-CN"/>
        </w:rPr>
        <w:t>29</w:t>
      </w:r>
      <w:r>
        <w:rPr>
          <w:rFonts w:hint="eastAsia" w:ascii="仿宋_GB2312" w:eastAsia="仿宋_GB2312"/>
          <w:sz w:val="30"/>
          <w:szCs w:val="30"/>
        </w:rPr>
        <w:t>日作出的豫政土【2022】</w:t>
      </w:r>
      <w:r>
        <w:rPr>
          <w:rFonts w:hint="eastAsia" w:ascii="仿宋_GB2312" w:eastAsia="仿宋_GB2312"/>
          <w:sz w:val="30"/>
          <w:szCs w:val="30"/>
          <w:lang w:val="en-US" w:eastAsia="zh-CN"/>
        </w:rPr>
        <w:t>1841</w:t>
      </w:r>
      <w:r>
        <w:rPr>
          <w:rFonts w:hint="eastAsia" w:ascii="仿宋_GB2312" w:eastAsia="仿宋_GB2312"/>
          <w:sz w:val="30"/>
          <w:szCs w:val="30"/>
        </w:rPr>
        <w:t>号批复，同意征收</w:t>
      </w:r>
      <w:r>
        <w:rPr>
          <w:rFonts w:hint="eastAsia" w:ascii="仿宋_GB2312" w:eastAsia="仿宋_GB2312"/>
          <w:sz w:val="30"/>
          <w:szCs w:val="30"/>
          <w:lang w:eastAsia="zh-CN"/>
        </w:rPr>
        <w:t>渑池县</w:t>
      </w:r>
      <w:r>
        <w:rPr>
          <w:rFonts w:hint="eastAsia" w:ascii="仿宋_GB2312" w:eastAsia="仿宋_GB2312"/>
          <w:sz w:val="30"/>
          <w:szCs w:val="30"/>
        </w:rPr>
        <w:t>仰韶镇马岭村</w:t>
      </w:r>
      <w:r>
        <w:rPr>
          <w:rFonts w:hint="eastAsia" w:ascii="仿宋_GB2312" w:eastAsia="仿宋_GB2312"/>
          <w:sz w:val="30"/>
          <w:szCs w:val="30"/>
          <w:lang w:eastAsia="zh-CN"/>
        </w:rPr>
        <w:t>、庄子村</w:t>
      </w:r>
      <w:r>
        <w:rPr>
          <w:rFonts w:hint="eastAsia" w:ascii="仿宋_GB2312" w:eastAsia="仿宋_GB2312"/>
          <w:sz w:val="30"/>
          <w:szCs w:val="30"/>
        </w:rPr>
        <w:t>集体土地</w:t>
      </w:r>
      <w:r>
        <w:rPr>
          <w:rFonts w:hint="eastAsia" w:ascii="仿宋_GB2312" w:eastAsia="仿宋_GB2312"/>
          <w:sz w:val="30"/>
          <w:szCs w:val="30"/>
          <w:lang w:val="en-US" w:eastAsia="zh-CN"/>
        </w:rPr>
        <w:t>1</w:t>
      </w:r>
      <w:r>
        <w:rPr>
          <w:rFonts w:hint="eastAsia" w:ascii="仿宋_GB2312" w:eastAsia="仿宋_GB2312"/>
          <w:sz w:val="30"/>
          <w:szCs w:val="30"/>
        </w:rPr>
        <w:t>.</w:t>
      </w:r>
      <w:r>
        <w:rPr>
          <w:rFonts w:hint="eastAsia" w:ascii="仿宋_GB2312" w:eastAsia="仿宋_GB2312"/>
          <w:sz w:val="30"/>
          <w:szCs w:val="30"/>
          <w:lang w:val="en-US" w:eastAsia="zh-CN"/>
        </w:rPr>
        <w:t>0293</w:t>
      </w:r>
      <w:r>
        <w:rPr>
          <w:rFonts w:hint="eastAsia" w:ascii="仿宋_GB2312" w:eastAsia="仿宋_GB2312"/>
          <w:sz w:val="30"/>
          <w:szCs w:val="30"/>
        </w:rPr>
        <w:t>公顷，作为渑池县2022年度第三批城乡挂钩试点项目建新区用地。</w:t>
      </w:r>
    </w:p>
    <w:p>
      <w:pPr>
        <w:numPr>
          <w:ilvl w:val="0"/>
          <w:numId w:val="0"/>
        </w:numPr>
        <w:spacing w:line="500" w:lineRule="exact"/>
        <w:ind w:leftChars="-200" w:right="-932" w:rightChars="-444"/>
        <w:rPr>
          <w:rFonts w:hint="eastAsia" w:ascii="仿宋_GB2312" w:eastAsia="仿宋_GB2312"/>
          <w:sz w:val="30"/>
          <w:szCs w:val="30"/>
        </w:rPr>
      </w:pPr>
      <w:r>
        <w:rPr>
          <w:rFonts w:hint="eastAsia" w:ascii="仿宋_GB2312" w:eastAsia="仿宋_GB2312"/>
          <w:sz w:val="30"/>
          <w:szCs w:val="30"/>
        </w:rPr>
        <w:t>二、征收土地位置：以渑征启告【202</w:t>
      </w:r>
      <w:r>
        <w:rPr>
          <w:rFonts w:hint="eastAsia" w:ascii="仿宋_GB2312" w:eastAsia="仿宋_GB2312"/>
          <w:sz w:val="30"/>
          <w:szCs w:val="30"/>
          <w:lang w:val="en-US" w:eastAsia="zh-CN"/>
        </w:rPr>
        <w:t>2</w:t>
      </w:r>
      <w:r>
        <w:rPr>
          <w:rFonts w:hint="eastAsia" w:ascii="仿宋_GB2312" w:eastAsia="仿宋_GB2312"/>
          <w:sz w:val="30"/>
          <w:szCs w:val="30"/>
        </w:rPr>
        <w:t>】第00</w:t>
      </w:r>
      <w:r>
        <w:rPr>
          <w:rFonts w:hint="eastAsia" w:ascii="仿宋_GB2312" w:eastAsia="仿宋_GB2312"/>
          <w:sz w:val="30"/>
          <w:szCs w:val="30"/>
          <w:lang w:val="en-US" w:eastAsia="zh-CN"/>
        </w:rPr>
        <w:t>3</w:t>
      </w:r>
      <w:r>
        <w:rPr>
          <w:rFonts w:hint="eastAsia" w:ascii="仿宋_GB2312" w:eastAsia="仿宋_GB2312"/>
          <w:sz w:val="30"/>
          <w:szCs w:val="30"/>
        </w:rPr>
        <w:t>号渑池县人民政府土地征收启动公告所公告的位置为准。</w:t>
      </w:r>
    </w:p>
    <w:p>
      <w:pPr>
        <w:spacing w:line="15" w:lineRule="auto"/>
        <w:ind w:left="-840" w:leftChars="-400" w:firstLine="600" w:firstLineChars="200"/>
        <w:rPr>
          <w:rFonts w:hint="eastAsia" w:ascii="仿宋_GB2312" w:eastAsia="仿宋_GB2312"/>
          <w:sz w:val="30"/>
          <w:szCs w:val="30"/>
        </w:rPr>
      </w:pPr>
      <w:r>
        <w:rPr>
          <w:rFonts w:hint="eastAsia" w:ascii="仿宋_GB2312" w:eastAsia="仿宋_GB2312"/>
          <w:sz w:val="30"/>
          <w:szCs w:val="30"/>
        </w:rPr>
        <w:t>三、征收土地方案及用途：</w:t>
      </w:r>
    </w:p>
    <w:p>
      <w:pPr>
        <w:jc w:val="center"/>
        <w:rPr>
          <w:rFonts w:hint="eastAsia"/>
          <w:sz w:val="24"/>
        </w:rPr>
      </w:pPr>
    </w:p>
    <w:tbl>
      <w:tblPr>
        <w:tblStyle w:val="4"/>
        <w:tblpPr w:leftFromText="180" w:rightFromText="180" w:vertAnchor="text" w:horzAnchor="page" w:tblpX="797" w:tblpY="191"/>
        <w:tblOverlap w:val="never"/>
        <w:tblW w:w="10569" w:type="dxa"/>
        <w:tblInd w:w="0" w:type="dxa"/>
        <w:tblLayout w:type="fixed"/>
        <w:tblCellMar>
          <w:top w:w="0" w:type="dxa"/>
          <w:left w:w="108" w:type="dxa"/>
          <w:bottom w:w="0" w:type="dxa"/>
          <w:right w:w="108" w:type="dxa"/>
        </w:tblCellMar>
      </w:tblPr>
      <w:tblGrid>
        <w:gridCol w:w="10569"/>
      </w:tblGrid>
      <w:tr>
        <w:tblPrEx>
          <w:tblLayout w:type="fixed"/>
          <w:tblCellMar>
            <w:top w:w="0" w:type="dxa"/>
            <w:left w:w="108" w:type="dxa"/>
            <w:bottom w:w="0" w:type="dxa"/>
            <w:right w:w="108" w:type="dxa"/>
          </w:tblCellMar>
        </w:tblPrEx>
        <w:trPr>
          <w:trHeight w:val="720" w:hRule="atLeast"/>
        </w:trPr>
        <w:tc>
          <w:tcPr>
            <w:tcW w:w="10569" w:type="dxa"/>
            <w:tcBorders>
              <w:top w:val="nil"/>
              <w:left w:val="nil"/>
              <w:bottom w:val="nil"/>
              <w:right w:val="nil"/>
            </w:tcBorders>
            <w:noWrap w:val="0"/>
            <w:vAlign w:val="center"/>
          </w:tcPr>
          <w:p>
            <w:pPr>
              <w:widowControl/>
              <w:jc w:val="center"/>
              <w:textAlignment w:val="center"/>
              <w:rPr>
                <w:rFonts w:ascii="Arial" w:hAnsi="Arial" w:cs="Arial"/>
                <w:b/>
                <w:bCs/>
                <w:color w:val="000000"/>
                <w:sz w:val="30"/>
                <w:szCs w:val="30"/>
              </w:rPr>
            </w:pPr>
            <w:r>
              <w:rPr>
                <w:rFonts w:hint="eastAsia" w:ascii="仿宋_GB2312" w:eastAsia="仿宋_GB2312"/>
                <w:sz w:val="30"/>
                <w:szCs w:val="30"/>
              </w:rPr>
              <w:t>渑池县2022年度第三批城乡挂钩试点项目建新区用地</w:t>
            </w:r>
          </w:p>
        </w:tc>
      </w:tr>
    </w:tbl>
    <w:p>
      <w:pPr>
        <w:ind w:right="120"/>
        <w:jc w:val="right"/>
        <w:rPr>
          <w:sz w:val="24"/>
        </w:rPr>
      </w:pPr>
      <w:r>
        <w:rPr>
          <w:rFonts w:hint="eastAsia"/>
          <w:sz w:val="24"/>
        </w:rPr>
        <w:t xml:space="preserve"> </w:t>
      </w:r>
      <w:r>
        <w:rPr>
          <w:sz w:val="24"/>
        </w:rPr>
        <w:t xml:space="preserve">    </w:t>
      </w:r>
      <w:r>
        <w:rPr>
          <w:rFonts w:hint="eastAsia"/>
          <w:sz w:val="24"/>
        </w:rPr>
        <w:t>计量单位：公顷、万元、人</w:t>
      </w:r>
    </w:p>
    <w:tbl>
      <w:tblPr>
        <w:tblStyle w:val="4"/>
        <w:tblpPr w:leftFromText="180" w:rightFromText="180" w:vertAnchor="text" w:horzAnchor="page" w:tblpX="937" w:tblpY="302"/>
        <w:tblOverlap w:val="never"/>
        <w:tblW w:w="10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1659"/>
        <w:gridCol w:w="2240"/>
        <w:gridCol w:w="1937"/>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032" w:type="dxa"/>
            <w:noWrap w:val="0"/>
            <w:vAlign w:val="top"/>
          </w:tcPr>
          <w:p>
            <w:pPr>
              <w:ind w:right="120"/>
              <w:jc w:val="right"/>
              <w:rPr>
                <w:sz w:val="24"/>
              </w:rPr>
            </w:pPr>
            <w:r>
              <w:rPr>
                <w:sz w:val="24"/>
              </w:rPr>
              <w:t>征收土地面积</w:t>
            </w:r>
          </w:p>
        </w:tc>
        <w:tc>
          <w:tcPr>
            <w:tcW w:w="3899" w:type="dxa"/>
            <w:gridSpan w:val="2"/>
            <w:noWrap w:val="0"/>
            <w:vAlign w:val="top"/>
          </w:tcPr>
          <w:p>
            <w:pPr>
              <w:ind w:right="120"/>
              <w:jc w:val="left"/>
              <w:rPr>
                <w:sz w:val="24"/>
              </w:rPr>
            </w:pPr>
            <w:bookmarkStart w:id="0" w:name="rscarea"/>
            <w:r>
              <w:rPr>
                <w:sz w:val="24"/>
              </w:rPr>
              <w:t>1.0293</w:t>
            </w:r>
            <w:bookmarkEnd w:id="0"/>
          </w:p>
        </w:tc>
        <w:tc>
          <w:tcPr>
            <w:tcW w:w="1937" w:type="dxa"/>
            <w:noWrap w:val="0"/>
            <w:vAlign w:val="top"/>
          </w:tcPr>
          <w:p>
            <w:pPr>
              <w:ind w:right="120"/>
              <w:jc w:val="right"/>
              <w:rPr>
                <w:sz w:val="24"/>
              </w:rPr>
            </w:pPr>
            <w:r>
              <w:rPr>
                <w:sz w:val="24"/>
              </w:rPr>
              <w:t>其中：耕地</w:t>
            </w:r>
          </w:p>
        </w:tc>
        <w:tc>
          <w:tcPr>
            <w:tcW w:w="2296" w:type="dxa"/>
            <w:noWrap w:val="0"/>
            <w:vAlign w:val="top"/>
          </w:tcPr>
          <w:p>
            <w:pPr>
              <w:ind w:right="120"/>
              <w:jc w:val="left"/>
              <w:rPr>
                <w:sz w:val="24"/>
              </w:rPr>
            </w:pPr>
            <w:bookmarkStart w:id="1" w:name="tilthareas"/>
            <w:r>
              <w:rPr>
                <w:sz w:val="24"/>
              </w:rPr>
              <w:t>0.4235</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2032" w:type="dxa"/>
            <w:vMerge w:val="restart"/>
            <w:noWrap w:val="0"/>
            <w:vAlign w:val="center"/>
          </w:tcPr>
          <w:p>
            <w:pPr>
              <w:ind w:right="120"/>
              <w:jc w:val="right"/>
              <w:rPr>
                <w:sz w:val="24"/>
              </w:rPr>
            </w:pPr>
            <w:r>
              <w:rPr>
                <w:sz w:val="24"/>
              </w:rPr>
              <w:t>被征收土地涉及的权属单位</w:t>
            </w:r>
          </w:p>
        </w:tc>
        <w:tc>
          <w:tcPr>
            <w:tcW w:w="1659" w:type="dxa"/>
            <w:noWrap w:val="0"/>
            <w:vAlign w:val="top"/>
          </w:tcPr>
          <w:p>
            <w:pPr>
              <w:ind w:right="120"/>
              <w:jc w:val="right"/>
              <w:rPr>
                <w:rFonts w:hint="eastAsia"/>
                <w:sz w:val="24"/>
              </w:rPr>
            </w:pPr>
            <w:r>
              <w:rPr>
                <w:sz w:val="24"/>
              </w:rPr>
              <w:t>乡（镇）</w:t>
            </w:r>
          </w:p>
        </w:tc>
        <w:tc>
          <w:tcPr>
            <w:tcW w:w="6473" w:type="dxa"/>
            <w:gridSpan w:val="3"/>
            <w:noWrap w:val="0"/>
            <w:vAlign w:val="top"/>
          </w:tcPr>
          <w:p>
            <w:pPr>
              <w:ind w:right="120"/>
              <w:jc w:val="left"/>
              <w:rPr>
                <w:sz w:val="24"/>
              </w:rPr>
            </w:pPr>
            <w:bookmarkStart w:id="2" w:name="ownertown"/>
            <w:r>
              <w:rPr>
                <w:sz w:val="24"/>
              </w:rPr>
              <w:t>仰韶镇</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32" w:type="dxa"/>
            <w:vMerge w:val="continue"/>
            <w:noWrap w:val="0"/>
            <w:vAlign w:val="top"/>
          </w:tcPr>
          <w:p>
            <w:pPr>
              <w:ind w:right="120"/>
              <w:jc w:val="right"/>
              <w:rPr>
                <w:sz w:val="24"/>
              </w:rPr>
            </w:pPr>
          </w:p>
        </w:tc>
        <w:tc>
          <w:tcPr>
            <w:tcW w:w="1659" w:type="dxa"/>
            <w:noWrap w:val="0"/>
            <w:vAlign w:val="top"/>
          </w:tcPr>
          <w:p>
            <w:pPr>
              <w:ind w:right="120"/>
              <w:jc w:val="right"/>
              <w:rPr>
                <w:rFonts w:hint="eastAsia"/>
                <w:sz w:val="24"/>
              </w:rPr>
            </w:pPr>
            <w:r>
              <w:rPr>
                <w:sz w:val="24"/>
              </w:rPr>
              <w:t>村</w:t>
            </w:r>
          </w:p>
        </w:tc>
        <w:tc>
          <w:tcPr>
            <w:tcW w:w="6473" w:type="dxa"/>
            <w:gridSpan w:val="3"/>
            <w:noWrap w:val="0"/>
            <w:vAlign w:val="top"/>
          </w:tcPr>
          <w:p>
            <w:pPr>
              <w:ind w:right="120"/>
              <w:jc w:val="left"/>
              <w:rPr>
                <w:sz w:val="24"/>
              </w:rPr>
            </w:pPr>
            <w:bookmarkStart w:id="3" w:name="ownervillage"/>
            <w:r>
              <w:rPr>
                <w:sz w:val="24"/>
              </w:rPr>
              <w:t>马岭村,庄子村</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32" w:type="dxa"/>
            <w:vMerge w:val="continue"/>
            <w:noWrap w:val="0"/>
            <w:vAlign w:val="top"/>
          </w:tcPr>
          <w:p>
            <w:pPr>
              <w:ind w:right="120"/>
              <w:jc w:val="right"/>
              <w:rPr>
                <w:sz w:val="24"/>
              </w:rPr>
            </w:pPr>
          </w:p>
        </w:tc>
        <w:tc>
          <w:tcPr>
            <w:tcW w:w="1659" w:type="dxa"/>
            <w:noWrap w:val="0"/>
            <w:vAlign w:val="top"/>
          </w:tcPr>
          <w:p>
            <w:pPr>
              <w:ind w:right="120"/>
              <w:jc w:val="right"/>
              <w:rPr>
                <w:rFonts w:hint="eastAsia"/>
                <w:sz w:val="24"/>
              </w:rPr>
            </w:pPr>
            <w:r>
              <w:rPr>
                <w:sz w:val="24"/>
              </w:rPr>
              <w:t>使用权人数</w:t>
            </w:r>
          </w:p>
        </w:tc>
        <w:tc>
          <w:tcPr>
            <w:tcW w:w="2240" w:type="dxa"/>
            <w:noWrap w:val="0"/>
            <w:vAlign w:val="top"/>
          </w:tcPr>
          <w:p>
            <w:pPr>
              <w:ind w:right="120"/>
              <w:jc w:val="left"/>
              <w:rPr>
                <w:sz w:val="24"/>
              </w:rPr>
            </w:pPr>
            <w:bookmarkStart w:id="4" w:name="shiyqrenshu"/>
            <w:r>
              <w:rPr>
                <w:sz w:val="24"/>
              </w:rPr>
              <w:t>2</w:t>
            </w:r>
            <w:bookmarkEnd w:id="4"/>
          </w:p>
        </w:tc>
        <w:tc>
          <w:tcPr>
            <w:tcW w:w="1937" w:type="dxa"/>
            <w:noWrap w:val="0"/>
            <w:vAlign w:val="top"/>
          </w:tcPr>
          <w:p>
            <w:pPr>
              <w:ind w:right="120"/>
              <w:jc w:val="left"/>
              <w:rPr>
                <w:sz w:val="24"/>
              </w:rPr>
            </w:pPr>
            <w:r>
              <w:rPr>
                <w:sz w:val="24"/>
              </w:rPr>
              <w:t>所有权人数</w:t>
            </w:r>
          </w:p>
        </w:tc>
        <w:tc>
          <w:tcPr>
            <w:tcW w:w="2296" w:type="dxa"/>
            <w:noWrap w:val="0"/>
            <w:vAlign w:val="top"/>
          </w:tcPr>
          <w:p>
            <w:pPr>
              <w:ind w:right="120"/>
              <w:jc w:val="left"/>
              <w:rPr>
                <w:sz w:val="24"/>
              </w:rPr>
            </w:pPr>
            <w:bookmarkStart w:id="5" w:name="suoyqrenshu"/>
            <w:r>
              <w:rPr>
                <w:sz w:val="24"/>
              </w:rPr>
              <w:t>2</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trPr>
        <w:tc>
          <w:tcPr>
            <w:tcW w:w="2032" w:type="dxa"/>
            <w:vMerge w:val="continue"/>
            <w:noWrap w:val="0"/>
            <w:vAlign w:val="top"/>
          </w:tcPr>
          <w:p>
            <w:pPr>
              <w:ind w:right="120"/>
              <w:jc w:val="right"/>
              <w:rPr>
                <w:sz w:val="24"/>
              </w:rPr>
            </w:pPr>
          </w:p>
        </w:tc>
        <w:tc>
          <w:tcPr>
            <w:tcW w:w="1659" w:type="dxa"/>
            <w:noWrap w:val="0"/>
            <w:vAlign w:val="center"/>
          </w:tcPr>
          <w:p>
            <w:pPr>
              <w:ind w:right="120"/>
              <w:jc w:val="right"/>
              <w:rPr>
                <w:sz w:val="24"/>
              </w:rPr>
            </w:pPr>
            <w:r>
              <w:rPr>
                <w:sz w:val="24"/>
              </w:rPr>
              <w:t>权属状况</w:t>
            </w:r>
          </w:p>
        </w:tc>
        <w:tc>
          <w:tcPr>
            <w:tcW w:w="6473" w:type="dxa"/>
            <w:gridSpan w:val="3"/>
            <w:noWrap w:val="0"/>
            <w:vAlign w:val="center"/>
          </w:tcPr>
          <w:p>
            <w:pPr>
              <w:ind w:right="120"/>
              <w:jc w:val="center"/>
              <w:rPr>
                <w:sz w:val="24"/>
              </w:rPr>
            </w:pPr>
            <w:bookmarkStart w:id="6" w:name="ownerstatus"/>
            <w:r>
              <w:rPr>
                <w:sz w:val="24"/>
              </w:rPr>
              <w:t>土地产权明晰，界址清楚，权属无争议。</w:t>
            </w:r>
            <w:bookmarkEnd w:id="6"/>
          </w:p>
        </w:tc>
      </w:tr>
    </w:tbl>
    <w:tbl>
      <w:tblPr>
        <w:tblStyle w:val="4"/>
        <w:tblpPr w:leftFromText="180" w:rightFromText="180" w:vertAnchor="text" w:horzAnchor="page" w:tblpX="937" w:tblpY="1896"/>
        <w:tblOverlap w:val="never"/>
        <w:tblW w:w="10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529"/>
        <w:gridCol w:w="602"/>
        <w:gridCol w:w="615"/>
        <w:gridCol w:w="719"/>
        <w:gridCol w:w="708"/>
        <w:gridCol w:w="528"/>
        <w:gridCol w:w="535"/>
        <w:gridCol w:w="735"/>
        <w:gridCol w:w="930"/>
        <w:gridCol w:w="825"/>
        <w:gridCol w:w="825"/>
        <w:gridCol w:w="990"/>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663" w:type="dxa"/>
            <w:vMerge w:val="restart"/>
            <w:noWrap w:val="0"/>
            <w:vAlign w:val="top"/>
          </w:tcPr>
          <w:p>
            <w:pPr>
              <w:ind w:right="120"/>
              <w:jc w:val="center"/>
              <w:rPr>
                <w:rFonts w:hint="eastAsia"/>
                <w:sz w:val="18"/>
                <w:szCs w:val="18"/>
              </w:rPr>
            </w:pPr>
            <w:r>
              <w:rPr>
                <w:rFonts w:hint="eastAsia"/>
                <w:sz w:val="18"/>
                <w:szCs w:val="18"/>
              </w:rPr>
              <w:t>区片编号</w:t>
            </w:r>
          </w:p>
        </w:tc>
        <w:tc>
          <w:tcPr>
            <w:tcW w:w="529" w:type="dxa"/>
            <w:vMerge w:val="restart"/>
            <w:noWrap w:val="0"/>
            <w:vAlign w:val="top"/>
          </w:tcPr>
          <w:p>
            <w:pPr>
              <w:ind w:right="120"/>
              <w:jc w:val="center"/>
              <w:rPr>
                <w:rFonts w:hint="eastAsia"/>
                <w:sz w:val="18"/>
                <w:szCs w:val="18"/>
              </w:rPr>
            </w:pPr>
            <w:r>
              <w:rPr>
                <w:rFonts w:hint="eastAsia"/>
                <w:sz w:val="18"/>
                <w:szCs w:val="18"/>
              </w:rPr>
              <w:t>权属单位</w:t>
            </w:r>
          </w:p>
        </w:tc>
        <w:tc>
          <w:tcPr>
            <w:tcW w:w="3707" w:type="dxa"/>
            <w:gridSpan w:val="6"/>
            <w:noWrap w:val="0"/>
            <w:vAlign w:val="top"/>
          </w:tcPr>
          <w:p>
            <w:pPr>
              <w:ind w:right="120"/>
              <w:jc w:val="center"/>
              <w:rPr>
                <w:rFonts w:hint="eastAsia"/>
                <w:sz w:val="18"/>
                <w:szCs w:val="18"/>
              </w:rPr>
            </w:pPr>
            <w:r>
              <w:rPr>
                <w:rFonts w:hint="eastAsia"/>
                <w:sz w:val="18"/>
                <w:szCs w:val="18"/>
              </w:rPr>
              <w:t>征收土地面积</w:t>
            </w:r>
          </w:p>
        </w:tc>
        <w:tc>
          <w:tcPr>
            <w:tcW w:w="2490" w:type="dxa"/>
            <w:gridSpan w:val="3"/>
            <w:noWrap w:val="0"/>
            <w:vAlign w:val="top"/>
          </w:tcPr>
          <w:p>
            <w:pPr>
              <w:ind w:right="120"/>
              <w:jc w:val="center"/>
              <w:rPr>
                <w:rFonts w:hint="eastAsia"/>
                <w:sz w:val="18"/>
                <w:szCs w:val="18"/>
              </w:rPr>
            </w:pPr>
            <w:r>
              <w:rPr>
                <w:rFonts w:hint="eastAsia"/>
                <w:sz w:val="18"/>
                <w:szCs w:val="18"/>
              </w:rPr>
              <w:t>区片地价标准</w:t>
            </w:r>
          </w:p>
        </w:tc>
        <w:tc>
          <w:tcPr>
            <w:tcW w:w="2791" w:type="dxa"/>
            <w:gridSpan w:val="3"/>
            <w:noWrap w:val="0"/>
            <w:vAlign w:val="top"/>
          </w:tcPr>
          <w:p>
            <w:pPr>
              <w:ind w:right="120"/>
              <w:jc w:val="center"/>
              <w:rPr>
                <w:rFonts w:hint="eastAsia"/>
                <w:sz w:val="18"/>
                <w:szCs w:val="18"/>
              </w:rPr>
            </w:pPr>
            <w:r>
              <w:rPr>
                <w:rFonts w:hint="eastAsia"/>
                <w:sz w:val="18"/>
                <w:szCs w:val="18"/>
              </w:rPr>
              <w:t>征地费用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663" w:type="dxa"/>
            <w:vMerge w:val="continue"/>
            <w:noWrap w:val="0"/>
            <w:vAlign w:val="top"/>
          </w:tcPr>
          <w:p>
            <w:pPr>
              <w:ind w:right="120"/>
              <w:jc w:val="center"/>
              <w:rPr>
                <w:rFonts w:hint="eastAsia"/>
                <w:sz w:val="18"/>
                <w:szCs w:val="18"/>
              </w:rPr>
            </w:pPr>
          </w:p>
        </w:tc>
        <w:tc>
          <w:tcPr>
            <w:tcW w:w="529" w:type="dxa"/>
            <w:vMerge w:val="continue"/>
            <w:noWrap w:val="0"/>
            <w:vAlign w:val="top"/>
          </w:tcPr>
          <w:p>
            <w:pPr>
              <w:ind w:right="120"/>
              <w:jc w:val="center"/>
              <w:rPr>
                <w:rFonts w:hint="eastAsia"/>
                <w:sz w:val="18"/>
                <w:szCs w:val="18"/>
              </w:rPr>
            </w:pPr>
          </w:p>
        </w:tc>
        <w:tc>
          <w:tcPr>
            <w:tcW w:w="602" w:type="dxa"/>
            <w:vMerge w:val="restart"/>
            <w:noWrap w:val="0"/>
            <w:vAlign w:val="top"/>
          </w:tcPr>
          <w:p>
            <w:pPr>
              <w:ind w:right="120"/>
              <w:jc w:val="center"/>
              <w:rPr>
                <w:rFonts w:hint="eastAsia"/>
                <w:sz w:val="18"/>
                <w:szCs w:val="18"/>
              </w:rPr>
            </w:pPr>
            <w:r>
              <w:rPr>
                <w:rFonts w:hint="eastAsia"/>
                <w:sz w:val="18"/>
                <w:szCs w:val="18"/>
              </w:rPr>
              <w:t>农用地</w:t>
            </w:r>
          </w:p>
        </w:tc>
        <w:tc>
          <w:tcPr>
            <w:tcW w:w="2042" w:type="dxa"/>
            <w:gridSpan w:val="3"/>
            <w:noWrap w:val="0"/>
            <w:vAlign w:val="top"/>
          </w:tcPr>
          <w:p>
            <w:pPr>
              <w:ind w:right="120"/>
              <w:jc w:val="center"/>
              <w:rPr>
                <w:rFonts w:hint="eastAsia"/>
                <w:sz w:val="18"/>
                <w:szCs w:val="18"/>
              </w:rPr>
            </w:pPr>
            <w:r>
              <w:rPr>
                <w:rFonts w:hint="eastAsia"/>
                <w:sz w:val="18"/>
                <w:szCs w:val="18"/>
              </w:rPr>
              <w:t>其中</w:t>
            </w:r>
          </w:p>
        </w:tc>
        <w:tc>
          <w:tcPr>
            <w:tcW w:w="528" w:type="dxa"/>
            <w:vMerge w:val="restart"/>
            <w:noWrap w:val="0"/>
            <w:vAlign w:val="top"/>
          </w:tcPr>
          <w:p>
            <w:pPr>
              <w:ind w:right="120"/>
              <w:jc w:val="center"/>
              <w:rPr>
                <w:rFonts w:hint="eastAsia"/>
                <w:sz w:val="18"/>
                <w:szCs w:val="18"/>
              </w:rPr>
            </w:pPr>
            <w:r>
              <w:rPr>
                <w:rFonts w:hint="eastAsia"/>
                <w:sz w:val="18"/>
                <w:szCs w:val="18"/>
              </w:rPr>
              <w:t>建设用地</w:t>
            </w:r>
          </w:p>
        </w:tc>
        <w:tc>
          <w:tcPr>
            <w:tcW w:w="535" w:type="dxa"/>
            <w:vMerge w:val="restart"/>
            <w:noWrap w:val="0"/>
            <w:vAlign w:val="top"/>
          </w:tcPr>
          <w:p>
            <w:pPr>
              <w:ind w:right="120"/>
              <w:jc w:val="center"/>
              <w:rPr>
                <w:rFonts w:hint="eastAsia"/>
                <w:sz w:val="18"/>
                <w:szCs w:val="18"/>
              </w:rPr>
            </w:pPr>
            <w:r>
              <w:rPr>
                <w:rFonts w:hint="eastAsia"/>
                <w:sz w:val="18"/>
                <w:szCs w:val="18"/>
              </w:rPr>
              <w:t>未利用地</w:t>
            </w:r>
          </w:p>
        </w:tc>
        <w:tc>
          <w:tcPr>
            <w:tcW w:w="735" w:type="dxa"/>
            <w:vMerge w:val="restart"/>
            <w:noWrap w:val="0"/>
            <w:vAlign w:val="top"/>
          </w:tcPr>
          <w:p>
            <w:pPr>
              <w:ind w:right="120"/>
              <w:jc w:val="center"/>
              <w:rPr>
                <w:rFonts w:hint="eastAsia"/>
                <w:sz w:val="18"/>
                <w:szCs w:val="18"/>
              </w:rPr>
            </w:pPr>
            <w:r>
              <w:rPr>
                <w:rFonts w:hint="eastAsia"/>
                <w:sz w:val="18"/>
                <w:szCs w:val="18"/>
              </w:rPr>
              <w:t>合计</w:t>
            </w:r>
          </w:p>
        </w:tc>
        <w:tc>
          <w:tcPr>
            <w:tcW w:w="930" w:type="dxa"/>
            <w:vMerge w:val="restart"/>
            <w:noWrap w:val="0"/>
            <w:vAlign w:val="top"/>
          </w:tcPr>
          <w:p>
            <w:pPr>
              <w:ind w:right="120"/>
              <w:jc w:val="center"/>
              <w:rPr>
                <w:rFonts w:hint="eastAsia"/>
                <w:sz w:val="18"/>
                <w:szCs w:val="18"/>
              </w:rPr>
            </w:pPr>
            <w:r>
              <w:rPr>
                <w:rFonts w:hint="eastAsia"/>
                <w:sz w:val="18"/>
                <w:szCs w:val="18"/>
              </w:rPr>
              <w:t>征地补偿安置费标准</w:t>
            </w:r>
          </w:p>
        </w:tc>
        <w:tc>
          <w:tcPr>
            <w:tcW w:w="825" w:type="dxa"/>
            <w:vMerge w:val="restart"/>
            <w:noWrap w:val="0"/>
            <w:vAlign w:val="top"/>
          </w:tcPr>
          <w:p>
            <w:pPr>
              <w:ind w:right="120"/>
              <w:jc w:val="center"/>
              <w:rPr>
                <w:rFonts w:hint="eastAsia"/>
                <w:sz w:val="18"/>
                <w:szCs w:val="18"/>
              </w:rPr>
            </w:pPr>
            <w:r>
              <w:rPr>
                <w:rFonts w:hint="eastAsia"/>
                <w:sz w:val="18"/>
                <w:szCs w:val="18"/>
              </w:rPr>
              <w:t>社保标准</w:t>
            </w:r>
          </w:p>
        </w:tc>
        <w:tc>
          <w:tcPr>
            <w:tcW w:w="825" w:type="dxa"/>
            <w:vMerge w:val="restart"/>
            <w:noWrap w:val="0"/>
            <w:vAlign w:val="top"/>
          </w:tcPr>
          <w:p>
            <w:pPr>
              <w:ind w:right="120"/>
              <w:jc w:val="center"/>
              <w:rPr>
                <w:sz w:val="18"/>
                <w:szCs w:val="18"/>
              </w:rPr>
            </w:pPr>
            <w:r>
              <w:rPr>
                <w:rFonts w:hint="eastAsia"/>
                <w:sz w:val="18"/>
                <w:szCs w:val="18"/>
              </w:rPr>
              <w:t>合计</w:t>
            </w:r>
          </w:p>
          <w:p>
            <w:pPr>
              <w:ind w:right="120"/>
              <w:jc w:val="center"/>
              <w:rPr>
                <w:rFonts w:hint="eastAsia"/>
                <w:sz w:val="18"/>
                <w:szCs w:val="18"/>
              </w:rPr>
            </w:pPr>
          </w:p>
        </w:tc>
        <w:tc>
          <w:tcPr>
            <w:tcW w:w="990" w:type="dxa"/>
            <w:vMerge w:val="restart"/>
            <w:noWrap w:val="0"/>
            <w:vAlign w:val="top"/>
          </w:tcPr>
          <w:p>
            <w:pPr>
              <w:ind w:right="120"/>
              <w:jc w:val="center"/>
              <w:rPr>
                <w:rFonts w:hint="eastAsia"/>
                <w:sz w:val="18"/>
                <w:szCs w:val="18"/>
              </w:rPr>
            </w:pPr>
            <w:r>
              <w:rPr>
                <w:rFonts w:hint="eastAsia"/>
                <w:sz w:val="18"/>
                <w:szCs w:val="18"/>
              </w:rPr>
              <w:t>征地补偿安置费</w:t>
            </w:r>
          </w:p>
        </w:tc>
        <w:tc>
          <w:tcPr>
            <w:tcW w:w="976" w:type="dxa"/>
            <w:vMerge w:val="restart"/>
            <w:noWrap w:val="0"/>
            <w:vAlign w:val="top"/>
          </w:tcPr>
          <w:p>
            <w:pPr>
              <w:ind w:right="120"/>
              <w:jc w:val="center"/>
              <w:rPr>
                <w:rFonts w:hint="eastAsia"/>
                <w:sz w:val="18"/>
                <w:szCs w:val="18"/>
              </w:rPr>
            </w:pPr>
            <w:r>
              <w:rPr>
                <w:rFonts w:hint="eastAsia"/>
                <w:sz w:val="18"/>
                <w:szCs w:val="18"/>
              </w:rPr>
              <w:t>社保费用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663" w:type="dxa"/>
            <w:vMerge w:val="continue"/>
            <w:noWrap w:val="0"/>
            <w:vAlign w:val="top"/>
          </w:tcPr>
          <w:p>
            <w:pPr>
              <w:ind w:right="120"/>
              <w:jc w:val="left"/>
              <w:rPr>
                <w:rFonts w:hint="eastAsia"/>
                <w:sz w:val="18"/>
                <w:szCs w:val="18"/>
              </w:rPr>
            </w:pPr>
          </w:p>
        </w:tc>
        <w:tc>
          <w:tcPr>
            <w:tcW w:w="529" w:type="dxa"/>
            <w:vMerge w:val="continue"/>
            <w:noWrap w:val="0"/>
            <w:vAlign w:val="top"/>
          </w:tcPr>
          <w:p>
            <w:pPr>
              <w:ind w:right="120"/>
              <w:jc w:val="left"/>
              <w:rPr>
                <w:rFonts w:hint="eastAsia"/>
                <w:sz w:val="18"/>
                <w:szCs w:val="18"/>
              </w:rPr>
            </w:pPr>
          </w:p>
        </w:tc>
        <w:tc>
          <w:tcPr>
            <w:tcW w:w="602" w:type="dxa"/>
            <w:vMerge w:val="continue"/>
            <w:noWrap w:val="0"/>
            <w:vAlign w:val="top"/>
          </w:tcPr>
          <w:p>
            <w:pPr>
              <w:ind w:right="120"/>
              <w:jc w:val="left"/>
              <w:rPr>
                <w:rFonts w:hint="eastAsia"/>
                <w:sz w:val="18"/>
                <w:szCs w:val="18"/>
              </w:rPr>
            </w:pPr>
          </w:p>
        </w:tc>
        <w:tc>
          <w:tcPr>
            <w:tcW w:w="615" w:type="dxa"/>
            <w:noWrap w:val="0"/>
            <w:vAlign w:val="top"/>
          </w:tcPr>
          <w:p>
            <w:pPr>
              <w:ind w:right="120"/>
              <w:jc w:val="center"/>
              <w:rPr>
                <w:rFonts w:hint="eastAsia"/>
                <w:sz w:val="18"/>
                <w:szCs w:val="18"/>
              </w:rPr>
            </w:pPr>
            <w:r>
              <w:rPr>
                <w:rFonts w:hint="eastAsia"/>
                <w:sz w:val="18"/>
                <w:szCs w:val="18"/>
              </w:rPr>
              <w:t>耕地</w:t>
            </w:r>
          </w:p>
        </w:tc>
        <w:tc>
          <w:tcPr>
            <w:tcW w:w="719" w:type="dxa"/>
            <w:noWrap w:val="0"/>
            <w:vAlign w:val="top"/>
          </w:tcPr>
          <w:p>
            <w:pPr>
              <w:ind w:right="120"/>
              <w:jc w:val="center"/>
              <w:rPr>
                <w:rFonts w:hint="eastAsia"/>
                <w:sz w:val="18"/>
                <w:szCs w:val="18"/>
              </w:rPr>
            </w:pPr>
            <w:r>
              <w:rPr>
                <w:rFonts w:hint="eastAsia"/>
                <w:sz w:val="18"/>
                <w:szCs w:val="18"/>
              </w:rPr>
              <w:t>其他农用地</w:t>
            </w:r>
          </w:p>
        </w:tc>
        <w:tc>
          <w:tcPr>
            <w:tcW w:w="708" w:type="dxa"/>
            <w:noWrap w:val="0"/>
            <w:vAlign w:val="top"/>
          </w:tcPr>
          <w:p>
            <w:pPr>
              <w:ind w:right="120"/>
              <w:jc w:val="center"/>
              <w:rPr>
                <w:rFonts w:hint="eastAsia"/>
                <w:sz w:val="18"/>
                <w:szCs w:val="18"/>
              </w:rPr>
            </w:pPr>
            <w:r>
              <w:rPr>
                <w:rFonts w:hint="eastAsia"/>
                <w:sz w:val="18"/>
                <w:szCs w:val="18"/>
              </w:rPr>
              <w:t>其中基本农田</w:t>
            </w:r>
          </w:p>
        </w:tc>
        <w:tc>
          <w:tcPr>
            <w:tcW w:w="528" w:type="dxa"/>
            <w:vMerge w:val="continue"/>
            <w:noWrap w:val="0"/>
            <w:vAlign w:val="top"/>
          </w:tcPr>
          <w:p>
            <w:pPr>
              <w:ind w:right="120"/>
              <w:jc w:val="left"/>
              <w:rPr>
                <w:rFonts w:hint="eastAsia"/>
                <w:sz w:val="18"/>
                <w:szCs w:val="18"/>
              </w:rPr>
            </w:pPr>
          </w:p>
        </w:tc>
        <w:tc>
          <w:tcPr>
            <w:tcW w:w="535" w:type="dxa"/>
            <w:vMerge w:val="continue"/>
            <w:noWrap w:val="0"/>
            <w:vAlign w:val="top"/>
          </w:tcPr>
          <w:p>
            <w:pPr>
              <w:ind w:right="120"/>
              <w:jc w:val="left"/>
              <w:rPr>
                <w:rFonts w:hint="eastAsia"/>
                <w:sz w:val="18"/>
                <w:szCs w:val="18"/>
              </w:rPr>
            </w:pPr>
          </w:p>
        </w:tc>
        <w:tc>
          <w:tcPr>
            <w:tcW w:w="735" w:type="dxa"/>
            <w:vMerge w:val="continue"/>
            <w:noWrap w:val="0"/>
            <w:vAlign w:val="top"/>
          </w:tcPr>
          <w:p>
            <w:pPr>
              <w:ind w:right="120"/>
              <w:jc w:val="left"/>
              <w:rPr>
                <w:rFonts w:hint="eastAsia"/>
                <w:sz w:val="18"/>
                <w:szCs w:val="18"/>
              </w:rPr>
            </w:pPr>
          </w:p>
        </w:tc>
        <w:tc>
          <w:tcPr>
            <w:tcW w:w="930" w:type="dxa"/>
            <w:vMerge w:val="continue"/>
            <w:noWrap w:val="0"/>
            <w:vAlign w:val="top"/>
          </w:tcPr>
          <w:p>
            <w:pPr>
              <w:ind w:right="120"/>
              <w:jc w:val="left"/>
              <w:rPr>
                <w:rFonts w:hint="eastAsia"/>
                <w:sz w:val="18"/>
                <w:szCs w:val="18"/>
              </w:rPr>
            </w:pPr>
          </w:p>
        </w:tc>
        <w:tc>
          <w:tcPr>
            <w:tcW w:w="825" w:type="dxa"/>
            <w:vMerge w:val="continue"/>
            <w:noWrap w:val="0"/>
            <w:vAlign w:val="top"/>
          </w:tcPr>
          <w:p>
            <w:pPr>
              <w:ind w:right="120"/>
              <w:jc w:val="left"/>
              <w:rPr>
                <w:rFonts w:hint="eastAsia"/>
                <w:sz w:val="18"/>
                <w:szCs w:val="18"/>
              </w:rPr>
            </w:pPr>
          </w:p>
        </w:tc>
        <w:tc>
          <w:tcPr>
            <w:tcW w:w="825" w:type="dxa"/>
            <w:vMerge w:val="continue"/>
            <w:noWrap w:val="0"/>
            <w:vAlign w:val="top"/>
          </w:tcPr>
          <w:p>
            <w:pPr>
              <w:ind w:right="120"/>
              <w:jc w:val="left"/>
              <w:rPr>
                <w:rFonts w:hint="eastAsia"/>
                <w:sz w:val="18"/>
                <w:szCs w:val="18"/>
              </w:rPr>
            </w:pPr>
          </w:p>
        </w:tc>
        <w:tc>
          <w:tcPr>
            <w:tcW w:w="990" w:type="dxa"/>
            <w:vMerge w:val="continue"/>
            <w:noWrap w:val="0"/>
            <w:vAlign w:val="top"/>
          </w:tcPr>
          <w:p>
            <w:pPr>
              <w:ind w:right="120"/>
              <w:jc w:val="left"/>
              <w:rPr>
                <w:rFonts w:hint="eastAsia"/>
                <w:sz w:val="18"/>
                <w:szCs w:val="18"/>
              </w:rPr>
            </w:pPr>
          </w:p>
        </w:tc>
        <w:tc>
          <w:tcPr>
            <w:tcW w:w="976" w:type="dxa"/>
            <w:vMerge w:val="continue"/>
            <w:noWrap w:val="0"/>
            <w:vAlign w:val="top"/>
          </w:tcPr>
          <w:p>
            <w:pPr>
              <w:ind w:right="120"/>
              <w:jc w:val="lef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3" w:hRule="atLeast"/>
        </w:trPr>
        <w:tc>
          <w:tcPr>
            <w:tcW w:w="663" w:type="dxa"/>
            <w:noWrap w:val="0"/>
            <w:vAlign w:val="top"/>
          </w:tcPr>
          <w:p>
            <w:pPr>
              <w:ind w:right="120"/>
              <w:jc w:val="left"/>
              <w:rPr>
                <w:rFonts w:hint="eastAsia"/>
                <w:sz w:val="18"/>
                <w:szCs w:val="18"/>
              </w:rPr>
            </w:pPr>
            <w:bookmarkStart w:id="7" w:name="qupianList_qpbh_grid"/>
            <w:r>
              <w:rPr>
                <w:rFonts w:hint="eastAsia"/>
                <w:sz w:val="18"/>
                <w:szCs w:val="18"/>
              </w:rPr>
              <w:t>4112210101</w:t>
            </w:r>
            <w:bookmarkEnd w:id="7"/>
          </w:p>
        </w:tc>
        <w:tc>
          <w:tcPr>
            <w:tcW w:w="529" w:type="dxa"/>
            <w:noWrap w:val="0"/>
            <w:vAlign w:val="top"/>
          </w:tcPr>
          <w:p>
            <w:pPr>
              <w:ind w:right="120"/>
              <w:jc w:val="left"/>
              <w:rPr>
                <w:rFonts w:hint="eastAsia"/>
                <w:sz w:val="18"/>
                <w:szCs w:val="18"/>
              </w:rPr>
            </w:pPr>
            <w:bookmarkStart w:id="8" w:name="qupianList_unitname_grid"/>
            <w:r>
              <w:rPr>
                <w:rFonts w:hint="eastAsia"/>
                <w:sz w:val="18"/>
                <w:szCs w:val="18"/>
              </w:rPr>
              <w:t>仰韶镇-马岭村</w:t>
            </w:r>
            <w:bookmarkEnd w:id="8"/>
          </w:p>
        </w:tc>
        <w:tc>
          <w:tcPr>
            <w:tcW w:w="602" w:type="dxa"/>
            <w:noWrap w:val="0"/>
            <w:vAlign w:val="top"/>
          </w:tcPr>
          <w:p>
            <w:pPr>
              <w:ind w:right="120"/>
              <w:jc w:val="left"/>
              <w:rPr>
                <w:rFonts w:hint="eastAsia"/>
                <w:sz w:val="18"/>
                <w:szCs w:val="18"/>
              </w:rPr>
            </w:pPr>
            <w:bookmarkStart w:id="9" w:name="qupianList_nyd_grid"/>
            <w:r>
              <w:rPr>
                <w:rFonts w:hint="eastAsia"/>
                <w:sz w:val="18"/>
                <w:szCs w:val="18"/>
              </w:rPr>
              <w:t>1.0067</w:t>
            </w:r>
            <w:bookmarkEnd w:id="9"/>
          </w:p>
        </w:tc>
        <w:tc>
          <w:tcPr>
            <w:tcW w:w="615" w:type="dxa"/>
            <w:noWrap w:val="0"/>
            <w:vAlign w:val="top"/>
          </w:tcPr>
          <w:p>
            <w:pPr>
              <w:ind w:right="120"/>
              <w:jc w:val="left"/>
              <w:rPr>
                <w:rFonts w:hint="eastAsia"/>
                <w:sz w:val="18"/>
                <w:szCs w:val="18"/>
              </w:rPr>
            </w:pPr>
            <w:bookmarkStart w:id="10" w:name="qupianList_gd_grid"/>
            <w:r>
              <w:rPr>
                <w:rFonts w:hint="eastAsia"/>
                <w:sz w:val="18"/>
                <w:szCs w:val="18"/>
              </w:rPr>
              <w:t>0.4235</w:t>
            </w:r>
            <w:bookmarkEnd w:id="10"/>
          </w:p>
        </w:tc>
        <w:tc>
          <w:tcPr>
            <w:tcW w:w="719" w:type="dxa"/>
            <w:noWrap w:val="0"/>
            <w:vAlign w:val="top"/>
          </w:tcPr>
          <w:p>
            <w:pPr>
              <w:ind w:right="120"/>
              <w:jc w:val="left"/>
              <w:rPr>
                <w:rFonts w:hint="eastAsia"/>
                <w:sz w:val="18"/>
                <w:szCs w:val="18"/>
              </w:rPr>
            </w:pPr>
            <w:bookmarkStart w:id="11" w:name="qupianList_qtnyd_grid"/>
            <w:r>
              <w:rPr>
                <w:rFonts w:hint="eastAsia"/>
                <w:sz w:val="18"/>
                <w:szCs w:val="18"/>
              </w:rPr>
              <w:t>0.5832</w:t>
            </w:r>
            <w:bookmarkEnd w:id="11"/>
          </w:p>
        </w:tc>
        <w:tc>
          <w:tcPr>
            <w:tcW w:w="708" w:type="dxa"/>
            <w:noWrap w:val="0"/>
            <w:vAlign w:val="top"/>
          </w:tcPr>
          <w:p>
            <w:pPr>
              <w:ind w:right="120"/>
              <w:jc w:val="left"/>
              <w:rPr>
                <w:rFonts w:hint="eastAsia"/>
                <w:sz w:val="18"/>
                <w:szCs w:val="18"/>
              </w:rPr>
            </w:pPr>
            <w:bookmarkStart w:id="12" w:name="qupianList_qzjbnt_grid"/>
            <w:r>
              <w:rPr>
                <w:rFonts w:hint="eastAsia"/>
                <w:sz w:val="18"/>
                <w:szCs w:val="18"/>
              </w:rPr>
              <w:t>0.0000</w:t>
            </w:r>
            <w:bookmarkEnd w:id="12"/>
          </w:p>
        </w:tc>
        <w:tc>
          <w:tcPr>
            <w:tcW w:w="528" w:type="dxa"/>
            <w:noWrap w:val="0"/>
            <w:vAlign w:val="top"/>
          </w:tcPr>
          <w:p>
            <w:pPr>
              <w:ind w:right="120"/>
              <w:jc w:val="left"/>
              <w:rPr>
                <w:rFonts w:hint="eastAsia"/>
                <w:sz w:val="18"/>
                <w:szCs w:val="18"/>
              </w:rPr>
            </w:pPr>
            <w:bookmarkStart w:id="13" w:name="qupianList_jsyd_grid"/>
            <w:r>
              <w:rPr>
                <w:rFonts w:hint="eastAsia"/>
                <w:sz w:val="18"/>
                <w:szCs w:val="18"/>
              </w:rPr>
              <w:t>0.0000</w:t>
            </w:r>
            <w:bookmarkEnd w:id="13"/>
          </w:p>
        </w:tc>
        <w:tc>
          <w:tcPr>
            <w:tcW w:w="535" w:type="dxa"/>
            <w:noWrap w:val="0"/>
            <w:vAlign w:val="top"/>
          </w:tcPr>
          <w:p>
            <w:pPr>
              <w:ind w:right="120"/>
              <w:jc w:val="left"/>
              <w:rPr>
                <w:rFonts w:hint="eastAsia"/>
                <w:sz w:val="18"/>
                <w:szCs w:val="18"/>
              </w:rPr>
            </w:pPr>
            <w:bookmarkStart w:id="14" w:name="qupianList_wlyd_grid"/>
            <w:r>
              <w:rPr>
                <w:rFonts w:hint="eastAsia"/>
                <w:sz w:val="18"/>
                <w:szCs w:val="18"/>
              </w:rPr>
              <w:t>0.0000</w:t>
            </w:r>
            <w:bookmarkEnd w:id="14"/>
          </w:p>
        </w:tc>
        <w:tc>
          <w:tcPr>
            <w:tcW w:w="735" w:type="dxa"/>
            <w:noWrap w:val="0"/>
            <w:vAlign w:val="top"/>
          </w:tcPr>
          <w:p>
            <w:pPr>
              <w:ind w:right="120"/>
              <w:jc w:val="left"/>
              <w:rPr>
                <w:rFonts w:hint="eastAsia"/>
                <w:sz w:val="18"/>
                <w:szCs w:val="18"/>
              </w:rPr>
            </w:pPr>
            <w:bookmarkStart w:id="15" w:name="qupianList_xiaoji_grid"/>
            <w:r>
              <w:rPr>
                <w:rFonts w:hint="eastAsia"/>
                <w:sz w:val="18"/>
                <w:szCs w:val="18"/>
              </w:rPr>
              <w:t>166.8000</w:t>
            </w:r>
            <w:bookmarkEnd w:id="15"/>
          </w:p>
        </w:tc>
        <w:tc>
          <w:tcPr>
            <w:tcW w:w="930" w:type="dxa"/>
            <w:noWrap w:val="0"/>
            <w:vAlign w:val="top"/>
          </w:tcPr>
          <w:p>
            <w:pPr>
              <w:ind w:right="120"/>
              <w:jc w:val="left"/>
              <w:rPr>
                <w:rFonts w:hint="eastAsia"/>
                <w:sz w:val="18"/>
                <w:szCs w:val="18"/>
              </w:rPr>
            </w:pPr>
            <w:bookmarkStart w:id="16" w:name="qupianList_bcazbz_grid"/>
            <w:r>
              <w:rPr>
                <w:rFonts w:hint="eastAsia"/>
                <w:sz w:val="18"/>
                <w:szCs w:val="18"/>
              </w:rPr>
              <w:t>96.0000</w:t>
            </w:r>
            <w:bookmarkEnd w:id="16"/>
          </w:p>
        </w:tc>
        <w:tc>
          <w:tcPr>
            <w:tcW w:w="825" w:type="dxa"/>
            <w:noWrap w:val="0"/>
            <w:vAlign w:val="top"/>
          </w:tcPr>
          <w:p>
            <w:pPr>
              <w:ind w:right="120"/>
              <w:jc w:val="left"/>
              <w:rPr>
                <w:rFonts w:hint="eastAsia"/>
                <w:sz w:val="18"/>
                <w:szCs w:val="18"/>
              </w:rPr>
            </w:pPr>
            <w:bookmarkStart w:id="17" w:name="qupianList_sbbz_grid"/>
            <w:r>
              <w:rPr>
                <w:rFonts w:hint="eastAsia"/>
                <w:sz w:val="18"/>
                <w:szCs w:val="18"/>
              </w:rPr>
              <w:t>70.8000</w:t>
            </w:r>
            <w:bookmarkEnd w:id="17"/>
          </w:p>
        </w:tc>
        <w:tc>
          <w:tcPr>
            <w:tcW w:w="825" w:type="dxa"/>
            <w:noWrap w:val="0"/>
            <w:vAlign w:val="top"/>
          </w:tcPr>
          <w:p>
            <w:pPr>
              <w:ind w:right="120"/>
              <w:jc w:val="left"/>
              <w:rPr>
                <w:rFonts w:hint="eastAsia"/>
                <w:sz w:val="18"/>
                <w:szCs w:val="18"/>
              </w:rPr>
            </w:pPr>
            <w:bookmarkStart w:id="18" w:name="qupianList_zdfyhj_grid"/>
            <w:r>
              <w:rPr>
                <w:rFonts w:hint="eastAsia"/>
                <w:sz w:val="18"/>
                <w:szCs w:val="18"/>
              </w:rPr>
              <w:t>167.917560</w:t>
            </w:r>
            <w:bookmarkEnd w:id="18"/>
          </w:p>
        </w:tc>
        <w:tc>
          <w:tcPr>
            <w:tcW w:w="990" w:type="dxa"/>
            <w:noWrap w:val="0"/>
            <w:vAlign w:val="top"/>
          </w:tcPr>
          <w:p>
            <w:pPr>
              <w:ind w:right="120"/>
              <w:jc w:val="left"/>
              <w:rPr>
                <w:rFonts w:hint="eastAsia"/>
                <w:sz w:val="18"/>
                <w:szCs w:val="18"/>
              </w:rPr>
            </w:pPr>
            <w:bookmarkStart w:id="19" w:name="qupianList_zdbcazf_grid"/>
            <w:r>
              <w:rPr>
                <w:rFonts w:hint="eastAsia"/>
                <w:sz w:val="18"/>
                <w:szCs w:val="18"/>
              </w:rPr>
              <w:t>96.643200</w:t>
            </w:r>
            <w:bookmarkEnd w:id="19"/>
          </w:p>
        </w:tc>
        <w:tc>
          <w:tcPr>
            <w:tcW w:w="976" w:type="dxa"/>
            <w:noWrap w:val="0"/>
            <w:vAlign w:val="top"/>
          </w:tcPr>
          <w:p>
            <w:pPr>
              <w:ind w:right="120"/>
              <w:jc w:val="left"/>
              <w:rPr>
                <w:rFonts w:hint="eastAsia"/>
                <w:sz w:val="18"/>
                <w:szCs w:val="18"/>
              </w:rPr>
            </w:pPr>
            <w:bookmarkStart w:id="20" w:name="qupianList_sbfy_grid"/>
            <w:r>
              <w:rPr>
                <w:rFonts w:hint="eastAsia"/>
                <w:sz w:val="18"/>
                <w:szCs w:val="18"/>
              </w:rPr>
              <w:t>71.274360</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3" w:hRule="atLeast"/>
        </w:trPr>
        <w:tc>
          <w:tcPr>
            <w:tcW w:w="663" w:type="dxa"/>
            <w:noWrap w:val="0"/>
            <w:vAlign w:val="top"/>
          </w:tcPr>
          <w:p>
            <w:pPr>
              <w:ind w:right="120"/>
              <w:jc w:val="left"/>
              <w:rPr>
                <w:rFonts w:hint="eastAsia"/>
                <w:sz w:val="18"/>
                <w:szCs w:val="18"/>
              </w:rPr>
            </w:pPr>
            <w:r>
              <w:rPr>
                <w:rFonts w:hint="eastAsia"/>
                <w:sz w:val="18"/>
                <w:szCs w:val="18"/>
              </w:rPr>
              <w:t>4112210201</w:t>
            </w:r>
          </w:p>
        </w:tc>
        <w:tc>
          <w:tcPr>
            <w:tcW w:w="529" w:type="dxa"/>
            <w:noWrap w:val="0"/>
            <w:vAlign w:val="top"/>
          </w:tcPr>
          <w:p>
            <w:pPr>
              <w:ind w:right="120"/>
              <w:jc w:val="left"/>
              <w:rPr>
                <w:rFonts w:hint="eastAsia"/>
                <w:sz w:val="18"/>
                <w:szCs w:val="18"/>
              </w:rPr>
            </w:pPr>
            <w:r>
              <w:rPr>
                <w:rFonts w:hint="eastAsia"/>
                <w:sz w:val="18"/>
                <w:szCs w:val="18"/>
              </w:rPr>
              <w:t>仰韶镇-庄子村</w:t>
            </w:r>
          </w:p>
        </w:tc>
        <w:tc>
          <w:tcPr>
            <w:tcW w:w="602" w:type="dxa"/>
            <w:noWrap w:val="0"/>
            <w:vAlign w:val="top"/>
          </w:tcPr>
          <w:p>
            <w:pPr>
              <w:ind w:right="120"/>
              <w:jc w:val="left"/>
              <w:rPr>
                <w:rFonts w:hint="eastAsia"/>
                <w:sz w:val="18"/>
                <w:szCs w:val="18"/>
              </w:rPr>
            </w:pPr>
            <w:r>
              <w:rPr>
                <w:rFonts w:hint="eastAsia"/>
                <w:sz w:val="18"/>
                <w:szCs w:val="18"/>
              </w:rPr>
              <w:t>0.0226</w:t>
            </w:r>
          </w:p>
        </w:tc>
        <w:tc>
          <w:tcPr>
            <w:tcW w:w="615" w:type="dxa"/>
            <w:noWrap w:val="0"/>
            <w:vAlign w:val="top"/>
          </w:tcPr>
          <w:p>
            <w:pPr>
              <w:ind w:right="120"/>
              <w:jc w:val="left"/>
              <w:rPr>
                <w:rFonts w:hint="eastAsia"/>
                <w:sz w:val="18"/>
                <w:szCs w:val="18"/>
              </w:rPr>
            </w:pPr>
            <w:r>
              <w:rPr>
                <w:rFonts w:hint="eastAsia"/>
                <w:sz w:val="18"/>
                <w:szCs w:val="18"/>
              </w:rPr>
              <w:t>0.0000</w:t>
            </w:r>
          </w:p>
        </w:tc>
        <w:tc>
          <w:tcPr>
            <w:tcW w:w="719" w:type="dxa"/>
            <w:noWrap w:val="0"/>
            <w:vAlign w:val="top"/>
          </w:tcPr>
          <w:p>
            <w:pPr>
              <w:ind w:right="120"/>
              <w:jc w:val="left"/>
              <w:rPr>
                <w:rFonts w:hint="eastAsia"/>
                <w:sz w:val="18"/>
                <w:szCs w:val="18"/>
              </w:rPr>
            </w:pPr>
            <w:r>
              <w:rPr>
                <w:rFonts w:hint="eastAsia"/>
                <w:sz w:val="18"/>
                <w:szCs w:val="18"/>
              </w:rPr>
              <w:t>0.0226</w:t>
            </w:r>
          </w:p>
        </w:tc>
        <w:tc>
          <w:tcPr>
            <w:tcW w:w="708" w:type="dxa"/>
            <w:noWrap w:val="0"/>
            <w:vAlign w:val="top"/>
          </w:tcPr>
          <w:p>
            <w:pPr>
              <w:ind w:right="120"/>
              <w:jc w:val="left"/>
              <w:rPr>
                <w:rFonts w:hint="eastAsia"/>
                <w:sz w:val="18"/>
                <w:szCs w:val="18"/>
              </w:rPr>
            </w:pPr>
            <w:r>
              <w:rPr>
                <w:rFonts w:hint="eastAsia"/>
                <w:sz w:val="18"/>
                <w:szCs w:val="18"/>
              </w:rPr>
              <w:t>0.0000</w:t>
            </w:r>
          </w:p>
        </w:tc>
        <w:tc>
          <w:tcPr>
            <w:tcW w:w="528" w:type="dxa"/>
            <w:noWrap w:val="0"/>
            <w:vAlign w:val="top"/>
          </w:tcPr>
          <w:p>
            <w:pPr>
              <w:ind w:right="120"/>
              <w:jc w:val="left"/>
              <w:rPr>
                <w:rFonts w:hint="eastAsia"/>
                <w:sz w:val="18"/>
                <w:szCs w:val="18"/>
              </w:rPr>
            </w:pPr>
            <w:r>
              <w:rPr>
                <w:rFonts w:hint="eastAsia"/>
                <w:sz w:val="18"/>
                <w:szCs w:val="18"/>
              </w:rPr>
              <w:t>0.0000</w:t>
            </w:r>
          </w:p>
        </w:tc>
        <w:tc>
          <w:tcPr>
            <w:tcW w:w="535" w:type="dxa"/>
            <w:noWrap w:val="0"/>
            <w:vAlign w:val="top"/>
          </w:tcPr>
          <w:p>
            <w:pPr>
              <w:ind w:right="120"/>
              <w:jc w:val="left"/>
              <w:rPr>
                <w:rFonts w:hint="eastAsia"/>
                <w:sz w:val="18"/>
                <w:szCs w:val="18"/>
              </w:rPr>
            </w:pPr>
            <w:r>
              <w:rPr>
                <w:rFonts w:hint="eastAsia"/>
                <w:sz w:val="18"/>
                <w:szCs w:val="18"/>
              </w:rPr>
              <w:t>0.0000</w:t>
            </w:r>
          </w:p>
        </w:tc>
        <w:tc>
          <w:tcPr>
            <w:tcW w:w="735" w:type="dxa"/>
            <w:noWrap w:val="0"/>
            <w:vAlign w:val="top"/>
          </w:tcPr>
          <w:p>
            <w:pPr>
              <w:ind w:right="120"/>
              <w:jc w:val="left"/>
              <w:rPr>
                <w:rFonts w:hint="eastAsia"/>
                <w:sz w:val="18"/>
                <w:szCs w:val="18"/>
              </w:rPr>
            </w:pPr>
            <w:r>
              <w:rPr>
                <w:rFonts w:hint="eastAsia"/>
                <w:sz w:val="18"/>
                <w:szCs w:val="18"/>
              </w:rPr>
              <w:t>145.8000</w:t>
            </w:r>
          </w:p>
        </w:tc>
        <w:tc>
          <w:tcPr>
            <w:tcW w:w="930" w:type="dxa"/>
            <w:noWrap w:val="0"/>
            <w:vAlign w:val="top"/>
          </w:tcPr>
          <w:p>
            <w:pPr>
              <w:ind w:right="120"/>
              <w:jc w:val="left"/>
              <w:rPr>
                <w:rFonts w:hint="eastAsia"/>
                <w:sz w:val="18"/>
                <w:szCs w:val="18"/>
              </w:rPr>
            </w:pPr>
            <w:r>
              <w:rPr>
                <w:rFonts w:hint="eastAsia"/>
                <w:sz w:val="18"/>
                <w:szCs w:val="18"/>
              </w:rPr>
              <w:t>75.0000</w:t>
            </w:r>
          </w:p>
        </w:tc>
        <w:tc>
          <w:tcPr>
            <w:tcW w:w="825" w:type="dxa"/>
            <w:noWrap w:val="0"/>
            <w:vAlign w:val="top"/>
          </w:tcPr>
          <w:p>
            <w:pPr>
              <w:ind w:right="120"/>
              <w:jc w:val="left"/>
              <w:rPr>
                <w:rFonts w:hint="eastAsia"/>
                <w:sz w:val="18"/>
                <w:szCs w:val="18"/>
              </w:rPr>
            </w:pPr>
            <w:r>
              <w:rPr>
                <w:rFonts w:hint="eastAsia"/>
                <w:sz w:val="18"/>
                <w:szCs w:val="18"/>
              </w:rPr>
              <w:t>70.8000</w:t>
            </w:r>
          </w:p>
        </w:tc>
        <w:tc>
          <w:tcPr>
            <w:tcW w:w="825" w:type="dxa"/>
            <w:noWrap w:val="0"/>
            <w:vAlign w:val="top"/>
          </w:tcPr>
          <w:p>
            <w:pPr>
              <w:ind w:right="120"/>
              <w:jc w:val="left"/>
              <w:rPr>
                <w:rFonts w:hint="eastAsia"/>
                <w:sz w:val="18"/>
                <w:szCs w:val="18"/>
              </w:rPr>
            </w:pPr>
            <w:r>
              <w:rPr>
                <w:rFonts w:hint="eastAsia"/>
                <w:sz w:val="18"/>
                <w:szCs w:val="18"/>
              </w:rPr>
              <w:t>3.295080</w:t>
            </w:r>
          </w:p>
        </w:tc>
        <w:tc>
          <w:tcPr>
            <w:tcW w:w="990" w:type="dxa"/>
            <w:noWrap w:val="0"/>
            <w:vAlign w:val="top"/>
          </w:tcPr>
          <w:p>
            <w:pPr>
              <w:ind w:right="120"/>
              <w:jc w:val="left"/>
              <w:rPr>
                <w:rFonts w:hint="eastAsia"/>
                <w:sz w:val="18"/>
                <w:szCs w:val="18"/>
              </w:rPr>
            </w:pPr>
            <w:r>
              <w:rPr>
                <w:rFonts w:hint="eastAsia"/>
                <w:sz w:val="18"/>
                <w:szCs w:val="18"/>
              </w:rPr>
              <w:t>1.695000</w:t>
            </w:r>
          </w:p>
        </w:tc>
        <w:tc>
          <w:tcPr>
            <w:tcW w:w="976" w:type="dxa"/>
            <w:noWrap w:val="0"/>
            <w:vAlign w:val="top"/>
          </w:tcPr>
          <w:p>
            <w:pPr>
              <w:ind w:right="120"/>
              <w:jc w:val="left"/>
              <w:rPr>
                <w:rFonts w:hint="eastAsia"/>
                <w:sz w:val="18"/>
                <w:szCs w:val="18"/>
              </w:rPr>
            </w:pPr>
            <w:r>
              <w:rPr>
                <w:rFonts w:hint="eastAsia"/>
                <w:sz w:val="18"/>
                <w:szCs w:val="18"/>
              </w:rPr>
              <w:t>1.600080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trPr>
        <w:tc>
          <w:tcPr>
            <w:tcW w:w="1192" w:type="dxa"/>
            <w:gridSpan w:val="2"/>
            <w:noWrap w:val="0"/>
            <w:vAlign w:val="top"/>
          </w:tcPr>
          <w:p>
            <w:pPr>
              <w:ind w:right="120"/>
              <w:jc w:val="left"/>
              <w:rPr>
                <w:rFonts w:hint="eastAsia"/>
                <w:sz w:val="18"/>
                <w:szCs w:val="18"/>
              </w:rPr>
            </w:pPr>
            <w:r>
              <w:rPr>
                <w:rFonts w:hint="eastAsia"/>
                <w:sz w:val="18"/>
                <w:szCs w:val="18"/>
              </w:rPr>
              <w:t>合计</w:t>
            </w:r>
          </w:p>
        </w:tc>
        <w:tc>
          <w:tcPr>
            <w:tcW w:w="602" w:type="dxa"/>
            <w:noWrap w:val="0"/>
            <w:vAlign w:val="top"/>
          </w:tcPr>
          <w:p>
            <w:pPr>
              <w:ind w:right="120"/>
              <w:jc w:val="left"/>
              <w:rPr>
                <w:rFonts w:hint="eastAsia"/>
                <w:sz w:val="18"/>
                <w:szCs w:val="18"/>
              </w:rPr>
            </w:pPr>
            <w:bookmarkStart w:id="21" w:name="nydsum"/>
            <w:r>
              <w:rPr>
                <w:rFonts w:hint="eastAsia"/>
                <w:sz w:val="18"/>
                <w:szCs w:val="18"/>
              </w:rPr>
              <w:t>1.0293</w:t>
            </w:r>
            <w:bookmarkEnd w:id="21"/>
          </w:p>
        </w:tc>
        <w:tc>
          <w:tcPr>
            <w:tcW w:w="615" w:type="dxa"/>
            <w:noWrap w:val="0"/>
            <w:vAlign w:val="top"/>
          </w:tcPr>
          <w:p>
            <w:pPr>
              <w:ind w:right="120"/>
              <w:jc w:val="left"/>
              <w:rPr>
                <w:rFonts w:hint="eastAsia"/>
                <w:sz w:val="18"/>
                <w:szCs w:val="18"/>
              </w:rPr>
            </w:pPr>
            <w:bookmarkStart w:id="22" w:name="gdsum"/>
            <w:r>
              <w:rPr>
                <w:rFonts w:hint="eastAsia"/>
                <w:sz w:val="18"/>
                <w:szCs w:val="18"/>
              </w:rPr>
              <w:t>0.4235</w:t>
            </w:r>
            <w:bookmarkEnd w:id="22"/>
          </w:p>
        </w:tc>
        <w:tc>
          <w:tcPr>
            <w:tcW w:w="719" w:type="dxa"/>
            <w:noWrap w:val="0"/>
            <w:vAlign w:val="top"/>
          </w:tcPr>
          <w:p>
            <w:pPr>
              <w:ind w:right="120"/>
              <w:jc w:val="left"/>
              <w:rPr>
                <w:rFonts w:hint="eastAsia"/>
                <w:sz w:val="18"/>
                <w:szCs w:val="18"/>
              </w:rPr>
            </w:pPr>
            <w:bookmarkStart w:id="23" w:name="qtnydsum"/>
            <w:r>
              <w:rPr>
                <w:rFonts w:hint="eastAsia"/>
                <w:sz w:val="18"/>
                <w:szCs w:val="18"/>
              </w:rPr>
              <w:t>0.6058</w:t>
            </w:r>
            <w:bookmarkEnd w:id="23"/>
          </w:p>
        </w:tc>
        <w:tc>
          <w:tcPr>
            <w:tcW w:w="708" w:type="dxa"/>
            <w:noWrap w:val="0"/>
            <w:vAlign w:val="top"/>
          </w:tcPr>
          <w:p>
            <w:pPr>
              <w:ind w:right="120"/>
              <w:jc w:val="left"/>
              <w:rPr>
                <w:rFonts w:hint="eastAsia"/>
                <w:sz w:val="18"/>
                <w:szCs w:val="18"/>
              </w:rPr>
            </w:pPr>
            <w:bookmarkStart w:id="24" w:name="qzjbntsum"/>
            <w:r>
              <w:rPr>
                <w:rFonts w:hint="eastAsia"/>
                <w:sz w:val="18"/>
                <w:szCs w:val="18"/>
              </w:rPr>
              <w:t>0.0000</w:t>
            </w:r>
            <w:bookmarkEnd w:id="24"/>
          </w:p>
        </w:tc>
        <w:tc>
          <w:tcPr>
            <w:tcW w:w="528" w:type="dxa"/>
            <w:noWrap w:val="0"/>
            <w:vAlign w:val="top"/>
          </w:tcPr>
          <w:p>
            <w:pPr>
              <w:ind w:right="120"/>
              <w:jc w:val="left"/>
              <w:rPr>
                <w:rFonts w:hint="eastAsia"/>
                <w:sz w:val="18"/>
                <w:szCs w:val="18"/>
              </w:rPr>
            </w:pPr>
            <w:bookmarkStart w:id="25" w:name="jsydsum"/>
            <w:r>
              <w:rPr>
                <w:rFonts w:hint="eastAsia"/>
                <w:sz w:val="18"/>
                <w:szCs w:val="18"/>
              </w:rPr>
              <w:t>0.0000</w:t>
            </w:r>
            <w:bookmarkEnd w:id="25"/>
          </w:p>
        </w:tc>
        <w:tc>
          <w:tcPr>
            <w:tcW w:w="535" w:type="dxa"/>
            <w:noWrap w:val="0"/>
            <w:vAlign w:val="top"/>
          </w:tcPr>
          <w:p>
            <w:pPr>
              <w:ind w:right="120"/>
              <w:jc w:val="left"/>
              <w:rPr>
                <w:rFonts w:hint="eastAsia"/>
                <w:sz w:val="18"/>
                <w:szCs w:val="18"/>
              </w:rPr>
            </w:pPr>
            <w:bookmarkStart w:id="26" w:name="wlydsum"/>
            <w:r>
              <w:rPr>
                <w:rFonts w:hint="eastAsia"/>
                <w:sz w:val="18"/>
                <w:szCs w:val="18"/>
              </w:rPr>
              <w:t>0.0000</w:t>
            </w:r>
            <w:bookmarkEnd w:id="26"/>
          </w:p>
        </w:tc>
        <w:tc>
          <w:tcPr>
            <w:tcW w:w="2490" w:type="dxa"/>
            <w:gridSpan w:val="3"/>
            <w:noWrap w:val="0"/>
            <w:vAlign w:val="top"/>
          </w:tcPr>
          <w:p>
            <w:pPr>
              <w:ind w:right="120"/>
              <w:jc w:val="left"/>
              <w:rPr>
                <w:rFonts w:hint="eastAsia"/>
                <w:sz w:val="18"/>
                <w:szCs w:val="18"/>
              </w:rPr>
            </w:pPr>
          </w:p>
        </w:tc>
        <w:tc>
          <w:tcPr>
            <w:tcW w:w="825" w:type="dxa"/>
            <w:noWrap w:val="0"/>
            <w:vAlign w:val="top"/>
          </w:tcPr>
          <w:p>
            <w:pPr>
              <w:ind w:right="120"/>
              <w:jc w:val="left"/>
              <w:rPr>
                <w:rFonts w:hint="eastAsia"/>
                <w:sz w:val="18"/>
                <w:szCs w:val="18"/>
              </w:rPr>
            </w:pPr>
            <w:bookmarkStart w:id="27" w:name="zdfysum"/>
            <w:r>
              <w:rPr>
                <w:rFonts w:hint="eastAsia"/>
                <w:sz w:val="18"/>
                <w:szCs w:val="18"/>
              </w:rPr>
              <w:t>171.2126</w:t>
            </w:r>
            <w:bookmarkEnd w:id="27"/>
          </w:p>
        </w:tc>
        <w:tc>
          <w:tcPr>
            <w:tcW w:w="990" w:type="dxa"/>
            <w:noWrap w:val="0"/>
            <w:vAlign w:val="top"/>
          </w:tcPr>
          <w:p>
            <w:pPr>
              <w:ind w:right="120"/>
              <w:jc w:val="left"/>
              <w:rPr>
                <w:rFonts w:hint="eastAsia"/>
                <w:sz w:val="18"/>
                <w:szCs w:val="18"/>
              </w:rPr>
            </w:pPr>
            <w:bookmarkStart w:id="28" w:name="zdbcazfsum"/>
            <w:r>
              <w:rPr>
                <w:rFonts w:hint="eastAsia"/>
                <w:sz w:val="18"/>
                <w:szCs w:val="18"/>
              </w:rPr>
              <w:t>98.3382</w:t>
            </w:r>
            <w:bookmarkEnd w:id="28"/>
          </w:p>
        </w:tc>
        <w:tc>
          <w:tcPr>
            <w:tcW w:w="976" w:type="dxa"/>
            <w:noWrap w:val="0"/>
            <w:vAlign w:val="top"/>
          </w:tcPr>
          <w:p>
            <w:pPr>
              <w:ind w:right="120"/>
              <w:jc w:val="left"/>
              <w:rPr>
                <w:rFonts w:hint="eastAsia"/>
                <w:sz w:val="18"/>
                <w:szCs w:val="18"/>
              </w:rPr>
            </w:pPr>
            <w:bookmarkStart w:id="29" w:name="sbfysum"/>
            <w:r>
              <w:rPr>
                <w:rFonts w:hint="eastAsia"/>
                <w:sz w:val="18"/>
                <w:szCs w:val="18"/>
              </w:rPr>
              <w:t>72.8744</w:t>
            </w:r>
            <w:bookmarkEnd w:id="29"/>
          </w:p>
        </w:tc>
      </w:tr>
    </w:tbl>
    <w:tbl>
      <w:tblPr>
        <w:tblStyle w:val="4"/>
        <w:tblpPr w:leftFromText="180" w:rightFromText="180" w:vertAnchor="text" w:horzAnchor="page" w:tblpX="937" w:tblpY="207"/>
        <w:tblOverlap w:val="never"/>
        <w:tblW w:w="10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1619"/>
        <w:gridCol w:w="1935"/>
        <w:gridCol w:w="1921"/>
        <w:gridCol w:w="2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2035" w:type="dxa"/>
            <w:vMerge w:val="restart"/>
            <w:noWrap w:val="0"/>
            <w:vAlign w:val="center"/>
          </w:tcPr>
          <w:p>
            <w:pPr>
              <w:ind w:right="120"/>
              <w:jc w:val="center"/>
              <w:rPr>
                <w:sz w:val="18"/>
                <w:szCs w:val="18"/>
              </w:rPr>
            </w:pPr>
            <w:r>
              <w:rPr>
                <w:sz w:val="18"/>
                <w:szCs w:val="18"/>
              </w:rPr>
              <w:t>其他费用</w:t>
            </w:r>
          </w:p>
        </w:tc>
        <w:tc>
          <w:tcPr>
            <w:tcW w:w="1619" w:type="dxa"/>
            <w:noWrap w:val="0"/>
            <w:vAlign w:val="center"/>
          </w:tcPr>
          <w:p>
            <w:pPr>
              <w:ind w:right="120"/>
              <w:jc w:val="center"/>
              <w:rPr>
                <w:sz w:val="18"/>
                <w:szCs w:val="18"/>
              </w:rPr>
            </w:pPr>
            <w:r>
              <w:rPr>
                <w:sz w:val="18"/>
                <w:szCs w:val="18"/>
              </w:rPr>
              <w:t>名称</w:t>
            </w:r>
          </w:p>
        </w:tc>
        <w:tc>
          <w:tcPr>
            <w:tcW w:w="3856" w:type="dxa"/>
            <w:gridSpan w:val="2"/>
            <w:noWrap w:val="0"/>
            <w:vAlign w:val="center"/>
          </w:tcPr>
          <w:p>
            <w:pPr>
              <w:ind w:right="120"/>
              <w:jc w:val="center"/>
              <w:rPr>
                <w:sz w:val="18"/>
                <w:szCs w:val="18"/>
              </w:rPr>
            </w:pPr>
            <w:r>
              <w:rPr>
                <w:sz w:val="18"/>
                <w:szCs w:val="18"/>
              </w:rPr>
              <w:t>依据</w:t>
            </w:r>
          </w:p>
        </w:tc>
        <w:tc>
          <w:tcPr>
            <w:tcW w:w="2668" w:type="dxa"/>
            <w:noWrap w:val="0"/>
            <w:vAlign w:val="center"/>
          </w:tcPr>
          <w:p>
            <w:pPr>
              <w:ind w:right="120"/>
              <w:jc w:val="center"/>
              <w:rPr>
                <w:sz w:val="18"/>
                <w:szCs w:val="18"/>
              </w:rPr>
            </w:pPr>
            <w:r>
              <w:rPr>
                <w:sz w:val="18"/>
                <w:szCs w:val="1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4" w:hRule="atLeast"/>
        </w:trPr>
        <w:tc>
          <w:tcPr>
            <w:tcW w:w="2035" w:type="dxa"/>
            <w:vMerge w:val="continue"/>
            <w:noWrap w:val="0"/>
            <w:vAlign w:val="top"/>
          </w:tcPr>
          <w:p>
            <w:pPr>
              <w:ind w:right="120"/>
              <w:jc w:val="left"/>
              <w:rPr>
                <w:sz w:val="18"/>
                <w:szCs w:val="18"/>
              </w:rPr>
            </w:pPr>
          </w:p>
        </w:tc>
        <w:tc>
          <w:tcPr>
            <w:tcW w:w="1619" w:type="dxa"/>
            <w:noWrap w:val="0"/>
            <w:vAlign w:val="center"/>
          </w:tcPr>
          <w:p>
            <w:pPr>
              <w:ind w:right="120"/>
              <w:jc w:val="center"/>
              <w:rPr>
                <w:sz w:val="18"/>
                <w:szCs w:val="18"/>
              </w:rPr>
            </w:pPr>
            <w:r>
              <w:rPr>
                <w:sz w:val="18"/>
                <w:szCs w:val="18"/>
              </w:rPr>
              <w:t>青苗补偿费</w:t>
            </w:r>
          </w:p>
        </w:tc>
        <w:tc>
          <w:tcPr>
            <w:tcW w:w="3856" w:type="dxa"/>
            <w:gridSpan w:val="2"/>
            <w:noWrap w:val="0"/>
            <w:vAlign w:val="top"/>
          </w:tcPr>
          <w:p>
            <w:pPr>
              <w:ind w:right="120"/>
              <w:jc w:val="left"/>
              <w:rPr>
                <w:sz w:val="18"/>
                <w:szCs w:val="18"/>
              </w:rPr>
            </w:pPr>
            <w:bookmarkStart w:id="30" w:name="qmbcyijv"/>
            <w:r>
              <w:rPr>
                <w:sz w:val="18"/>
                <w:szCs w:val="18"/>
              </w:rPr>
              <w:t>按《三门峡市人民政府关于印发三门峡市国家建设征用土地地上附着物补偿标准的通知》（三政〔2013〕66号），青苗补偿标准1.5万元/公顷。</w:t>
            </w:r>
            <w:bookmarkEnd w:id="30"/>
          </w:p>
        </w:tc>
        <w:tc>
          <w:tcPr>
            <w:tcW w:w="2668" w:type="dxa"/>
            <w:noWrap w:val="0"/>
            <w:vAlign w:val="center"/>
          </w:tcPr>
          <w:p>
            <w:pPr>
              <w:ind w:right="120"/>
              <w:jc w:val="both"/>
              <w:rPr>
                <w:sz w:val="18"/>
                <w:szCs w:val="18"/>
              </w:rPr>
            </w:pPr>
            <w:bookmarkStart w:id="31" w:name="qmbcjine"/>
            <w:r>
              <w:rPr>
                <w:sz w:val="18"/>
                <w:szCs w:val="18"/>
              </w:rPr>
              <w:t>1.5440</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2035" w:type="dxa"/>
            <w:vMerge w:val="continue"/>
            <w:noWrap w:val="0"/>
            <w:vAlign w:val="top"/>
          </w:tcPr>
          <w:p>
            <w:pPr>
              <w:ind w:right="120"/>
              <w:jc w:val="left"/>
              <w:rPr>
                <w:sz w:val="18"/>
                <w:szCs w:val="18"/>
              </w:rPr>
            </w:pPr>
          </w:p>
        </w:tc>
        <w:tc>
          <w:tcPr>
            <w:tcW w:w="1619" w:type="dxa"/>
            <w:noWrap w:val="0"/>
            <w:vAlign w:val="center"/>
          </w:tcPr>
          <w:p>
            <w:pPr>
              <w:ind w:right="120"/>
              <w:jc w:val="center"/>
              <w:rPr>
                <w:sz w:val="18"/>
                <w:szCs w:val="18"/>
              </w:rPr>
            </w:pPr>
            <w:r>
              <w:rPr>
                <w:sz w:val="18"/>
                <w:szCs w:val="18"/>
              </w:rPr>
              <w:t>地上附着物补偿费</w:t>
            </w:r>
          </w:p>
        </w:tc>
        <w:tc>
          <w:tcPr>
            <w:tcW w:w="3856" w:type="dxa"/>
            <w:gridSpan w:val="2"/>
            <w:noWrap w:val="0"/>
            <w:vAlign w:val="top"/>
          </w:tcPr>
          <w:p>
            <w:pPr>
              <w:ind w:right="120"/>
              <w:jc w:val="left"/>
              <w:rPr>
                <w:sz w:val="18"/>
                <w:szCs w:val="18"/>
              </w:rPr>
            </w:pPr>
            <w:bookmarkStart w:id="32" w:name="fzwbcyijv"/>
            <w:r>
              <w:rPr>
                <w:sz w:val="18"/>
                <w:szCs w:val="18"/>
              </w:rPr>
              <w:t>按《三门峡市人民政府关于印发三门峡市国家建设征用土地地上附着物补偿标准的通知》（三政〔2013〕66号），据实补偿。</w:t>
            </w:r>
            <w:bookmarkEnd w:id="32"/>
          </w:p>
        </w:tc>
        <w:tc>
          <w:tcPr>
            <w:tcW w:w="2668" w:type="dxa"/>
            <w:noWrap w:val="0"/>
            <w:vAlign w:val="center"/>
          </w:tcPr>
          <w:p>
            <w:pPr>
              <w:ind w:right="120"/>
              <w:jc w:val="both"/>
              <w:rPr>
                <w:sz w:val="18"/>
                <w:szCs w:val="18"/>
              </w:rPr>
            </w:pPr>
            <w:bookmarkStart w:id="33" w:name="fzwbcJine"/>
            <w:r>
              <w:rPr>
                <w:sz w:val="18"/>
                <w:szCs w:val="18"/>
              </w:rPr>
              <w:t>0.000000</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3654" w:type="dxa"/>
            <w:gridSpan w:val="2"/>
            <w:noWrap w:val="0"/>
            <w:vAlign w:val="center"/>
          </w:tcPr>
          <w:p>
            <w:pPr>
              <w:ind w:right="120"/>
              <w:jc w:val="center"/>
              <w:rPr>
                <w:sz w:val="18"/>
                <w:szCs w:val="18"/>
              </w:rPr>
            </w:pPr>
            <w:r>
              <w:rPr>
                <w:sz w:val="18"/>
                <w:szCs w:val="18"/>
              </w:rPr>
              <w:t>征地总费用</w:t>
            </w:r>
          </w:p>
        </w:tc>
        <w:tc>
          <w:tcPr>
            <w:tcW w:w="1935" w:type="dxa"/>
            <w:noWrap w:val="0"/>
            <w:vAlign w:val="center"/>
          </w:tcPr>
          <w:p>
            <w:pPr>
              <w:ind w:right="120"/>
              <w:jc w:val="left"/>
              <w:rPr>
                <w:sz w:val="18"/>
                <w:szCs w:val="18"/>
              </w:rPr>
            </w:pPr>
            <w:bookmarkStart w:id="34" w:name="zdzongfeiyong"/>
            <w:r>
              <w:rPr>
                <w:sz w:val="18"/>
                <w:szCs w:val="18"/>
              </w:rPr>
              <w:t>172.7566</w:t>
            </w:r>
            <w:bookmarkEnd w:id="34"/>
          </w:p>
        </w:tc>
        <w:tc>
          <w:tcPr>
            <w:tcW w:w="1921" w:type="dxa"/>
            <w:noWrap w:val="0"/>
            <w:vAlign w:val="center"/>
          </w:tcPr>
          <w:p>
            <w:pPr>
              <w:ind w:right="120"/>
              <w:jc w:val="center"/>
              <w:rPr>
                <w:sz w:val="18"/>
                <w:szCs w:val="18"/>
              </w:rPr>
            </w:pPr>
            <w:r>
              <w:rPr>
                <w:sz w:val="18"/>
                <w:szCs w:val="18"/>
              </w:rPr>
              <w:t>征地费用综合标准</w:t>
            </w:r>
          </w:p>
        </w:tc>
        <w:tc>
          <w:tcPr>
            <w:tcW w:w="2668" w:type="dxa"/>
            <w:noWrap w:val="0"/>
            <w:vAlign w:val="center"/>
          </w:tcPr>
          <w:p>
            <w:pPr>
              <w:ind w:right="120"/>
              <w:jc w:val="both"/>
              <w:rPr>
                <w:sz w:val="18"/>
                <w:szCs w:val="18"/>
              </w:rPr>
            </w:pPr>
            <w:bookmarkStart w:id="35" w:name="zdfybiaozhun"/>
            <w:r>
              <w:rPr>
                <w:sz w:val="18"/>
                <w:szCs w:val="18"/>
              </w:rPr>
              <w:t>167.8389</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2035" w:type="dxa"/>
            <w:vMerge w:val="restart"/>
            <w:noWrap w:val="0"/>
            <w:vAlign w:val="center"/>
          </w:tcPr>
          <w:p>
            <w:pPr>
              <w:ind w:right="120"/>
              <w:jc w:val="center"/>
              <w:rPr>
                <w:sz w:val="18"/>
                <w:szCs w:val="18"/>
              </w:rPr>
            </w:pPr>
            <w:r>
              <w:rPr>
                <w:sz w:val="18"/>
                <w:szCs w:val="18"/>
              </w:rPr>
              <w:t>征地安置情况</w:t>
            </w:r>
          </w:p>
        </w:tc>
        <w:tc>
          <w:tcPr>
            <w:tcW w:w="1619" w:type="dxa"/>
            <w:noWrap w:val="0"/>
            <w:vAlign w:val="center"/>
          </w:tcPr>
          <w:p>
            <w:pPr>
              <w:ind w:right="120"/>
              <w:jc w:val="center"/>
              <w:rPr>
                <w:sz w:val="18"/>
                <w:szCs w:val="18"/>
              </w:rPr>
            </w:pPr>
            <w:r>
              <w:rPr>
                <w:rFonts w:hint="eastAsia"/>
                <w:sz w:val="18"/>
                <w:szCs w:val="18"/>
              </w:rPr>
              <w:t>需要安置的农业人口数</w:t>
            </w:r>
          </w:p>
        </w:tc>
        <w:tc>
          <w:tcPr>
            <w:tcW w:w="1935" w:type="dxa"/>
            <w:noWrap w:val="0"/>
            <w:vAlign w:val="center"/>
          </w:tcPr>
          <w:p>
            <w:pPr>
              <w:ind w:right="120"/>
              <w:jc w:val="both"/>
              <w:rPr>
                <w:sz w:val="18"/>
                <w:szCs w:val="18"/>
              </w:rPr>
            </w:pPr>
            <w:bookmarkStart w:id="36" w:name="anzhinongyerenshu"/>
            <w:r>
              <w:rPr>
                <w:sz w:val="18"/>
                <w:szCs w:val="18"/>
              </w:rPr>
              <w:t>0</w:t>
            </w:r>
            <w:bookmarkEnd w:id="36"/>
          </w:p>
        </w:tc>
        <w:tc>
          <w:tcPr>
            <w:tcW w:w="1921" w:type="dxa"/>
            <w:noWrap w:val="0"/>
            <w:vAlign w:val="center"/>
          </w:tcPr>
          <w:p>
            <w:pPr>
              <w:ind w:right="120"/>
              <w:jc w:val="center"/>
              <w:rPr>
                <w:sz w:val="18"/>
                <w:szCs w:val="18"/>
              </w:rPr>
            </w:pPr>
            <w:r>
              <w:rPr>
                <w:rFonts w:hint="eastAsia"/>
                <w:sz w:val="18"/>
                <w:szCs w:val="18"/>
              </w:rPr>
              <w:t>需要安置的劳动力人数</w:t>
            </w:r>
          </w:p>
        </w:tc>
        <w:tc>
          <w:tcPr>
            <w:tcW w:w="2668" w:type="dxa"/>
            <w:noWrap w:val="0"/>
            <w:vAlign w:val="center"/>
          </w:tcPr>
          <w:p>
            <w:pPr>
              <w:ind w:right="120"/>
              <w:jc w:val="both"/>
              <w:rPr>
                <w:sz w:val="18"/>
                <w:szCs w:val="18"/>
              </w:rPr>
            </w:pPr>
            <w:bookmarkStart w:id="37" w:name="anzhilaodonglirenshu"/>
            <w:r>
              <w:rPr>
                <w:sz w:val="18"/>
                <w:szCs w:val="18"/>
              </w:rPr>
              <w:t>0</w:t>
            </w:r>
            <w:bookmarkEnd w:id="3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2035" w:type="dxa"/>
            <w:vMerge w:val="continue"/>
            <w:noWrap w:val="0"/>
            <w:vAlign w:val="top"/>
          </w:tcPr>
          <w:p>
            <w:pPr>
              <w:ind w:right="120"/>
              <w:jc w:val="left"/>
              <w:rPr>
                <w:sz w:val="18"/>
                <w:szCs w:val="18"/>
              </w:rPr>
            </w:pPr>
          </w:p>
        </w:tc>
        <w:tc>
          <w:tcPr>
            <w:tcW w:w="1619" w:type="dxa"/>
            <w:noWrap w:val="0"/>
            <w:vAlign w:val="center"/>
          </w:tcPr>
          <w:p>
            <w:pPr>
              <w:ind w:right="120"/>
              <w:jc w:val="center"/>
              <w:rPr>
                <w:sz w:val="18"/>
                <w:szCs w:val="18"/>
              </w:rPr>
            </w:pPr>
            <w:r>
              <w:rPr>
                <w:rFonts w:hint="eastAsia"/>
                <w:sz w:val="18"/>
                <w:szCs w:val="18"/>
              </w:rPr>
              <w:t>征地补偿安置协议签订比例（%）</w:t>
            </w:r>
          </w:p>
        </w:tc>
        <w:tc>
          <w:tcPr>
            <w:tcW w:w="6524" w:type="dxa"/>
            <w:gridSpan w:val="3"/>
            <w:noWrap w:val="0"/>
            <w:vAlign w:val="center"/>
          </w:tcPr>
          <w:p>
            <w:pPr>
              <w:ind w:right="120"/>
              <w:jc w:val="left"/>
              <w:rPr>
                <w:sz w:val="18"/>
                <w:szCs w:val="18"/>
              </w:rPr>
            </w:pPr>
            <w:bookmarkStart w:id="38" w:name="azxyqdbili"/>
            <w:r>
              <w:rPr>
                <w:sz w:val="18"/>
                <w:szCs w:val="18"/>
              </w:rPr>
              <w:t>100.00</w:t>
            </w:r>
            <w:bookmarkEnd w:id="3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2035" w:type="dxa"/>
            <w:vMerge w:val="continue"/>
            <w:noWrap w:val="0"/>
            <w:vAlign w:val="top"/>
          </w:tcPr>
          <w:p>
            <w:pPr>
              <w:ind w:right="120"/>
              <w:jc w:val="left"/>
              <w:rPr>
                <w:sz w:val="18"/>
                <w:szCs w:val="18"/>
              </w:rPr>
            </w:pPr>
          </w:p>
        </w:tc>
        <w:tc>
          <w:tcPr>
            <w:tcW w:w="1619" w:type="dxa"/>
            <w:noWrap w:val="0"/>
            <w:vAlign w:val="center"/>
          </w:tcPr>
          <w:p>
            <w:pPr>
              <w:ind w:right="120"/>
              <w:jc w:val="center"/>
              <w:rPr>
                <w:sz w:val="18"/>
                <w:szCs w:val="18"/>
              </w:rPr>
            </w:pPr>
            <w:r>
              <w:rPr>
                <w:sz w:val="18"/>
                <w:szCs w:val="18"/>
              </w:rPr>
              <w:t>安置途径</w:t>
            </w:r>
          </w:p>
        </w:tc>
        <w:tc>
          <w:tcPr>
            <w:tcW w:w="6524" w:type="dxa"/>
            <w:gridSpan w:val="3"/>
            <w:noWrap w:val="0"/>
            <w:vAlign w:val="center"/>
          </w:tcPr>
          <w:p>
            <w:pPr>
              <w:ind w:right="120"/>
              <w:jc w:val="center"/>
              <w:rPr>
                <w:sz w:val="18"/>
                <w:szCs w:val="18"/>
              </w:rPr>
            </w:pPr>
            <w:r>
              <w:rPr>
                <w:sz w:val="18"/>
                <w:szCs w:val="18"/>
              </w:rPr>
              <w:t>具体方式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35" w:type="dxa"/>
            <w:vMerge w:val="continue"/>
            <w:noWrap w:val="0"/>
            <w:vAlign w:val="top"/>
          </w:tcPr>
          <w:p>
            <w:pPr>
              <w:ind w:right="120"/>
              <w:jc w:val="left"/>
              <w:rPr>
                <w:sz w:val="18"/>
                <w:szCs w:val="18"/>
              </w:rPr>
            </w:pPr>
          </w:p>
        </w:tc>
        <w:tc>
          <w:tcPr>
            <w:tcW w:w="1619" w:type="dxa"/>
            <w:noWrap w:val="0"/>
            <w:vAlign w:val="center"/>
          </w:tcPr>
          <w:p>
            <w:pPr>
              <w:ind w:right="120"/>
              <w:jc w:val="center"/>
              <w:rPr>
                <w:sz w:val="18"/>
                <w:szCs w:val="18"/>
              </w:rPr>
            </w:pPr>
            <w:bookmarkStart w:id="39" w:name="anzhiqkList_tujing_grid"/>
            <w:r>
              <w:rPr>
                <w:sz w:val="18"/>
                <w:szCs w:val="18"/>
              </w:rPr>
              <w:t>货币安置</w:t>
            </w:r>
            <w:bookmarkEnd w:id="39"/>
          </w:p>
        </w:tc>
        <w:tc>
          <w:tcPr>
            <w:tcW w:w="6524" w:type="dxa"/>
            <w:gridSpan w:val="3"/>
            <w:noWrap w:val="0"/>
            <w:vAlign w:val="center"/>
          </w:tcPr>
          <w:p>
            <w:pPr>
              <w:ind w:right="120"/>
              <w:jc w:val="both"/>
              <w:rPr>
                <w:sz w:val="18"/>
                <w:szCs w:val="18"/>
              </w:rPr>
            </w:pPr>
            <w:bookmarkStart w:id="40" w:name="anzhiqkList_fangshi_grid"/>
            <w:r>
              <w:rPr>
                <w:sz w:val="18"/>
                <w:szCs w:val="18"/>
              </w:rPr>
              <w:t>将征地补偿安置费98.3382万元，按时足额支付给被征地农村集体经济组织，由农村集体经济组织依法依规分配。</w:t>
            </w:r>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trPr>
        <w:tc>
          <w:tcPr>
            <w:tcW w:w="2035" w:type="dxa"/>
            <w:vMerge w:val="continue"/>
            <w:noWrap w:val="0"/>
            <w:vAlign w:val="top"/>
          </w:tcPr>
          <w:p>
            <w:pPr>
              <w:ind w:right="120"/>
              <w:jc w:val="left"/>
              <w:rPr>
                <w:sz w:val="18"/>
                <w:szCs w:val="18"/>
              </w:rPr>
            </w:pPr>
          </w:p>
        </w:tc>
        <w:tc>
          <w:tcPr>
            <w:tcW w:w="1619" w:type="dxa"/>
            <w:noWrap w:val="0"/>
            <w:vAlign w:val="center"/>
          </w:tcPr>
          <w:p>
            <w:pPr>
              <w:ind w:right="120"/>
              <w:jc w:val="center"/>
              <w:rPr>
                <w:sz w:val="18"/>
                <w:szCs w:val="18"/>
              </w:rPr>
            </w:pPr>
            <w:r>
              <w:rPr>
                <w:sz w:val="18"/>
                <w:szCs w:val="18"/>
              </w:rPr>
              <w:t>社会保障安置</w:t>
            </w:r>
          </w:p>
        </w:tc>
        <w:tc>
          <w:tcPr>
            <w:tcW w:w="6524" w:type="dxa"/>
            <w:gridSpan w:val="3"/>
            <w:noWrap w:val="0"/>
            <w:vAlign w:val="center"/>
          </w:tcPr>
          <w:p>
            <w:pPr>
              <w:ind w:right="120"/>
              <w:jc w:val="both"/>
              <w:rPr>
                <w:sz w:val="18"/>
                <w:szCs w:val="18"/>
              </w:rPr>
            </w:pPr>
            <w:r>
              <w:rPr>
                <w:sz w:val="18"/>
                <w:szCs w:val="18"/>
              </w:rPr>
              <w:t>本批次用地共落实社保资金72.8745万元，我县已将社保费用足额缴纳至社保专户，三门峡市人力资源和社会保障部门已出具社会保障费用落实到位的审查意见。我县承诺，将严格按照国家和省有关规定，落实被征地农民社会保障安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4" w:hRule="atLeast"/>
        </w:trPr>
        <w:tc>
          <w:tcPr>
            <w:tcW w:w="2035" w:type="dxa"/>
            <w:noWrap w:val="0"/>
            <w:vAlign w:val="center"/>
          </w:tcPr>
          <w:p>
            <w:pPr>
              <w:ind w:right="120"/>
              <w:jc w:val="center"/>
              <w:rPr>
                <w:rFonts w:hint="eastAsia"/>
                <w:sz w:val="18"/>
                <w:szCs w:val="18"/>
              </w:rPr>
            </w:pPr>
            <w:r>
              <w:rPr>
                <w:rFonts w:hint="eastAsia"/>
                <w:sz w:val="18"/>
                <w:szCs w:val="18"/>
              </w:rPr>
              <w:t>征收土地的必要性合理性</w:t>
            </w:r>
          </w:p>
        </w:tc>
        <w:tc>
          <w:tcPr>
            <w:tcW w:w="8143" w:type="dxa"/>
            <w:gridSpan w:val="4"/>
            <w:noWrap w:val="0"/>
            <w:vAlign w:val="center"/>
          </w:tcPr>
          <w:p>
            <w:pPr>
              <w:ind w:right="120" w:firstLine="180" w:firstLineChars="100"/>
              <w:jc w:val="left"/>
              <w:rPr>
                <w:sz w:val="18"/>
                <w:szCs w:val="18"/>
              </w:rPr>
            </w:pPr>
            <w:bookmarkStart w:id="41" w:name="byxhlx"/>
            <w:r>
              <w:rPr>
                <w:sz w:val="18"/>
                <w:szCs w:val="18"/>
              </w:rPr>
              <w:t>申请征收土地是中，1.0293公顷用地符合第（三）项规定，属于由政府组织实施的文化公共事业需要用地的建设活动，为进一步完善县域交通体系、发展仰韶文化及渑池县仰韶文化博物馆改造提升项目的需要，确需征收农民集体所有土地。</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2035" w:type="dxa"/>
            <w:noWrap w:val="0"/>
            <w:vAlign w:val="center"/>
          </w:tcPr>
          <w:p>
            <w:pPr>
              <w:ind w:right="120"/>
              <w:jc w:val="center"/>
              <w:rPr>
                <w:sz w:val="18"/>
                <w:szCs w:val="18"/>
              </w:rPr>
            </w:pPr>
            <w:r>
              <w:rPr>
                <w:rFonts w:hint="eastAsia"/>
                <w:sz w:val="18"/>
                <w:szCs w:val="18"/>
              </w:rPr>
              <w:t>其他需要说明的情况</w:t>
            </w:r>
          </w:p>
        </w:tc>
        <w:tc>
          <w:tcPr>
            <w:tcW w:w="8143" w:type="dxa"/>
            <w:gridSpan w:val="4"/>
            <w:noWrap w:val="0"/>
            <w:vAlign w:val="top"/>
          </w:tcPr>
          <w:p>
            <w:pPr>
              <w:ind w:right="120"/>
              <w:jc w:val="left"/>
              <w:rPr>
                <w:sz w:val="18"/>
                <w:szCs w:val="18"/>
              </w:rPr>
            </w:pPr>
            <w:bookmarkStart w:id="42" w:name="remark"/>
            <w:bookmarkEnd w:id="42"/>
          </w:p>
        </w:tc>
      </w:tr>
    </w:tbl>
    <w:p>
      <w:pPr>
        <w:spacing w:line="15" w:lineRule="auto"/>
        <w:ind w:left="-840" w:leftChars="-400" w:firstLine="600" w:firstLineChars="200"/>
        <w:rPr>
          <w:rFonts w:hint="eastAsia"/>
        </w:rPr>
      </w:pPr>
      <w:r>
        <w:rPr>
          <w:rFonts w:hint="eastAsia" w:ascii="仿宋_GB2312" w:eastAsia="仿宋_GB2312"/>
          <w:sz w:val="30"/>
          <w:szCs w:val="30"/>
        </w:rPr>
        <w:t>四、征收实施时间及具体工作安排：自本公告发布之日起实施征收，已签订征地补偿安置及青苗补偿协议的所有权人、使用权人在本公告发布后30日内领取补偿安置费用。逾期未领取补偿安置费用的和未达成补偿安置协议的所有权人、使用权人在补偿期满后依法下</w:t>
      </w:r>
      <w:r>
        <w:rPr>
          <w:rFonts w:hint="eastAsia" w:ascii="仿宋" w:hAnsi="仿宋" w:eastAsia="仿宋" w:cs="仿宋"/>
          <w:sz w:val="32"/>
          <w:szCs w:val="32"/>
        </w:rPr>
        <w:t>达</w:t>
      </w:r>
      <w:r>
        <w:rPr>
          <w:rFonts w:hint="eastAsia" w:ascii="仿宋" w:hAnsi="仿宋" w:eastAsia="仿宋" w:cs="仿宋"/>
          <w:sz w:val="32"/>
          <w:szCs w:val="32"/>
          <w:shd w:val="clear" w:color="auto" w:fill="FFFFFF"/>
        </w:rPr>
        <w:t>征地补偿安置决定，并依法组织实施。违反土地管理法律、法规规定，阻挠国家建设征收土地的，责令交出土地；拒</w:t>
      </w:r>
      <w:bookmarkStart w:id="43" w:name="_GoBack"/>
      <w:bookmarkEnd w:id="43"/>
      <w:r>
        <w:rPr>
          <w:rFonts w:hint="eastAsia" w:ascii="仿宋" w:hAnsi="仿宋" w:eastAsia="仿宋" w:cs="仿宋"/>
          <w:sz w:val="32"/>
          <w:szCs w:val="32"/>
          <w:shd w:val="clear" w:color="auto" w:fill="FFFFFF"/>
        </w:rPr>
        <w:t>不交出土地的，依法申请人民法院强制执行。</w:t>
      </w:r>
    </w:p>
    <w:p>
      <w:pPr>
        <w:ind w:left="-840" w:leftChars="-400" w:right="-932" w:rightChars="-444" w:firstLine="600" w:firstLineChars="200"/>
        <w:rPr>
          <w:rFonts w:hint="eastAsia" w:ascii="仿宋_GB2312" w:eastAsia="仿宋_GB2312"/>
          <w:sz w:val="30"/>
          <w:szCs w:val="30"/>
        </w:rPr>
      </w:pPr>
    </w:p>
    <w:p>
      <w:pPr>
        <w:ind w:left="-840" w:leftChars="-400" w:right="-932" w:rightChars="-444" w:firstLine="600" w:firstLineChars="200"/>
        <w:rPr>
          <w:rFonts w:hint="eastAsia" w:ascii="仿宋_GB2312" w:eastAsia="仿宋_GB2312"/>
          <w:sz w:val="30"/>
          <w:szCs w:val="30"/>
        </w:rPr>
      </w:pPr>
    </w:p>
    <w:p>
      <w:pPr>
        <w:ind w:left="-840" w:leftChars="-400" w:right="-932" w:rightChars="-444" w:firstLine="600" w:firstLineChars="200"/>
        <w:jc w:val="center"/>
        <w:rPr>
          <w:rFonts w:hint="eastAsia" w:ascii="仿宋_GB2312" w:eastAsia="仿宋_GB2312"/>
          <w:sz w:val="30"/>
          <w:szCs w:val="30"/>
        </w:rPr>
      </w:pPr>
      <w:r>
        <w:rPr>
          <w:rFonts w:hint="eastAsia" w:ascii="仿宋_GB2312" w:eastAsia="仿宋_GB2312"/>
          <w:sz w:val="30"/>
          <w:szCs w:val="30"/>
        </w:rPr>
        <w:t xml:space="preserve">                                 </w:t>
      </w:r>
    </w:p>
    <w:p>
      <w:pPr>
        <w:wordWrap w:val="0"/>
        <w:ind w:left="-840" w:leftChars="-400" w:right="-932" w:rightChars="-444" w:firstLine="600" w:firstLineChars="200"/>
        <w:jc w:val="right"/>
        <w:rPr>
          <w:rFonts w:hint="eastAsia" w:ascii="仿宋_GB2312" w:eastAsia="仿宋_GB2312"/>
          <w:sz w:val="30"/>
          <w:szCs w:val="30"/>
        </w:rPr>
      </w:pPr>
      <w:r>
        <w:rPr>
          <w:rFonts w:hint="eastAsia" w:ascii="仿宋_GB2312" w:eastAsia="仿宋_GB2312"/>
          <w:sz w:val="30"/>
          <w:szCs w:val="30"/>
        </w:rPr>
        <w:t xml:space="preserve"> </w:t>
      </w:r>
    </w:p>
    <w:p>
      <w:pPr>
        <w:wordWrap w:val="0"/>
        <w:ind w:left="-840" w:leftChars="-400" w:right="-932" w:rightChars="-444" w:firstLine="600" w:firstLineChars="200"/>
        <w:jc w:val="right"/>
        <w:rPr>
          <w:rFonts w:hint="default" w:ascii="仿宋_GB2312" w:eastAsia="仿宋_GB2312"/>
          <w:sz w:val="30"/>
          <w:szCs w:val="30"/>
          <w:lang w:val="en-US" w:eastAsia="zh-CN"/>
        </w:rPr>
      </w:pP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1</w:t>
      </w:r>
      <w:r>
        <w:rPr>
          <w:rFonts w:hint="eastAsia" w:ascii="仿宋_GB2312" w:eastAsia="仿宋_GB2312"/>
          <w:sz w:val="30"/>
          <w:szCs w:val="30"/>
        </w:rPr>
        <w:t>月</w:t>
      </w:r>
      <w:r>
        <w:rPr>
          <w:rFonts w:hint="eastAsia" w:ascii="仿宋_GB2312" w:eastAsia="仿宋_GB2312"/>
          <w:sz w:val="30"/>
          <w:szCs w:val="30"/>
          <w:lang w:val="en-US" w:eastAsia="zh-CN"/>
        </w:rPr>
        <w:t>9</w:t>
      </w:r>
      <w:r>
        <w:rPr>
          <w:rFonts w:hint="eastAsia" w:ascii="仿宋_GB2312" w:eastAsia="仿宋_GB2312"/>
          <w:sz w:val="30"/>
          <w:szCs w:val="30"/>
        </w:rPr>
        <w:t>日</w:t>
      </w:r>
      <w:r>
        <w:rPr>
          <w:rFonts w:hint="eastAsia" w:ascii="仿宋_GB2312" w:eastAsia="仿宋_GB2312"/>
          <w:sz w:val="30"/>
          <w:szCs w:val="30"/>
          <w:lang w:val="en-US" w:eastAsia="zh-CN"/>
        </w:rPr>
        <w:t xml:space="preserve">     </w:t>
      </w:r>
    </w:p>
    <w:p/>
    <w:sectPr>
      <w:pgSz w:w="11906" w:h="16838"/>
      <w:pgMar w:top="1440" w:right="174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8FB34"/>
    <w:multiLevelType w:val="singleLevel"/>
    <w:tmpl w:val="6F68FB3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86487"/>
    <w:rsid w:val="0443081A"/>
    <w:rsid w:val="0B686487"/>
    <w:rsid w:val="2BFA0765"/>
    <w:rsid w:val="3FC87D3A"/>
    <w:rsid w:val="6CDF5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71"/>
    <w:basedOn w:val="5"/>
    <w:uiPriority w:val="0"/>
    <w:rPr>
      <w:rFonts w:hint="eastAsia" w:ascii="宋体" w:hAnsi="宋体" w:eastAsia="宋体" w:cs="宋体"/>
      <w:color w:val="000000"/>
      <w:sz w:val="21"/>
      <w:szCs w:val="21"/>
      <w:u w:val="none"/>
    </w:rPr>
  </w:style>
  <w:style w:type="character" w:customStyle="1" w:styleId="7">
    <w:name w:val="font81"/>
    <w:basedOn w:val="5"/>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2023-01-09T07:44:00Z</dcterms:created>
  <dc:creator>Administrator</dc:creator>
  <cp:lastModifiedBy>Administrator</cp:lastModifiedBy>
  <cp:lastPrinted>2023-01-17T02:09:28Z</cp:lastPrinted>
  <dcterms:modified xsi:type="dcterms:W3CDTF">2023-01-17T02:09:35Z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