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ind w:left="432"/>
      </w:pPr>
    </w:p>
    <w:p>
      <w:pPr>
        <w:spacing w:before="100" w:beforeAutospacing="1" w:after="100" w:afterAutospacing="1" w:line="360" w:lineRule="auto"/>
        <w:jc w:val="center"/>
        <w:rPr>
          <w:rFonts w:ascii="黑体" w:hAnsi="黑体" w:eastAsia="黑体"/>
          <w:bCs/>
          <w:sz w:val="44"/>
          <w:szCs w:val="44"/>
        </w:rPr>
      </w:pPr>
    </w:p>
    <w:p>
      <w:pPr>
        <w:spacing w:before="100" w:beforeAutospacing="1" w:after="100" w:afterAutospacing="1" w:line="360" w:lineRule="auto"/>
        <w:jc w:val="center"/>
        <w:rPr>
          <w:rFonts w:ascii="黑体" w:hAnsi="黑体" w:eastAsia="黑体"/>
          <w:bCs/>
          <w:sz w:val="44"/>
          <w:szCs w:val="44"/>
        </w:rPr>
      </w:pPr>
    </w:p>
    <w:p>
      <w:pPr>
        <w:spacing w:before="100" w:beforeAutospacing="1" w:after="100" w:afterAutospacing="1" w:line="360" w:lineRule="auto"/>
        <w:jc w:val="center"/>
        <w:rPr>
          <w:rFonts w:hint="eastAsia" w:ascii="黑体" w:hAnsi="黑体" w:eastAsia="黑体"/>
          <w:bCs/>
          <w:sz w:val="44"/>
          <w:szCs w:val="44"/>
          <w:lang w:eastAsia="zh-CN"/>
        </w:rPr>
      </w:pPr>
      <w:r>
        <w:rPr>
          <w:rFonts w:hint="eastAsia" w:ascii="黑体" w:hAnsi="黑体" w:eastAsia="黑体"/>
          <w:bCs/>
          <w:sz w:val="44"/>
          <w:szCs w:val="44"/>
          <w:lang w:eastAsia="zh-CN"/>
        </w:rPr>
        <w:t>河南省社会保障网上服务平台</w:t>
      </w:r>
    </w:p>
    <w:p>
      <w:pPr>
        <w:spacing w:before="100" w:beforeAutospacing="1" w:after="100" w:afterAutospacing="1" w:line="360" w:lineRule="auto"/>
        <w:jc w:val="center"/>
        <w:rPr>
          <w:rFonts w:hint="eastAsia" w:ascii="黑体" w:hAnsi="黑体" w:eastAsia="黑体"/>
          <w:bCs/>
          <w:sz w:val="44"/>
          <w:szCs w:val="44"/>
          <w:lang w:eastAsia="zh-CN"/>
        </w:rPr>
      </w:pPr>
      <w:r>
        <w:rPr>
          <w:rFonts w:hint="eastAsia" w:ascii="黑体" w:hAnsi="黑体" w:eastAsia="黑体"/>
          <w:bCs/>
          <w:sz w:val="44"/>
          <w:szCs w:val="44"/>
          <w:lang w:eastAsia="zh-CN"/>
        </w:rPr>
        <w:t>一次性扩岗补助业务申报</w:t>
      </w:r>
    </w:p>
    <w:p/>
    <w:p/>
    <w:p/>
    <w:p>
      <w:pPr>
        <w:jc w:val="center"/>
        <w:rPr>
          <w:rFonts w:ascii="黑体" w:hAnsi="黑体" w:eastAsia="黑体"/>
          <w:b/>
          <w:sz w:val="36"/>
          <w:szCs w:val="36"/>
        </w:rPr>
      </w:pPr>
      <w:r>
        <w:rPr>
          <w:rFonts w:ascii="黑体" w:hAnsi="黑体" w:eastAsia="黑体"/>
          <w:b/>
          <w:sz w:val="36"/>
          <w:szCs w:val="36"/>
        </w:rPr>
        <w:t>用户操作手册</w:t>
      </w:r>
    </w:p>
    <w:p>
      <w:pPr>
        <w:jc w:val="center"/>
        <w:rPr>
          <w:rFonts w:ascii="黑体" w:hAnsi="黑体" w:eastAsia="黑体"/>
          <w:b/>
          <w:sz w:val="36"/>
          <w:szCs w:val="36"/>
        </w:rPr>
      </w:pPr>
    </w:p>
    <w:p/>
    <w:p/>
    <w:p/>
    <w:p/>
    <w:p/>
    <w:p/>
    <w:p>
      <w:pPr>
        <w:jc w:val="center"/>
      </w:pPr>
    </w:p>
    <w:p>
      <w:pPr>
        <w:spacing w:before="100" w:beforeAutospacing="1" w:after="100" w:afterAutospacing="1" w:line="360" w:lineRule="auto"/>
        <w:jc w:val="center"/>
        <w:rPr>
          <w:rFonts w:hint="eastAsia" w:hAnsi="宋体" w:cs="宋体"/>
          <w:b/>
          <w:bCs/>
          <w:sz w:val="36"/>
          <w:szCs w:val="36"/>
        </w:rPr>
      </w:pPr>
    </w:p>
    <w:p>
      <w:pPr>
        <w:spacing w:before="100" w:beforeAutospacing="1" w:after="100" w:afterAutospacing="1" w:line="360" w:lineRule="auto"/>
        <w:jc w:val="center"/>
        <w:rPr>
          <w:rFonts w:hAnsi="宋体" w:cs="宋体"/>
          <w:b/>
          <w:bCs/>
          <w:sz w:val="36"/>
          <w:szCs w:val="36"/>
        </w:rPr>
        <w:sectPr>
          <w:footerReference r:id="rId5" w:type="default"/>
          <w:pgSz w:w="11906" w:h="16838"/>
          <w:pgMar w:top="1440" w:right="1800" w:bottom="1440" w:left="1800" w:header="708" w:footer="708" w:gutter="0"/>
          <w:cols w:space="708" w:num="1"/>
          <w:docGrid w:linePitch="360" w:charSpace="0"/>
        </w:sectPr>
      </w:pPr>
      <w:r>
        <w:rPr>
          <w:rFonts w:hint="eastAsia" w:hAnsi="宋体" w:cs="宋体"/>
          <w:b/>
          <w:bCs/>
          <w:sz w:val="36"/>
          <w:szCs w:val="36"/>
        </w:rPr>
        <w:t>202</w:t>
      </w:r>
      <w:r>
        <w:rPr>
          <w:rFonts w:hint="eastAsia" w:hAnsi="宋体" w:cs="宋体"/>
          <w:b/>
          <w:bCs/>
          <w:sz w:val="36"/>
          <w:szCs w:val="36"/>
          <w:lang w:val="en-US" w:eastAsia="zh-CN"/>
        </w:rPr>
        <w:t>3</w:t>
      </w:r>
      <w:r>
        <w:rPr>
          <w:rFonts w:hint="eastAsia" w:hAnsi="宋体" w:cs="宋体"/>
          <w:b/>
          <w:bCs/>
          <w:sz w:val="36"/>
          <w:szCs w:val="36"/>
        </w:rPr>
        <w:t>年</w:t>
      </w:r>
      <w:r>
        <w:rPr>
          <w:rFonts w:hint="eastAsia" w:hAnsi="宋体" w:cs="宋体"/>
          <w:b/>
          <w:bCs/>
          <w:sz w:val="36"/>
          <w:szCs w:val="36"/>
          <w:lang w:val="en-US" w:eastAsia="zh-CN"/>
        </w:rPr>
        <w:t>10</w:t>
      </w:r>
      <w:r>
        <w:rPr>
          <w:rFonts w:hint="eastAsia" w:hAnsi="宋体" w:cs="宋体"/>
          <w:b/>
          <w:bCs/>
          <w:sz w:val="36"/>
          <w:szCs w:val="36"/>
        </w:rPr>
        <w:t>月</w:t>
      </w:r>
    </w:p>
    <w:sdt>
      <w:sdtPr>
        <w:rPr>
          <w:rFonts w:ascii="仿宋" w:hAnsi="仿宋" w:eastAsia="仿宋" w:cstheme="minorBidi"/>
          <w:b/>
          <w:color w:val="auto"/>
          <w:sz w:val="40"/>
          <w:szCs w:val="24"/>
          <w:lang w:val="zh-CN"/>
        </w:rPr>
        <w:id w:val="1142461229"/>
        <w:docPartObj>
          <w:docPartGallery w:val="Table of Contents"/>
          <w:docPartUnique/>
        </w:docPartObj>
      </w:sdtPr>
      <w:sdtEndPr>
        <w:rPr>
          <w:rFonts w:ascii="仿宋" w:hAnsi="仿宋" w:eastAsia="仿宋" w:cstheme="minorBidi"/>
          <w:b/>
          <w:bCs/>
          <w:color w:val="auto"/>
          <w:sz w:val="24"/>
          <w:szCs w:val="24"/>
          <w:lang w:val="zh-CN"/>
        </w:rPr>
      </w:sdtEndPr>
      <w:sdtContent>
        <w:p>
          <w:pPr>
            <w:pStyle w:val="35"/>
            <w:jc w:val="center"/>
            <w:rPr>
              <w:rFonts w:ascii="仿宋" w:hAnsi="仿宋" w:eastAsia="仿宋"/>
              <w:b/>
              <w:sz w:val="40"/>
              <w:szCs w:val="24"/>
            </w:rPr>
          </w:pPr>
          <w:r>
            <w:rPr>
              <w:rFonts w:ascii="仿宋" w:hAnsi="仿宋" w:eastAsia="仿宋"/>
              <w:b/>
              <w:sz w:val="40"/>
              <w:szCs w:val="24"/>
              <w:lang w:val="zh-CN"/>
            </w:rPr>
            <w:t>目录</w:t>
          </w:r>
        </w:p>
        <w:p>
          <w:pPr>
            <w:pStyle w:val="19"/>
            <w:tabs>
              <w:tab w:val="right" w:leader="dot" w:pos="8306"/>
              <w:tab w:val="clear" w:pos="420"/>
              <w:tab w:val="clear" w:pos="8296"/>
            </w:tabs>
          </w:pPr>
          <w:r>
            <w:rPr>
              <w:rFonts w:ascii="仿宋" w:hAnsi="仿宋" w:eastAsia="仿宋"/>
              <w:sz w:val="24"/>
              <w:szCs w:val="24"/>
            </w:rPr>
            <w:fldChar w:fldCharType="begin"/>
          </w:r>
          <w:r>
            <w:rPr>
              <w:rFonts w:ascii="仿宋" w:hAnsi="仿宋" w:eastAsia="仿宋"/>
              <w:sz w:val="24"/>
              <w:szCs w:val="24"/>
            </w:rPr>
            <w:instrText xml:space="preserve"> TOC \o "1-3" \h \z \u </w:instrText>
          </w:r>
          <w:r>
            <w:rPr>
              <w:rFonts w:ascii="仿宋" w:hAnsi="仿宋" w:eastAsia="仿宋"/>
              <w:sz w:val="24"/>
              <w:szCs w:val="24"/>
            </w:rPr>
            <w:fldChar w:fldCharType="separate"/>
          </w:r>
          <w:r>
            <w:rPr>
              <w:rFonts w:ascii="仿宋" w:hAnsi="仿宋" w:eastAsia="仿宋"/>
              <w:szCs w:val="24"/>
            </w:rPr>
            <w:fldChar w:fldCharType="begin"/>
          </w:r>
          <w:r>
            <w:rPr>
              <w:rFonts w:ascii="仿宋" w:hAnsi="仿宋" w:eastAsia="仿宋"/>
              <w:szCs w:val="24"/>
            </w:rPr>
            <w:instrText xml:space="preserve"> HYPERLINK \l _Toc2940 </w:instrText>
          </w:r>
          <w:r>
            <w:rPr>
              <w:rFonts w:ascii="仿宋" w:hAnsi="仿宋" w:eastAsia="仿宋"/>
              <w:szCs w:val="24"/>
            </w:rPr>
            <w:fldChar w:fldCharType="separate"/>
          </w:r>
          <w:r>
            <w:rPr>
              <w:rFonts w:hint="eastAsia" w:ascii="宋体" w:hAnsi="宋体" w:eastAsia="宋体"/>
              <w:i w:val="0"/>
              <w:szCs w:val="32"/>
            </w:rPr>
            <w:t xml:space="preserve">1 </w:t>
          </w:r>
          <w:r>
            <w:rPr>
              <w:rFonts w:hint="eastAsia"/>
              <w:szCs w:val="30"/>
              <w:lang w:eastAsia="zh-CN"/>
            </w:rPr>
            <w:t>概述</w:t>
          </w:r>
          <w:r>
            <w:tab/>
          </w:r>
          <w:r>
            <w:fldChar w:fldCharType="begin"/>
          </w:r>
          <w:r>
            <w:instrText xml:space="preserve"> PAGEREF _Toc2940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仿宋" w:hAnsi="仿宋" w:eastAsia="仿宋"/>
              <w:szCs w:val="24"/>
            </w:rPr>
            <w:fldChar w:fldCharType="end"/>
          </w:r>
        </w:p>
        <w:p>
          <w:pPr>
            <w:pStyle w:val="19"/>
            <w:tabs>
              <w:tab w:val="right" w:leader="dot" w:pos="8306"/>
              <w:tab w:val="clear" w:pos="420"/>
              <w:tab w:val="clear" w:pos="8296"/>
            </w:tabs>
          </w:pPr>
          <w:r>
            <w:rPr>
              <w:rFonts w:ascii="仿宋" w:hAnsi="仿宋" w:eastAsia="仿宋"/>
              <w:bCs/>
              <w:szCs w:val="24"/>
              <w:lang w:val="zh-CN"/>
            </w:rPr>
            <w:fldChar w:fldCharType="begin"/>
          </w:r>
          <w:r>
            <w:rPr>
              <w:rFonts w:ascii="仿宋" w:hAnsi="仿宋" w:eastAsia="仿宋"/>
              <w:bCs/>
              <w:szCs w:val="24"/>
              <w:lang w:val="zh-CN"/>
            </w:rPr>
            <w:instrText xml:space="preserve"> HYPERLINK \l _Toc1158 </w:instrText>
          </w:r>
          <w:r>
            <w:rPr>
              <w:rFonts w:ascii="仿宋" w:hAnsi="仿宋" w:eastAsia="仿宋"/>
              <w:bCs/>
              <w:szCs w:val="24"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bCs/>
              <w:i w:val="0"/>
              <w:szCs w:val="32"/>
            </w:rPr>
            <w:t xml:space="preserve">2 </w:t>
          </w:r>
          <w:r>
            <w:rPr>
              <w:rFonts w:hint="eastAsia"/>
            </w:rPr>
            <w:t>功能操作说明</w:t>
          </w:r>
          <w:r>
            <w:tab/>
          </w:r>
          <w:r>
            <w:fldChar w:fldCharType="begin"/>
          </w:r>
          <w:r>
            <w:instrText xml:space="preserve"> PAGEREF _Toc1158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仿宋" w:hAnsi="仿宋" w:eastAsia="仿宋"/>
              <w:bCs/>
              <w:szCs w:val="24"/>
              <w:lang w:val="zh-CN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rPr>
              <w:rFonts w:ascii="仿宋" w:hAnsi="仿宋" w:eastAsia="仿宋"/>
              <w:bCs/>
              <w:szCs w:val="24"/>
              <w:lang w:val="zh-CN"/>
            </w:rPr>
            <w:fldChar w:fldCharType="begin"/>
          </w:r>
          <w:r>
            <w:rPr>
              <w:rFonts w:ascii="仿宋" w:hAnsi="仿宋" w:eastAsia="仿宋"/>
              <w:bCs/>
              <w:szCs w:val="24"/>
              <w:lang w:val="zh-CN"/>
            </w:rPr>
            <w:instrText xml:space="preserve"> HYPERLINK \l _Toc19758 </w:instrText>
          </w:r>
          <w:r>
            <w:rPr>
              <w:rFonts w:ascii="仿宋" w:hAnsi="仿宋" w:eastAsia="仿宋"/>
              <w:bCs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宋体"/>
              <w:i w:val="0"/>
              <w:szCs w:val="24"/>
            </w:rPr>
            <w:t xml:space="preserve">2.1 </w:t>
          </w:r>
          <w:r>
            <w:rPr>
              <w:rFonts w:hint="eastAsia" w:ascii="仿宋" w:hAnsi="仿宋"/>
              <w:szCs w:val="28"/>
              <w:lang w:eastAsia="zh-CN"/>
            </w:rPr>
            <w:t>网厅端</w:t>
          </w:r>
          <w:r>
            <w:tab/>
          </w:r>
          <w:r>
            <w:fldChar w:fldCharType="begin"/>
          </w:r>
          <w:r>
            <w:instrText xml:space="preserve"> PAGEREF _Toc19758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仿宋" w:hAnsi="仿宋" w:eastAsia="仿宋"/>
              <w:bCs/>
              <w:szCs w:val="24"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ascii="仿宋" w:hAnsi="仿宋" w:eastAsia="仿宋"/>
              <w:bCs/>
              <w:szCs w:val="24"/>
              <w:lang w:val="zh-CN"/>
            </w:rPr>
            <w:fldChar w:fldCharType="begin"/>
          </w:r>
          <w:r>
            <w:rPr>
              <w:rFonts w:ascii="仿宋" w:hAnsi="仿宋" w:eastAsia="仿宋"/>
              <w:bCs/>
              <w:szCs w:val="24"/>
              <w:lang w:val="zh-CN"/>
            </w:rPr>
            <w:instrText xml:space="preserve"> HYPERLINK \l _Toc32659 </w:instrText>
          </w:r>
          <w:r>
            <w:rPr>
              <w:rFonts w:ascii="仿宋" w:hAnsi="仿宋" w:eastAsia="仿宋"/>
              <w:bCs/>
              <w:szCs w:val="24"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  <w:szCs w:val="28"/>
              <w:lang w:val="en-US" w:eastAsia="zh-CN"/>
            </w:rPr>
            <w:t xml:space="preserve">2.1.1. </w:t>
          </w:r>
          <w:r>
            <w:rPr>
              <w:rFonts w:hint="eastAsia" w:ascii="仿宋" w:hAnsi="仿宋" w:eastAsia="仿宋"/>
              <w:szCs w:val="28"/>
              <w:lang w:val="en-US" w:eastAsia="zh-CN"/>
            </w:rPr>
            <w:t>单位登录-使用免数字证书</w:t>
          </w:r>
          <w:r>
            <w:tab/>
          </w:r>
          <w:r>
            <w:fldChar w:fldCharType="begin"/>
          </w:r>
          <w:r>
            <w:instrText xml:space="preserve"> PAGEREF _Toc32659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仿宋" w:hAnsi="仿宋" w:eastAsia="仿宋"/>
              <w:bCs/>
              <w:szCs w:val="24"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ascii="仿宋" w:hAnsi="仿宋" w:eastAsia="仿宋"/>
              <w:bCs/>
              <w:szCs w:val="24"/>
              <w:lang w:val="zh-CN"/>
            </w:rPr>
            <w:fldChar w:fldCharType="begin"/>
          </w:r>
          <w:r>
            <w:rPr>
              <w:rFonts w:ascii="仿宋" w:hAnsi="仿宋" w:eastAsia="仿宋"/>
              <w:bCs/>
              <w:szCs w:val="24"/>
              <w:lang w:val="zh-CN"/>
            </w:rPr>
            <w:instrText xml:space="preserve"> HYPERLINK \l _Toc3131 </w:instrText>
          </w:r>
          <w:r>
            <w:rPr>
              <w:rFonts w:ascii="仿宋" w:hAnsi="仿宋" w:eastAsia="仿宋"/>
              <w:bCs/>
              <w:szCs w:val="24"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  <w:szCs w:val="28"/>
              <w:lang w:val="en-US" w:eastAsia="zh-CN"/>
            </w:rPr>
            <w:t xml:space="preserve">2.1.2. </w:t>
          </w:r>
          <w:r>
            <w:rPr>
              <w:rFonts w:hint="eastAsia" w:ascii="仿宋" w:hAnsi="仿宋" w:eastAsia="仿宋"/>
              <w:szCs w:val="28"/>
              <w:lang w:val="en-US" w:eastAsia="zh-CN"/>
            </w:rPr>
            <w:t>一次性扩岗补助业务申报</w:t>
          </w:r>
          <w:r>
            <w:tab/>
          </w:r>
          <w:r>
            <w:fldChar w:fldCharType="begin"/>
          </w:r>
          <w:r>
            <w:instrText xml:space="preserve"> PAGEREF _Toc3131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仿宋" w:hAnsi="仿宋" w:eastAsia="仿宋"/>
              <w:bCs/>
              <w:szCs w:val="24"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ascii="仿宋" w:hAnsi="仿宋" w:eastAsia="仿宋"/>
              <w:bCs/>
              <w:szCs w:val="24"/>
              <w:lang w:val="zh-CN"/>
            </w:rPr>
            <w:fldChar w:fldCharType="begin"/>
          </w:r>
          <w:r>
            <w:rPr>
              <w:rFonts w:ascii="仿宋" w:hAnsi="仿宋" w:eastAsia="仿宋"/>
              <w:bCs/>
              <w:szCs w:val="24"/>
              <w:lang w:val="zh-CN"/>
            </w:rPr>
            <w:instrText xml:space="preserve"> HYPERLINK \l _Toc24556 </w:instrText>
          </w:r>
          <w:r>
            <w:rPr>
              <w:rFonts w:ascii="仿宋" w:hAnsi="仿宋" w:eastAsia="仿宋"/>
              <w:bCs/>
              <w:szCs w:val="24"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  <w:szCs w:val="28"/>
              <w:lang w:val="en-US" w:eastAsia="zh-CN"/>
            </w:rPr>
            <w:t xml:space="preserve">2.1.3. </w:t>
          </w:r>
          <w:r>
            <w:rPr>
              <w:rFonts w:hint="eastAsia" w:ascii="仿宋" w:hAnsi="仿宋" w:eastAsia="仿宋"/>
              <w:szCs w:val="28"/>
              <w:lang w:val="en-US" w:eastAsia="zh-CN"/>
            </w:rPr>
            <w:t>一次性扩岗补助模板下载</w:t>
          </w:r>
          <w:r>
            <w:tab/>
          </w:r>
          <w:r>
            <w:fldChar w:fldCharType="begin"/>
          </w:r>
          <w:r>
            <w:instrText xml:space="preserve"> PAGEREF _Toc24556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仿宋" w:hAnsi="仿宋" w:eastAsia="仿宋"/>
              <w:bCs/>
              <w:szCs w:val="24"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ascii="仿宋" w:hAnsi="仿宋" w:eastAsia="仿宋"/>
              <w:bCs/>
              <w:szCs w:val="24"/>
              <w:lang w:val="zh-CN"/>
            </w:rPr>
            <w:fldChar w:fldCharType="begin"/>
          </w:r>
          <w:r>
            <w:rPr>
              <w:rFonts w:ascii="仿宋" w:hAnsi="仿宋" w:eastAsia="仿宋"/>
              <w:bCs/>
              <w:szCs w:val="24"/>
              <w:lang w:val="zh-CN"/>
            </w:rPr>
            <w:instrText xml:space="preserve"> HYPERLINK \l _Toc2126 </w:instrText>
          </w:r>
          <w:r>
            <w:rPr>
              <w:rFonts w:ascii="仿宋" w:hAnsi="仿宋" w:eastAsia="仿宋"/>
              <w:bCs/>
              <w:szCs w:val="24"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  <w:szCs w:val="28"/>
              <w:lang w:val="en-US" w:eastAsia="zh-CN"/>
            </w:rPr>
            <w:t xml:space="preserve">2.1.4. </w:t>
          </w:r>
          <w:r>
            <w:rPr>
              <w:rFonts w:hint="eastAsia" w:ascii="仿宋" w:hAnsi="仿宋" w:eastAsia="仿宋"/>
              <w:szCs w:val="28"/>
              <w:lang w:val="en-US" w:eastAsia="zh-CN"/>
            </w:rPr>
            <w:t>一次性扩岗补助报盘上传</w:t>
          </w:r>
          <w:r>
            <w:tab/>
          </w:r>
          <w:r>
            <w:fldChar w:fldCharType="begin"/>
          </w:r>
          <w:r>
            <w:instrText xml:space="preserve"> PAGEREF _Toc2126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仿宋" w:hAnsi="仿宋" w:eastAsia="仿宋"/>
              <w:bCs/>
              <w:szCs w:val="24"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ascii="仿宋" w:hAnsi="仿宋" w:eastAsia="仿宋"/>
              <w:bCs/>
              <w:szCs w:val="24"/>
              <w:lang w:val="zh-CN"/>
            </w:rPr>
            <w:fldChar w:fldCharType="begin"/>
          </w:r>
          <w:r>
            <w:rPr>
              <w:rFonts w:ascii="仿宋" w:hAnsi="仿宋" w:eastAsia="仿宋"/>
              <w:bCs/>
              <w:szCs w:val="24"/>
              <w:lang w:val="zh-CN"/>
            </w:rPr>
            <w:instrText xml:space="preserve"> HYPERLINK \l _Toc13180 </w:instrText>
          </w:r>
          <w:r>
            <w:rPr>
              <w:rFonts w:ascii="仿宋" w:hAnsi="仿宋" w:eastAsia="仿宋"/>
              <w:bCs/>
              <w:szCs w:val="24"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  <w:szCs w:val="28"/>
              <w:lang w:val="en-US" w:eastAsia="zh-CN"/>
            </w:rPr>
            <w:t xml:space="preserve">2.1.5. </w:t>
          </w:r>
          <w:r>
            <w:rPr>
              <w:rFonts w:hint="eastAsia" w:ascii="仿宋" w:hAnsi="仿宋" w:eastAsia="仿宋"/>
              <w:szCs w:val="28"/>
              <w:lang w:val="en-US" w:eastAsia="zh-CN"/>
            </w:rPr>
            <w:t>上传材料提交业务</w:t>
          </w:r>
          <w:r>
            <w:tab/>
          </w:r>
          <w:r>
            <w:fldChar w:fldCharType="begin"/>
          </w:r>
          <w:r>
            <w:instrText xml:space="preserve"> PAGEREF _Toc13180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仿宋" w:hAnsi="仿宋" w:eastAsia="仿宋"/>
              <w:bCs/>
              <w:szCs w:val="24"/>
              <w:lang w:val="zh-CN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rPr>
              <w:rFonts w:ascii="仿宋" w:hAnsi="仿宋" w:eastAsia="仿宋"/>
              <w:bCs/>
              <w:szCs w:val="24"/>
              <w:lang w:val="zh-CN"/>
            </w:rPr>
            <w:fldChar w:fldCharType="begin"/>
          </w:r>
          <w:r>
            <w:rPr>
              <w:rFonts w:ascii="仿宋" w:hAnsi="仿宋" w:eastAsia="仿宋"/>
              <w:bCs/>
              <w:szCs w:val="24"/>
              <w:lang w:val="zh-CN"/>
            </w:rPr>
            <w:instrText xml:space="preserve"> HYPERLINK \l _Toc22758 </w:instrText>
          </w:r>
          <w:r>
            <w:rPr>
              <w:rFonts w:ascii="仿宋" w:hAnsi="仿宋" w:eastAsia="仿宋"/>
              <w:bCs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宋体"/>
              <w:i w:val="0"/>
              <w:szCs w:val="24"/>
              <w:lang w:val="en-US" w:eastAsia="zh-CN"/>
            </w:rPr>
            <w:t xml:space="preserve">2.2 </w:t>
          </w:r>
          <w:r>
            <w:rPr>
              <w:rFonts w:hint="eastAsia" w:ascii="仿宋" w:hAnsi="仿宋" w:eastAsia="仿宋"/>
              <w:szCs w:val="28"/>
              <w:lang w:val="en-US" w:eastAsia="zh-CN"/>
            </w:rPr>
            <w:t>单位申报相关校验</w:t>
          </w:r>
          <w:r>
            <w:tab/>
          </w:r>
          <w:r>
            <w:fldChar w:fldCharType="begin"/>
          </w:r>
          <w:r>
            <w:instrText xml:space="preserve"> PAGEREF _Toc22758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仿宋" w:hAnsi="仿宋" w:eastAsia="仿宋"/>
              <w:bCs/>
              <w:szCs w:val="24"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ascii="仿宋" w:hAnsi="仿宋" w:eastAsia="仿宋"/>
              <w:bCs/>
              <w:szCs w:val="24"/>
              <w:lang w:val="zh-CN"/>
            </w:rPr>
            <w:fldChar w:fldCharType="begin"/>
          </w:r>
          <w:r>
            <w:rPr>
              <w:rFonts w:ascii="仿宋" w:hAnsi="仿宋" w:eastAsia="仿宋"/>
              <w:bCs/>
              <w:szCs w:val="24"/>
              <w:lang w:val="zh-CN"/>
            </w:rPr>
            <w:instrText xml:space="preserve"> HYPERLINK \l _Toc30717 </w:instrText>
          </w:r>
          <w:r>
            <w:rPr>
              <w:rFonts w:ascii="仿宋" w:hAnsi="仿宋" w:eastAsia="仿宋"/>
              <w:bCs/>
              <w:szCs w:val="24"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  <w:szCs w:val="28"/>
              <w:lang w:val="en-US" w:eastAsia="zh-CN"/>
            </w:rPr>
            <w:t xml:space="preserve">2.2.1. </w:t>
          </w:r>
          <w:r>
            <w:rPr>
              <w:rFonts w:hint="eastAsia" w:ascii="仿宋" w:hAnsi="仿宋" w:eastAsia="仿宋"/>
              <w:szCs w:val="28"/>
              <w:lang w:val="en-US" w:eastAsia="zh-CN"/>
            </w:rPr>
            <w:t>单位类型为“企业”可申报，否则不允许申报。</w:t>
          </w:r>
          <w:r>
            <w:tab/>
          </w:r>
          <w:r>
            <w:fldChar w:fldCharType="begin"/>
          </w:r>
          <w:r>
            <w:instrText xml:space="preserve"> PAGEREF _Toc30717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仿宋" w:hAnsi="仿宋" w:eastAsia="仿宋"/>
              <w:bCs/>
              <w:szCs w:val="24"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ascii="仿宋" w:hAnsi="仿宋" w:eastAsia="仿宋"/>
              <w:bCs/>
              <w:szCs w:val="24"/>
              <w:lang w:val="zh-CN"/>
            </w:rPr>
            <w:fldChar w:fldCharType="begin"/>
          </w:r>
          <w:r>
            <w:rPr>
              <w:rFonts w:ascii="仿宋" w:hAnsi="仿宋" w:eastAsia="仿宋"/>
              <w:bCs/>
              <w:szCs w:val="24"/>
              <w:lang w:val="zh-CN"/>
            </w:rPr>
            <w:instrText xml:space="preserve"> HYPERLINK \l _Toc8229 </w:instrText>
          </w:r>
          <w:r>
            <w:rPr>
              <w:rFonts w:ascii="仿宋" w:hAnsi="仿宋" w:eastAsia="仿宋"/>
              <w:bCs/>
              <w:szCs w:val="24"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  <w:szCs w:val="28"/>
              <w:lang w:val="en-US" w:eastAsia="zh-CN"/>
            </w:rPr>
            <w:t xml:space="preserve">2.2.2. </w:t>
          </w:r>
          <w:r>
            <w:rPr>
              <w:rFonts w:hint="eastAsia" w:ascii="仿宋" w:hAnsi="仿宋" w:eastAsia="仿宋"/>
              <w:szCs w:val="28"/>
              <w:lang w:val="en-US" w:eastAsia="zh-CN"/>
            </w:rPr>
            <w:t>劳务派遣单位不允许申报一次性扩岗补助</w:t>
          </w:r>
          <w:r>
            <w:tab/>
          </w:r>
          <w:r>
            <w:fldChar w:fldCharType="begin"/>
          </w:r>
          <w:r>
            <w:instrText xml:space="preserve"> PAGEREF _Toc8229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仿宋" w:hAnsi="仿宋" w:eastAsia="仿宋"/>
              <w:bCs/>
              <w:szCs w:val="24"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ascii="仿宋" w:hAnsi="仿宋" w:eastAsia="仿宋"/>
              <w:bCs/>
              <w:szCs w:val="24"/>
              <w:lang w:val="zh-CN"/>
            </w:rPr>
            <w:fldChar w:fldCharType="begin"/>
          </w:r>
          <w:r>
            <w:rPr>
              <w:rFonts w:ascii="仿宋" w:hAnsi="仿宋" w:eastAsia="仿宋"/>
              <w:bCs/>
              <w:szCs w:val="24"/>
              <w:lang w:val="zh-CN"/>
            </w:rPr>
            <w:instrText xml:space="preserve"> HYPERLINK \l _Toc15636 </w:instrText>
          </w:r>
          <w:r>
            <w:rPr>
              <w:rFonts w:ascii="仿宋" w:hAnsi="仿宋" w:eastAsia="仿宋"/>
              <w:bCs/>
              <w:szCs w:val="24"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  <w:szCs w:val="28"/>
              <w:lang w:val="en-US" w:eastAsia="zh-CN"/>
            </w:rPr>
            <w:t xml:space="preserve">2.2.3. </w:t>
          </w:r>
          <w:r>
            <w:rPr>
              <w:rFonts w:hint="eastAsia" w:ascii="仿宋" w:hAnsi="仿宋" w:eastAsia="仿宋"/>
              <w:szCs w:val="28"/>
              <w:lang w:val="en-US" w:eastAsia="zh-CN"/>
            </w:rPr>
            <w:t>单位申报人员不满足“企业养老保险、工伤保险、失业保险均在当前单位正常参保正常缴费，且本次参保时间在20230625-20231231之内”，不允许申报。</w:t>
          </w:r>
          <w:r>
            <w:tab/>
          </w:r>
          <w:r>
            <w:fldChar w:fldCharType="begin"/>
          </w:r>
          <w:r>
            <w:instrText xml:space="preserve"> PAGEREF _Toc15636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ascii="仿宋" w:hAnsi="仿宋" w:eastAsia="仿宋"/>
              <w:bCs/>
              <w:szCs w:val="24"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ascii="仿宋" w:hAnsi="仿宋" w:eastAsia="仿宋"/>
              <w:bCs/>
              <w:szCs w:val="24"/>
              <w:lang w:val="zh-CN"/>
            </w:rPr>
            <w:fldChar w:fldCharType="begin"/>
          </w:r>
          <w:r>
            <w:rPr>
              <w:rFonts w:ascii="仿宋" w:hAnsi="仿宋" w:eastAsia="仿宋"/>
              <w:bCs/>
              <w:szCs w:val="24"/>
              <w:lang w:val="zh-CN"/>
            </w:rPr>
            <w:instrText xml:space="preserve"> HYPERLINK \l _Toc29953 </w:instrText>
          </w:r>
          <w:r>
            <w:rPr>
              <w:rFonts w:ascii="仿宋" w:hAnsi="仿宋" w:eastAsia="仿宋"/>
              <w:bCs/>
              <w:szCs w:val="24"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  <w:szCs w:val="28"/>
              <w:lang w:val="en-US" w:eastAsia="zh-CN"/>
            </w:rPr>
            <w:t xml:space="preserve">2.2.4. </w:t>
          </w:r>
          <w:r>
            <w:rPr>
              <w:rFonts w:hint="eastAsia" w:ascii="仿宋" w:hAnsi="仿宋" w:eastAsia="仿宋"/>
              <w:szCs w:val="28"/>
              <w:lang w:val="en-US" w:eastAsia="zh-CN"/>
            </w:rPr>
            <w:t>单位申报及核对当月之前之前存在欠费不允许申报。</w:t>
          </w:r>
          <w:r>
            <w:tab/>
          </w:r>
          <w:r>
            <w:fldChar w:fldCharType="begin"/>
          </w:r>
          <w:r>
            <w:instrText xml:space="preserve"> PAGEREF _Toc29953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ascii="仿宋" w:hAnsi="仿宋" w:eastAsia="仿宋"/>
              <w:bCs/>
              <w:szCs w:val="24"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ascii="仿宋" w:hAnsi="仿宋" w:eastAsia="仿宋"/>
              <w:bCs/>
              <w:szCs w:val="24"/>
              <w:lang w:val="zh-CN"/>
            </w:rPr>
            <w:fldChar w:fldCharType="begin"/>
          </w:r>
          <w:r>
            <w:rPr>
              <w:rFonts w:ascii="仿宋" w:hAnsi="仿宋" w:eastAsia="仿宋"/>
              <w:bCs/>
              <w:szCs w:val="24"/>
              <w:lang w:val="zh-CN"/>
            </w:rPr>
            <w:instrText xml:space="preserve"> HYPERLINK \l _Toc29754 </w:instrText>
          </w:r>
          <w:r>
            <w:rPr>
              <w:rFonts w:ascii="仿宋" w:hAnsi="仿宋" w:eastAsia="仿宋"/>
              <w:bCs/>
              <w:szCs w:val="24"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  <w:szCs w:val="28"/>
              <w:lang w:val="en-US" w:eastAsia="zh-CN"/>
            </w:rPr>
            <w:t xml:space="preserve">2.2.5. </w:t>
          </w:r>
          <w:r>
            <w:rPr>
              <w:rFonts w:hint="eastAsia" w:ascii="仿宋" w:hAnsi="仿宋" w:eastAsia="仿宋"/>
              <w:szCs w:val="28"/>
              <w:lang w:val="en-US" w:eastAsia="zh-CN"/>
            </w:rPr>
            <w:t>申报时参保人员不在此单位参保的不允许申报</w:t>
          </w:r>
          <w:r>
            <w:tab/>
          </w:r>
          <w:r>
            <w:fldChar w:fldCharType="begin"/>
          </w:r>
          <w:r>
            <w:instrText xml:space="preserve"> PAGEREF _Toc29754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ascii="仿宋" w:hAnsi="仿宋" w:eastAsia="仿宋"/>
              <w:bCs/>
              <w:szCs w:val="24"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ascii="仿宋" w:hAnsi="仿宋" w:eastAsia="仿宋"/>
              <w:bCs/>
              <w:szCs w:val="24"/>
              <w:lang w:val="zh-CN"/>
            </w:rPr>
            <w:fldChar w:fldCharType="begin"/>
          </w:r>
          <w:r>
            <w:rPr>
              <w:rFonts w:ascii="仿宋" w:hAnsi="仿宋" w:eastAsia="仿宋"/>
              <w:bCs/>
              <w:szCs w:val="24"/>
              <w:lang w:val="zh-CN"/>
            </w:rPr>
            <w:instrText xml:space="preserve"> HYPERLINK \l _Toc18434 </w:instrText>
          </w:r>
          <w:r>
            <w:rPr>
              <w:rFonts w:ascii="仿宋" w:hAnsi="仿宋" w:eastAsia="仿宋"/>
              <w:bCs/>
              <w:szCs w:val="24"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  <w:szCs w:val="28"/>
              <w:lang w:val="en-US" w:eastAsia="zh-CN"/>
            </w:rPr>
            <w:t xml:space="preserve">2.2.6. </w:t>
          </w:r>
          <w:r>
            <w:rPr>
              <w:rFonts w:hint="eastAsia" w:ascii="仿宋" w:hAnsi="仿宋" w:eastAsia="仿宋"/>
              <w:szCs w:val="28"/>
              <w:lang w:val="en-US" w:eastAsia="zh-CN"/>
            </w:rPr>
            <w:t>已申报过的人员不允许再次申报。</w:t>
          </w:r>
          <w:r>
            <w:tab/>
          </w:r>
          <w:r>
            <w:fldChar w:fldCharType="begin"/>
          </w:r>
          <w:r>
            <w:instrText xml:space="preserve"> PAGEREF _Toc18434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ascii="仿宋" w:hAnsi="仿宋" w:eastAsia="仿宋"/>
              <w:bCs/>
              <w:szCs w:val="24"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ascii="仿宋" w:hAnsi="仿宋" w:eastAsia="仿宋"/>
              <w:bCs/>
              <w:szCs w:val="24"/>
              <w:lang w:val="zh-CN"/>
            </w:rPr>
            <w:fldChar w:fldCharType="begin"/>
          </w:r>
          <w:r>
            <w:rPr>
              <w:rFonts w:ascii="仿宋" w:hAnsi="仿宋" w:eastAsia="仿宋"/>
              <w:bCs/>
              <w:szCs w:val="24"/>
              <w:lang w:val="zh-CN"/>
            </w:rPr>
            <w:instrText xml:space="preserve"> HYPERLINK \l _Toc17663 </w:instrText>
          </w:r>
          <w:r>
            <w:rPr>
              <w:rFonts w:ascii="仿宋" w:hAnsi="仿宋" w:eastAsia="仿宋"/>
              <w:bCs/>
              <w:szCs w:val="24"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  <w:szCs w:val="28"/>
              <w:lang w:val="en-US" w:eastAsia="zh-CN"/>
            </w:rPr>
            <w:t xml:space="preserve">2.2.7. </w:t>
          </w:r>
          <w:r>
            <w:rPr>
              <w:rFonts w:hint="eastAsia" w:ascii="仿宋" w:hAnsi="仿宋" w:eastAsia="仿宋"/>
              <w:szCs w:val="28"/>
              <w:lang w:val="en-US" w:eastAsia="zh-CN"/>
            </w:rPr>
            <w:t>已享受就业部门一次性吸纳补贴的不允许申报。通过调用就业部门“一次性吸纳就业”接口校验。</w:t>
          </w:r>
          <w:r>
            <w:tab/>
          </w:r>
          <w:r>
            <w:fldChar w:fldCharType="begin"/>
          </w:r>
          <w:r>
            <w:instrText xml:space="preserve"> PAGEREF _Toc17663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="仿宋" w:hAnsi="仿宋" w:eastAsia="仿宋"/>
              <w:bCs/>
              <w:szCs w:val="24"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ascii="仿宋" w:hAnsi="仿宋" w:eastAsia="仿宋"/>
              <w:bCs/>
              <w:szCs w:val="24"/>
              <w:lang w:val="zh-CN"/>
            </w:rPr>
            <w:fldChar w:fldCharType="begin"/>
          </w:r>
          <w:r>
            <w:rPr>
              <w:rFonts w:ascii="仿宋" w:hAnsi="仿宋" w:eastAsia="仿宋"/>
              <w:bCs/>
              <w:szCs w:val="24"/>
              <w:lang w:val="zh-CN"/>
            </w:rPr>
            <w:instrText xml:space="preserve"> HYPERLINK \l _Toc24311 </w:instrText>
          </w:r>
          <w:r>
            <w:rPr>
              <w:rFonts w:ascii="仿宋" w:hAnsi="仿宋" w:eastAsia="仿宋"/>
              <w:bCs/>
              <w:szCs w:val="24"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  <w:szCs w:val="28"/>
              <w:lang w:val="en-US" w:eastAsia="zh-CN"/>
            </w:rPr>
            <w:t xml:space="preserve">2.2.8. </w:t>
          </w:r>
          <w:r>
            <w:rPr>
              <w:rFonts w:hint="eastAsia" w:ascii="仿宋" w:hAnsi="仿宋" w:eastAsia="仿宋"/>
              <w:szCs w:val="28"/>
              <w:lang w:val="en-US" w:eastAsia="zh-CN"/>
            </w:rPr>
            <w:t>毕业证书时间不在20220101-20231213的不允许申报。</w:t>
          </w:r>
          <w:r>
            <w:tab/>
          </w:r>
          <w:r>
            <w:fldChar w:fldCharType="begin"/>
          </w:r>
          <w:r>
            <w:instrText xml:space="preserve"> PAGEREF _Toc24311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="仿宋" w:hAnsi="仿宋" w:eastAsia="仿宋"/>
              <w:bCs/>
              <w:szCs w:val="24"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ascii="仿宋" w:hAnsi="仿宋" w:eastAsia="仿宋"/>
              <w:bCs/>
              <w:szCs w:val="24"/>
              <w:lang w:val="zh-CN"/>
            </w:rPr>
            <w:fldChar w:fldCharType="begin"/>
          </w:r>
          <w:r>
            <w:rPr>
              <w:rFonts w:ascii="仿宋" w:hAnsi="仿宋" w:eastAsia="仿宋"/>
              <w:bCs/>
              <w:szCs w:val="24"/>
              <w:lang w:val="zh-CN"/>
            </w:rPr>
            <w:instrText xml:space="preserve"> HYPERLINK \l _Toc12403 </w:instrText>
          </w:r>
          <w:r>
            <w:rPr>
              <w:rFonts w:ascii="仿宋" w:hAnsi="仿宋" w:eastAsia="仿宋"/>
              <w:bCs/>
              <w:szCs w:val="24"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  <w:szCs w:val="28"/>
              <w:lang w:val="en-US" w:eastAsia="zh-CN"/>
            </w:rPr>
            <w:t xml:space="preserve">2.2.9. </w:t>
          </w:r>
          <w:r>
            <w:rPr>
              <w:rFonts w:hint="eastAsia" w:ascii="仿宋" w:hAnsi="仿宋" w:eastAsia="仿宋"/>
              <w:szCs w:val="28"/>
              <w:lang w:val="en-US" w:eastAsia="zh-CN"/>
            </w:rPr>
            <w:t>非2023年及离校两年内高校毕业生不允许申报</w:t>
          </w:r>
          <w:r>
            <w:tab/>
          </w:r>
          <w:r>
            <w:fldChar w:fldCharType="begin"/>
          </w:r>
          <w:r>
            <w:instrText xml:space="preserve"> PAGEREF _Toc12403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仿宋" w:hAnsi="仿宋" w:eastAsia="仿宋"/>
              <w:bCs/>
              <w:szCs w:val="24"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ascii="仿宋" w:hAnsi="仿宋" w:eastAsia="仿宋"/>
              <w:bCs/>
              <w:szCs w:val="24"/>
              <w:lang w:val="zh-CN"/>
            </w:rPr>
            <w:fldChar w:fldCharType="begin"/>
          </w:r>
          <w:r>
            <w:rPr>
              <w:rFonts w:ascii="仿宋" w:hAnsi="仿宋" w:eastAsia="仿宋"/>
              <w:bCs/>
              <w:szCs w:val="24"/>
              <w:lang w:val="zh-CN"/>
            </w:rPr>
            <w:instrText xml:space="preserve"> HYPERLINK \l _Toc10053 </w:instrText>
          </w:r>
          <w:r>
            <w:rPr>
              <w:rFonts w:ascii="仿宋" w:hAnsi="仿宋" w:eastAsia="仿宋"/>
              <w:bCs/>
              <w:szCs w:val="24"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  <w:szCs w:val="28"/>
              <w:lang w:val="en-US" w:eastAsia="zh-CN"/>
            </w:rPr>
            <w:t xml:space="preserve">2.2.10. </w:t>
          </w:r>
          <w:r>
            <w:rPr>
              <w:rFonts w:hint="eastAsia" w:ascii="仿宋" w:hAnsi="仿宋" w:eastAsia="仿宋"/>
              <w:szCs w:val="28"/>
              <w:lang w:val="en-US" w:eastAsia="zh-CN"/>
            </w:rPr>
            <w:t>未查询到失业青年登记相关信息不允许申报。通过调用就业部门“就业失业登记信息”校验。</w:t>
          </w:r>
          <w:r>
            <w:tab/>
          </w:r>
          <w:r>
            <w:fldChar w:fldCharType="begin"/>
          </w:r>
          <w:r>
            <w:instrText xml:space="preserve"> PAGEREF _Toc10053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仿宋" w:hAnsi="仿宋" w:eastAsia="仿宋"/>
              <w:bCs/>
              <w:szCs w:val="24"/>
              <w:lang w:val="zh-CN"/>
            </w:rPr>
            <w:fldChar w:fldCharType="end"/>
          </w:r>
        </w:p>
        <w:p>
          <w:pPr>
            <w:rPr>
              <w:rFonts w:ascii="仿宋" w:hAnsi="仿宋" w:eastAsia="仿宋" w:cstheme="minorBidi"/>
              <w:b/>
              <w:bCs/>
              <w:color w:val="auto"/>
              <w:sz w:val="24"/>
              <w:szCs w:val="24"/>
              <w:lang w:val="zh-CN"/>
            </w:rPr>
          </w:pPr>
          <w:r>
            <w:rPr>
              <w:rFonts w:ascii="仿宋" w:hAnsi="仿宋" w:eastAsia="仿宋"/>
              <w:bCs/>
              <w:szCs w:val="24"/>
              <w:lang w:val="zh-CN"/>
            </w:rPr>
            <w:fldChar w:fldCharType="end"/>
          </w:r>
        </w:p>
      </w:sdtContent>
    </w:sdt>
    <w:p>
      <w:pPr>
        <w:rPr>
          <w:rFonts w:ascii="仿宋" w:hAnsi="仿宋" w:eastAsia="仿宋" w:cstheme="minorBidi"/>
          <w:b/>
          <w:bCs/>
          <w:color w:val="auto"/>
          <w:sz w:val="24"/>
          <w:szCs w:val="24"/>
          <w:lang w:val="zh-CN"/>
        </w:rPr>
      </w:pPr>
    </w:p>
    <w:p>
      <w:pPr>
        <w:rPr>
          <w:rFonts w:ascii="仿宋" w:hAnsi="仿宋" w:eastAsia="仿宋" w:cstheme="minorBidi"/>
          <w:b/>
          <w:bCs/>
          <w:color w:val="auto"/>
          <w:sz w:val="24"/>
          <w:szCs w:val="24"/>
          <w:lang w:val="zh-CN"/>
        </w:rPr>
      </w:pPr>
    </w:p>
    <w:p>
      <w:pPr>
        <w:rPr>
          <w:rFonts w:ascii="仿宋" w:hAnsi="仿宋" w:eastAsia="仿宋" w:cstheme="minorBidi"/>
          <w:b/>
          <w:bCs/>
          <w:color w:val="auto"/>
          <w:sz w:val="24"/>
          <w:szCs w:val="24"/>
          <w:lang w:val="zh-CN"/>
        </w:rPr>
      </w:pPr>
    </w:p>
    <w:p>
      <w:pPr>
        <w:rPr>
          <w:rFonts w:ascii="仿宋" w:hAnsi="仿宋" w:eastAsia="仿宋" w:cstheme="minorBidi"/>
          <w:b/>
          <w:bCs/>
          <w:color w:val="auto"/>
          <w:sz w:val="24"/>
          <w:szCs w:val="24"/>
          <w:lang w:val="zh-CN"/>
        </w:rPr>
      </w:pPr>
    </w:p>
    <w:p>
      <w:pPr>
        <w:rPr>
          <w:rFonts w:ascii="仿宋" w:hAnsi="仿宋" w:eastAsia="仿宋" w:cstheme="minorBidi"/>
          <w:b/>
          <w:bCs/>
          <w:color w:val="auto"/>
          <w:sz w:val="24"/>
          <w:szCs w:val="24"/>
          <w:lang w:val="zh-CN"/>
        </w:rPr>
      </w:pPr>
    </w:p>
    <w:p>
      <w:pPr>
        <w:pStyle w:val="2"/>
        <w:numPr>
          <w:ilvl w:val="0"/>
          <w:numId w:val="2"/>
        </w:numPr>
        <w:spacing w:line="360" w:lineRule="auto"/>
        <w:rPr>
          <w:rFonts w:ascii="仿宋" w:hAnsi="仿宋"/>
          <w:sz w:val="30"/>
          <w:szCs w:val="30"/>
        </w:rPr>
      </w:pPr>
      <w:bookmarkStart w:id="0" w:name="_Toc15508"/>
      <w:bookmarkStart w:id="1" w:name="_Toc2940"/>
      <w:r>
        <w:rPr>
          <w:rFonts w:hint="eastAsia"/>
          <w:sz w:val="30"/>
          <w:szCs w:val="30"/>
          <w:lang w:eastAsia="zh-CN"/>
        </w:rPr>
        <w:t>概述</w:t>
      </w:r>
      <w:bookmarkEnd w:id="0"/>
      <w:bookmarkEnd w:id="1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="0"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为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延续</w:t>
      </w:r>
      <w:r>
        <w:rPr>
          <w:rFonts w:hint="eastAsia" w:ascii="仿宋" w:hAnsi="仿宋" w:eastAsia="仿宋" w:cs="仿宋"/>
          <w:sz w:val="28"/>
          <w:szCs w:val="28"/>
        </w:rPr>
        <w:t>做好2023年度一次性扩岗补助政策落实工作，省社保中心在现有程序功能基础上，根据《河南省人力资源和社会保障厅 河南省教育厅 河南省财政厅关于延续实施一次性扩岗补助政策有关工作的通知》（豫人社函〔2023〕170号）和《一次性扩岗补助政策经办工作指南》（人社失业司便函〔2023〕96号），</w:t>
      </w:r>
      <w:r>
        <w:rPr>
          <w:rFonts w:hint="eastAsia" w:ascii="仿宋" w:hAnsi="仿宋" w:eastAsia="仿宋"/>
          <w:sz w:val="28"/>
          <w:szCs w:val="28"/>
          <w:lang w:eastAsia="zh-CN"/>
        </w:rPr>
        <w:t>调整</w:t>
      </w:r>
      <w:r>
        <w:rPr>
          <w:rFonts w:hint="eastAsia" w:ascii="仿宋" w:hAnsi="仿宋" w:eastAsia="仿宋"/>
          <w:sz w:val="28"/>
          <w:szCs w:val="28"/>
        </w:rPr>
        <w:t>了一次性扩岗补助程序功能。符合申请条件的</w:t>
      </w:r>
      <w:r>
        <w:rPr>
          <w:rFonts w:hint="eastAsia" w:ascii="仿宋" w:hAnsi="仿宋" w:eastAsia="仿宋"/>
          <w:sz w:val="28"/>
          <w:szCs w:val="28"/>
          <w:lang w:eastAsia="zh-CN"/>
        </w:rPr>
        <w:t>企业</w:t>
      </w:r>
      <w:r>
        <w:rPr>
          <w:rFonts w:hint="eastAsia" w:ascii="仿宋" w:hAnsi="仿宋" w:eastAsia="仿宋"/>
          <w:sz w:val="28"/>
          <w:szCs w:val="28"/>
        </w:rPr>
        <w:t>可登录河南省社会保障网上服务平台中的“单位办事通道”进行申报。</w:t>
      </w:r>
    </w:p>
    <w:p>
      <w:pPr>
        <w:pStyle w:val="2"/>
        <w:numPr>
          <w:ilvl w:val="0"/>
          <w:numId w:val="2"/>
        </w:numPr>
        <w:spacing w:line="360" w:lineRule="auto"/>
        <w:rPr>
          <w:bCs/>
        </w:rPr>
      </w:pPr>
      <w:bookmarkStart w:id="2" w:name="_Toc154372249"/>
      <w:bookmarkStart w:id="3" w:name="_Toc312665831"/>
      <w:bookmarkStart w:id="4" w:name="_Toc295725481"/>
      <w:bookmarkStart w:id="5" w:name="_Toc8506"/>
      <w:bookmarkStart w:id="6" w:name="_Toc135109167"/>
      <w:bookmarkStart w:id="7" w:name="_Toc526873053"/>
      <w:bookmarkStart w:id="8" w:name="_Toc1158"/>
      <w:r>
        <w:rPr>
          <w:rFonts w:hint="eastAsia"/>
        </w:rPr>
        <w:t>功能操作说明</w:t>
      </w:r>
      <w:bookmarkEnd w:id="2"/>
      <w:bookmarkEnd w:id="3"/>
      <w:bookmarkEnd w:id="4"/>
      <w:bookmarkEnd w:id="5"/>
      <w:bookmarkEnd w:id="6"/>
      <w:bookmarkEnd w:id="7"/>
      <w:bookmarkEnd w:id="8"/>
    </w:p>
    <w:p>
      <w:pPr>
        <w:pStyle w:val="3"/>
        <w:numPr>
          <w:ilvl w:val="1"/>
          <w:numId w:val="3"/>
        </w:numPr>
        <w:spacing w:line="360" w:lineRule="auto"/>
        <w:rPr>
          <w:rFonts w:ascii="仿宋" w:hAnsi="仿宋"/>
          <w:color w:val="000000"/>
          <w:sz w:val="28"/>
          <w:szCs w:val="28"/>
        </w:rPr>
      </w:pPr>
      <w:r>
        <w:rPr>
          <w:rFonts w:hint="eastAsia" w:ascii="仿宋" w:hAnsi="仿宋"/>
          <w:color w:val="000000"/>
          <w:sz w:val="28"/>
          <w:szCs w:val="28"/>
        </w:rPr>
        <w:t xml:space="preserve"> </w:t>
      </w:r>
      <w:bookmarkStart w:id="9" w:name="_Toc29660"/>
      <w:bookmarkStart w:id="10" w:name="_Toc19758"/>
      <w:r>
        <w:rPr>
          <w:rFonts w:hint="eastAsia" w:ascii="仿宋" w:hAnsi="仿宋"/>
          <w:color w:val="000000"/>
          <w:sz w:val="28"/>
          <w:szCs w:val="28"/>
          <w:lang w:eastAsia="zh-CN"/>
        </w:rPr>
        <w:t>网厅端</w:t>
      </w:r>
      <w:bookmarkEnd w:id="9"/>
      <w:bookmarkEnd w:id="1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firstLine="560" w:firstLineChars="200"/>
        <w:textAlignment w:val="auto"/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 w:bidi="ar-SA"/>
        </w:rPr>
        <w:t>单位网厅注册流程不再赘述。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firstLine="560" w:firstLineChars="200"/>
        <w:textAlignment w:val="auto"/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 w:bidi="ar-SA"/>
        </w:rPr>
        <w:t>一次性扩岗补助事项除数字证书登录外，还支持免数字证书登录，方便没有办理数字证书的中小微企业申报。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firstLine="560" w:firstLineChars="200"/>
        <w:textAlignment w:val="auto"/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 w:bidi="ar-SA"/>
        </w:rPr>
        <w:t>以下以“免数字证书”登录为例描述操作流程。</w:t>
      </w:r>
    </w:p>
    <w:p>
      <w:pPr>
        <w:numPr>
          <w:ilvl w:val="0"/>
          <w:numId w:val="0"/>
        </w:numPr>
        <w:rPr>
          <w:rFonts w:hint="eastAsia" w:ascii="仿宋" w:hAnsi="仿宋" w:eastAsia="仿宋"/>
          <w:sz w:val="28"/>
          <w:szCs w:val="28"/>
          <w:lang w:val="en-US" w:eastAsia="zh-CN"/>
        </w:rPr>
      </w:pPr>
      <w:bookmarkStart w:id="11" w:name="_Toc526873099"/>
    </w:p>
    <w:p>
      <w:pPr>
        <w:numPr>
          <w:ilvl w:val="2"/>
          <w:numId w:val="4"/>
        </w:numPr>
        <w:ind w:left="709" w:leftChars="0" w:hanging="709" w:firstLineChars="0"/>
        <w:outlineLvl w:val="2"/>
        <w:rPr>
          <w:rFonts w:hint="eastAsia" w:ascii="仿宋" w:hAnsi="仿宋" w:eastAsia="仿宋"/>
          <w:sz w:val="28"/>
          <w:szCs w:val="28"/>
          <w:lang w:val="en-US" w:eastAsia="zh-CN"/>
        </w:rPr>
      </w:pPr>
      <w:bookmarkStart w:id="12" w:name="_Toc28389"/>
      <w:bookmarkStart w:id="13" w:name="_Toc32659"/>
      <w:r>
        <w:rPr>
          <w:rFonts w:hint="eastAsia" w:ascii="仿宋" w:hAnsi="仿宋" w:eastAsia="仿宋"/>
          <w:sz w:val="28"/>
          <w:szCs w:val="28"/>
          <w:lang w:val="en-US" w:eastAsia="zh-CN"/>
        </w:rPr>
        <w:t>单位登录-使用免数字证书</w:t>
      </w:r>
      <w:bookmarkEnd w:id="12"/>
      <w:bookmarkEnd w:id="13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firstLine="560" w:firstLineChars="200"/>
        <w:textAlignment w:val="auto"/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 w:bidi="ar-SA"/>
        </w:rPr>
        <w:t>输入网址进入河南省社会保障网上服务平台，网址地址：https:// siwsfw.hrss.henan.gov.cn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firstLine="560" w:firstLineChars="200"/>
        <w:textAlignment w:val="auto"/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 w:bidi="ar-SA"/>
        </w:rPr>
        <w:t>选择单位办事通道进入“单位办事通道”</w:t>
      </w:r>
    </w:p>
    <w:p>
      <w:pPr>
        <w:spacing w:line="360" w:lineRule="auto"/>
        <w:ind w:firstLine="560" w:firstLineChars="200"/>
        <w:rPr>
          <w:rFonts w:hint="eastAsia" w:ascii="仿宋" w:hAnsi="仿宋" w:eastAsia="仿宋"/>
          <w:color w:val="00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drawing>
          <wp:inline distT="0" distB="0" distL="114300" distR="114300">
            <wp:extent cx="5266055" cy="2237740"/>
            <wp:effectExtent l="0" t="0" r="698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drawing>
          <wp:inline distT="0" distB="0" distL="114300" distR="114300">
            <wp:extent cx="5260340" cy="1645920"/>
            <wp:effectExtent l="0" t="0" r="1270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4"/>
        </w:numPr>
        <w:ind w:left="709" w:leftChars="0" w:hanging="709" w:firstLineChars="0"/>
        <w:outlineLvl w:val="2"/>
        <w:rPr>
          <w:rFonts w:hint="eastAsia" w:ascii="仿宋" w:hAnsi="仿宋" w:eastAsia="仿宋"/>
          <w:sz w:val="28"/>
          <w:szCs w:val="28"/>
          <w:lang w:val="en-US" w:eastAsia="zh-CN"/>
        </w:rPr>
      </w:pPr>
      <w:bookmarkStart w:id="14" w:name="_Toc3131"/>
      <w:bookmarkStart w:id="15" w:name="_Toc1770"/>
      <w:r>
        <w:rPr>
          <w:rFonts w:hint="eastAsia" w:ascii="仿宋" w:hAnsi="仿宋" w:eastAsia="仿宋"/>
          <w:sz w:val="28"/>
          <w:szCs w:val="28"/>
          <w:lang w:val="en-US" w:eastAsia="zh-CN"/>
        </w:rPr>
        <w:t>一次性扩岗补助业务申报</w:t>
      </w:r>
      <w:bookmarkEnd w:id="14"/>
      <w:bookmarkEnd w:id="15"/>
    </w:p>
    <w:p>
      <w:pPr>
        <w:numPr>
          <w:ilvl w:val="0"/>
          <w:numId w:val="0"/>
        </w:numPr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drawing>
          <wp:inline distT="0" distB="0" distL="114300" distR="114300">
            <wp:extent cx="5261610" cy="2456180"/>
            <wp:effectExtent l="0" t="0" r="11430" b="1270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  <w:lang w:val="en-US" w:eastAsia="zh-CN"/>
        </w:rPr>
        <w:drawing>
          <wp:inline distT="0" distB="0" distL="114300" distR="114300">
            <wp:extent cx="5274310" cy="2312670"/>
            <wp:effectExtent l="0" t="0" r="1397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4"/>
        </w:numPr>
        <w:ind w:left="709" w:leftChars="0" w:hanging="709" w:firstLineChars="0"/>
        <w:outlineLvl w:val="2"/>
        <w:rPr>
          <w:rFonts w:hint="eastAsia" w:ascii="仿宋" w:hAnsi="仿宋" w:eastAsia="仿宋"/>
          <w:sz w:val="28"/>
          <w:szCs w:val="28"/>
          <w:lang w:val="en-US" w:eastAsia="zh-CN"/>
        </w:rPr>
      </w:pPr>
      <w:bookmarkStart w:id="16" w:name="_Toc15786"/>
      <w:bookmarkStart w:id="17" w:name="_Toc24556"/>
      <w:r>
        <w:rPr>
          <w:rFonts w:hint="eastAsia" w:ascii="仿宋" w:hAnsi="仿宋" w:eastAsia="仿宋"/>
          <w:sz w:val="28"/>
          <w:szCs w:val="28"/>
          <w:lang w:val="en-US" w:eastAsia="zh-CN"/>
        </w:rPr>
        <w:t>一次性扩岗补助模板下载</w:t>
      </w:r>
      <w:bookmarkEnd w:id="16"/>
      <w:bookmarkEnd w:id="17"/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（含导入人员花名册报盘，承诺书模板，人员花名册模板）</w:t>
      </w:r>
    </w:p>
    <w:p>
      <w:pPr>
        <w:numPr>
          <w:ilvl w:val="0"/>
          <w:numId w:val="0"/>
        </w:numPr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drawing>
          <wp:inline distT="0" distB="0" distL="114300" distR="114300">
            <wp:extent cx="5266055" cy="2058035"/>
            <wp:effectExtent l="0" t="0" r="6985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4"/>
        </w:numPr>
        <w:ind w:left="709" w:leftChars="0" w:hanging="709" w:firstLineChars="0"/>
        <w:outlineLvl w:val="2"/>
        <w:rPr>
          <w:rFonts w:hint="eastAsia" w:ascii="仿宋" w:hAnsi="仿宋" w:eastAsia="仿宋"/>
          <w:sz w:val="28"/>
          <w:szCs w:val="28"/>
          <w:lang w:val="en-US" w:eastAsia="zh-CN"/>
        </w:rPr>
      </w:pPr>
      <w:bookmarkStart w:id="18" w:name="_Toc3699"/>
      <w:bookmarkStart w:id="19" w:name="_Toc2126"/>
      <w:r>
        <w:rPr>
          <w:rFonts w:hint="eastAsia" w:ascii="仿宋" w:hAnsi="仿宋" w:eastAsia="仿宋"/>
          <w:sz w:val="28"/>
          <w:szCs w:val="28"/>
          <w:lang w:val="en-US" w:eastAsia="zh-CN"/>
        </w:rPr>
        <w:t>一次性扩岗补助报盘上传</w:t>
      </w:r>
      <w:bookmarkEnd w:id="18"/>
      <w:bookmarkEnd w:id="19"/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（1）选择按格式要求录入完整信息的报盘文件</w:t>
      </w:r>
    </w:p>
    <w:p>
      <w:pPr>
        <w:numPr>
          <w:ilvl w:val="0"/>
          <w:numId w:val="0"/>
        </w:numPr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drawing>
          <wp:inline distT="0" distB="0" distL="114300" distR="114300">
            <wp:extent cx="5262880" cy="2097405"/>
            <wp:effectExtent l="0" t="0" r="1016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（2）点文件上传</w:t>
      </w:r>
    </w:p>
    <w:p>
      <w:pPr>
        <w:numPr>
          <w:ilvl w:val="0"/>
          <w:numId w:val="0"/>
        </w:numPr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drawing>
          <wp:inline distT="0" distB="0" distL="114300" distR="114300">
            <wp:extent cx="5264150" cy="2069465"/>
            <wp:effectExtent l="0" t="0" r="889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drawing>
          <wp:inline distT="0" distB="0" distL="114300" distR="114300">
            <wp:extent cx="5266690" cy="2059940"/>
            <wp:effectExtent l="0" t="0" r="6350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（3）文件上传后查看处理结果（此环节校验导入的报盘信息是否有误，导入人员的参保状态、参保时间、三项社会保险参保月数、报盘人员普通高校应届毕业生身份或登记失业青年身份、是否享受过“一次性吸纳就业补贴”，失败的反馈原因）</w:t>
      </w:r>
    </w:p>
    <w:p>
      <w:pPr>
        <w:numPr>
          <w:ilvl w:val="0"/>
          <w:numId w:val="0"/>
        </w:numPr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drawing>
          <wp:inline distT="0" distB="0" distL="114300" distR="114300">
            <wp:extent cx="5274310" cy="1991360"/>
            <wp:effectExtent l="0" t="0" r="1397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单位申报相关校验：单位类型为“企业”可申报，否则不允许申报。劳务派遣单位不可申报。申报人员为2023届或离校普通高校毕业生，或者16-24岁登记失业青年可申报，否则不允许申报。在政策执行期内（2023年6月25日至2023年12月31日），企业为申报人员参加失业保险、工伤保险和企业职工基本养老保险缴费时长大于（含）1个月，</w:t>
      </w:r>
      <w:r>
        <w:rPr>
          <w:rFonts w:hint="eastAsia" w:ascii="仿宋" w:hAnsi="仿宋" w:eastAsia="仿宋" w:cs="仿宋"/>
          <w:i w:val="0"/>
          <w:caps w:val="0"/>
          <w:color w:val="auto"/>
          <w:spacing w:val="0"/>
          <w:kern w:val="0"/>
          <w:sz w:val="28"/>
          <w:szCs w:val="28"/>
          <w:highlight w:val="none"/>
          <w:shd w:val="clear" w:color="auto" w:fill="FFFFFF"/>
          <w:lang w:val="en-US" w:eastAsia="zh-CN" w:bidi="ar"/>
        </w:rPr>
        <w:t>且审核时处于正常参保缴费状态的允许申报，否则不允许申报。单位已申报过人员不允许再次申报。单位申报及审核当月之前（当月欠费不影响，处于缓缴期的不影响）单位部分或个人部分无欠费的可以申报，否则不允许申报。普通高校毕业生落证时间非20220101-20231213内不允许申报，调用人社部普通高校毕业生接口未通过不允许申报，已享受就业部门一次性吸纳补贴的不允许申报。申报时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参保人员不在此单位参保的不允许申报。具体报错详见2.3单位申报相关校验。</w:t>
      </w:r>
    </w:p>
    <w:p>
      <w:pPr>
        <w:numPr>
          <w:ilvl w:val="0"/>
          <w:numId w:val="0"/>
        </w:numPr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1"/>
          <w:szCs w:val="21"/>
        </w:rPr>
        <w:drawing>
          <wp:inline distT="0" distB="0" distL="114300" distR="114300">
            <wp:extent cx="5270500" cy="2468880"/>
            <wp:effectExtent l="0" t="0" r="2540" b="0"/>
            <wp:docPr id="1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（4）有处理失败的人员，把失败人员信息从报盘中删除。网厅处理详情里先点删除，再点清屏，然后再按（1）（2）步骤重新上传修改后的报盘。无处理失败的人员，忽略此步骤。</w:t>
      </w:r>
    </w:p>
    <w:p>
      <w:pPr>
        <w:numPr>
          <w:ilvl w:val="0"/>
          <w:numId w:val="0"/>
        </w:numPr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drawing>
          <wp:inline distT="0" distB="0" distL="114300" distR="114300">
            <wp:extent cx="5269230" cy="1704975"/>
            <wp:effectExtent l="0" t="0" r="3810" b="190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（5）上传报盘信息显示处理成功后，查看上传结果。</w:t>
      </w:r>
    </w:p>
    <w:p>
      <w:pPr>
        <w:numPr>
          <w:ilvl w:val="0"/>
          <w:numId w:val="0"/>
        </w:numPr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1"/>
          <w:szCs w:val="21"/>
        </w:rPr>
        <w:drawing>
          <wp:inline distT="0" distB="0" distL="114300" distR="114300">
            <wp:extent cx="5273675" cy="2292985"/>
            <wp:effectExtent l="0" t="0" r="14605" b="8255"/>
            <wp:docPr id="4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1"/>
          <w:szCs w:val="21"/>
        </w:rPr>
        <w:drawing>
          <wp:inline distT="0" distB="0" distL="114300" distR="114300">
            <wp:extent cx="5273040" cy="1759585"/>
            <wp:effectExtent l="0" t="0" r="0" b="8255"/>
            <wp:docPr id="2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4"/>
        </w:numPr>
        <w:ind w:left="709" w:leftChars="0" w:hanging="709" w:firstLineChars="0"/>
        <w:outlineLvl w:val="2"/>
        <w:rPr>
          <w:rFonts w:hint="eastAsia" w:ascii="仿宋" w:hAnsi="仿宋" w:eastAsia="仿宋"/>
          <w:sz w:val="28"/>
          <w:szCs w:val="28"/>
          <w:lang w:val="en-US" w:eastAsia="zh-CN"/>
        </w:rPr>
      </w:pPr>
      <w:bookmarkStart w:id="20" w:name="_Toc10418"/>
      <w:bookmarkStart w:id="21" w:name="_Toc13180"/>
      <w:r>
        <w:rPr>
          <w:rFonts w:hint="eastAsia" w:ascii="仿宋" w:hAnsi="仿宋" w:eastAsia="仿宋"/>
          <w:sz w:val="28"/>
          <w:szCs w:val="28"/>
          <w:lang w:val="en-US" w:eastAsia="zh-CN"/>
        </w:rPr>
        <w:t>上传材料提交业务</w:t>
      </w:r>
      <w:bookmarkEnd w:id="20"/>
      <w:bookmarkEnd w:id="21"/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（1）报盘上传成功，核对申报信息无问题后，点首页进入待提交业务页面。</w:t>
      </w:r>
    </w:p>
    <w:p>
      <w:pPr>
        <w:numPr>
          <w:ilvl w:val="0"/>
          <w:numId w:val="0"/>
        </w:numPr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drawing>
          <wp:inline distT="0" distB="0" distL="114300" distR="114300">
            <wp:extent cx="5271770" cy="4017645"/>
            <wp:effectExtent l="0" t="0" r="127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drawing>
          <wp:inline distT="0" distB="0" distL="114300" distR="114300">
            <wp:extent cx="5274310" cy="2089785"/>
            <wp:effectExtent l="0" t="0" r="13970" b="133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（2）点附件，上传填写好的承诺书、人员花名册，不上传资料不允许提交。</w:t>
      </w:r>
    </w:p>
    <w:p>
      <w:pPr>
        <w:numPr>
          <w:ilvl w:val="0"/>
          <w:numId w:val="0"/>
        </w:numPr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drawing>
          <wp:inline distT="0" distB="0" distL="114300" distR="114300">
            <wp:extent cx="5273040" cy="2310130"/>
            <wp:effectExtent l="0" t="0" r="0" b="6350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drawing>
          <wp:inline distT="0" distB="0" distL="114300" distR="114300">
            <wp:extent cx="5269865" cy="2497455"/>
            <wp:effectExtent l="0" t="0" r="3175" b="1905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40" w:hanging="560" w:hangingChars="200"/>
        <w:rPr>
          <w:rFonts w:hint="eastAsia" w:ascii="仿宋" w:hAnsi="仿宋" w:eastAsia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440" w:hanging="560" w:hangingChars="200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（3）材料上传完整后，点提交</w:t>
      </w:r>
    </w:p>
    <w:p>
      <w:pPr>
        <w:numPr>
          <w:ilvl w:val="0"/>
          <w:numId w:val="0"/>
        </w:numPr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drawing>
          <wp:inline distT="0" distB="0" distL="114300" distR="114300">
            <wp:extent cx="5273675" cy="1969770"/>
            <wp:effectExtent l="0" t="0" r="14605" b="1143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（4）查询办理进度</w:t>
      </w:r>
    </w:p>
    <w:p>
      <w:pPr>
        <w:numPr>
          <w:ilvl w:val="0"/>
          <w:numId w:val="0"/>
        </w:numPr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drawing>
          <wp:inline distT="0" distB="0" distL="114300" distR="114300">
            <wp:extent cx="5259070" cy="1861820"/>
            <wp:effectExtent l="0" t="0" r="13970" b="1270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  <w:lang w:val="en-US" w:eastAsia="zh-CN"/>
        </w:rPr>
        <w:drawing>
          <wp:inline distT="0" distB="0" distL="114300" distR="114300">
            <wp:extent cx="5271770" cy="1981835"/>
            <wp:effectExtent l="0" t="0" r="1270" b="1460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/>
          <w:sz w:val="28"/>
          <w:szCs w:val="28"/>
          <w:lang w:val="en-US" w:eastAsia="zh-CN"/>
        </w:rPr>
      </w:pPr>
    </w:p>
    <w:p>
      <w:pPr>
        <w:pStyle w:val="3"/>
        <w:numPr>
          <w:ilvl w:val="1"/>
          <w:numId w:val="3"/>
        </w:numPr>
        <w:spacing w:line="360" w:lineRule="auto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/>
          <w:sz w:val="28"/>
          <w:szCs w:val="28"/>
          <w:lang w:val="en-US" w:eastAsia="zh-CN"/>
        </w:rPr>
        <w:t xml:space="preserve">  </w:t>
      </w:r>
      <w:bookmarkStart w:id="22" w:name="_Toc11513"/>
      <w:bookmarkStart w:id="23" w:name="_Toc22758"/>
      <w:r>
        <w:rPr>
          <w:rFonts w:hint="eastAsia" w:ascii="仿宋" w:hAnsi="仿宋" w:eastAsia="仿宋"/>
          <w:sz w:val="28"/>
          <w:szCs w:val="28"/>
          <w:lang w:val="en-US" w:eastAsia="zh-CN"/>
        </w:rPr>
        <w:t>单位申报相关校验</w:t>
      </w:r>
      <w:bookmarkEnd w:id="22"/>
      <w:bookmarkEnd w:id="23"/>
    </w:p>
    <w:p>
      <w:pPr>
        <w:numPr>
          <w:ilvl w:val="2"/>
          <w:numId w:val="5"/>
        </w:numPr>
        <w:ind w:left="709" w:leftChars="0" w:hanging="709" w:firstLineChars="0"/>
        <w:outlineLvl w:val="2"/>
        <w:rPr>
          <w:rFonts w:hint="default" w:ascii="仿宋" w:hAnsi="仿宋" w:eastAsia="仿宋"/>
          <w:sz w:val="28"/>
          <w:szCs w:val="28"/>
          <w:lang w:val="en-US" w:eastAsia="zh-CN"/>
        </w:rPr>
      </w:pPr>
      <w:bookmarkStart w:id="24" w:name="_Toc3786"/>
      <w:bookmarkStart w:id="25" w:name="_Toc30717"/>
      <w:r>
        <w:rPr>
          <w:rFonts w:hint="eastAsia" w:ascii="仿宋" w:hAnsi="仿宋" w:eastAsia="仿宋"/>
          <w:sz w:val="28"/>
          <w:szCs w:val="28"/>
          <w:lang w:val="en-US" w:eastAsia="zh-CN"/>
        </w:rPr>
        <w:t>单位类型为“企业”可申报，否则不允许申报。</w:t>
      </w:r>
      <w:bookmarkEnd w:id="24"/>
      <w:bookmarkEnd w:id="25"/>
    </w:p>
    <w:p>
      <w:pPr>
        <w:numPr>
          <w:ilvl w:val="0"/>
          <w:numId w:val="0"/>
        </w:numPr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drawing>
          <wp:inline distT="0" distB="0" distL="114300" distR="114300">
            <wp:extent cx="5266055" cy="1953895"/>
            <wp:effectExtent l="0" t="0" r="6985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5"/>
        </w:numPr>
        <w:ind w:left="709" w:leftChars="0" w:hanging="709" w:firstLineChars="0"/>
        <w:outlineLvl w:val="2"/>
        <w:rPr>
          <w:rFonts w:hint="eastAsia" w:ascii="仿宋" w:hAnsi="仿宋" w:eastAsia="仿宋"/>
          <w:sz w:val="28"/>
          <w:szCs w:val="28"/>
          <w:lang w:val="en-US" w:eastAsia="zh-CN"/>
        </w:rPr>
      </w:pPr>
      <w:bookmarkStart w:id="26" w:name="_Toc29095"/>
      <w:bookmarkStart w:id="27" w:name="_Toc8229"/>
      <w:r>
        <w:rPr>
          <w:rFonts w:hint="eastAsia" w:ascii="仿宋" w:hAnsi="仿宋" w:eastAsia="仿宋"/>
          <w:sz w:val="28"/>
          <w:szCs w:val="28"/>
          <w:lang w:val="en-US" w:eastAsia="zh-CN"/>
        </w:rPr>
        <w:t>劳务派遣单位不允许申报一次性扩岗补助</w:t>
      </w:r>
      <w:bookmarkEnd w:id="26"/>
      <w:bookmarkEnd w:id="27"/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color w:val="auto"/>
          <w:sz w:val="21"/>
          <w:szCs w:val="21"/>
        </w:rPr>
      </w:pPr>
      <w:r>
        <w:rPr>
          <w:rFonts w:hint="eastAsia" w:ascii="仿宋_GB2312" w:hAnsi="仿宋_GB2312" w:eastAsia="仿宋_GB2312" w:cs="仿宋_GB2312"/>
          <w:color w:val="auto"/>
          <w:sz w:val="21"/>
          <w:szCs w:val="21"/>
        </w:rPr>
        <w:drawing>
          <wp:inline distT="0" distB="0" distL="114300" distR="114300">
            <wp:extent cx="5267960" cy="1859915"/>
            <wp:effectExtent l="0" t="0" r="5080" b="14605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5"/>
        </w:numPr>
        <w:ind w:left="709" w:leftChars="0" w:hanging="709" w:firstLineChars="0"/>
        <w:outlineLvl w:val="2"/>
        <w:rPr>
          <w:rFonts w:hint="eastAsia" w:ascii="仿宋" w:hAnsi="仿宋" w:eastAsia="仿宋"/>
          <w:sz w:val="28"/>
          <w:szCs w:val="28"/>
          <w:lang w:val="en-US" w:eastAsia="zh-CN"/>
        </w:rPr>
      </w:pPr>
      <w:bookmarkStart w:id="28" w:name="_Toc6612"/>
      <w:bookmarkStart w:id="29" w:name="_Toc15636"/>
      <w:r>
        <w:rPr>
          <w:rFonts w:hint="eastAsia" w:ascii="仿宋" w:hAnsi="仿宋" w:eastAsia="仿宋"/>
          <w:sz w:val="28"/>
          <w:szCs w:val="28"/>
          <w:lang w:val="en-US" w:eastAsia="zh-CN"/>
        </w:rPr>
        <w:t>单位申报人员不满足“企业养老保险、工伤保险、失业保险均在当前单位正常参保正常缴费，且本次参保时间在20230625-20231231之内”，不允许申报。</w:t>
      </w:r>
      <w:bookmarkEnd w:id="28"/>
      <w:bookmarkEnd w:id="29"/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color w:val="auto"/>
          <w:sz w:val="21"/>
          <w:szCs w:val="21"/>
        </w:rPr>
      </w:pPr>
      <w:r>
        <w:rPr>
          <w:rFonts w:hint="eastAsia" w:ascii="仿宋_GB2312" w:hAnsi="仿宋_GB2312" w:eastAsia="仿宋_GB2312" w:cs="仿宋_GB2312"/>
          <w:color w:val="auto"/>
          <w:sz w:val="21"/>
          <w:szCs w:val="21"/>
        </w:rPr>
        <w:drawing>
          <wp:inline distT="0" distB="0" distL="114300" distR="114300">
            <wp:extent cx="5271770" cy="2507615"/>
            <wp:effectExtent l="0" t="0" r="1270" b="6985"/>
            <wp:docPr id="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21"/>
          <w:szCs w:val="21"/>
        </w:rPr>
        <w:drawing>
          <wp:inline distT="0" distB="0" distL="114300" distR="114300">
            <wp:extent cx="5268595" cy="2025650"/>
            <wp:effectExtent l="0" t="0" r="4445" b="1270"/>
            <wp:docPr id="4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color w:val="auto"/>
          <w:sz w:val="21"/>
          <w:szCs w:val="21"/>
        </w:rPr>
      </w:pPr>
      <w:r>
        <w:rPr>
          <w:rFonts w:hint="eastAsia" w:ascii="仿宋_GB2312" w:hAnsi="仿宋_GB2312" w:eastAsia="仿宋_GB2312" w:cs="仿宋_GB2312"/>
          <w:color w:val="auto"/>
          <w:sz w:val="21"/>
          <w:szCs w:val="21"/>
        </w:rPr>
        <w:drawing>
          <wp:inline distT="0" distB="0" distL="114300" distR="114300">
            <wp:extent cx="5262880" cy="2200275"/>
            <wp:effectExtent l="0" t="0" r="10160" b="952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5"/>
        </w:numPr>
        <w:ind w:left="709" w:leftChars="0" w:hanging="709" w:firstLineChars="0"/>
        <w:outlineLvl w:val="2"/>
        <w:rPr>
          <w:rFonts w:hint="eastAsia" w:ascii="仿宋" w:hAnsi="仿宋" w:eastAsia="仿宋"/>
          <w:sz w:val="28"/>
          <w:szCs w:val="28"/>
          <w:lang w:val="en-US" w:eastAsia="zh-CN"/>
        </w:rPr>
      </w:pPr>
      <w:bookmarkStart w:id="30" w:name="_Toc12785"/>
      <w:bookmarkStart w:id="31" w:name="_Toc29953"/>
      <w:r>
        <w:rPr>
          <w:rFonts w:hint="eastAsia" w:ascii="仿宋" w:hAnsi="仿宋" w:eastAsia="仿宋"/>
          <w:sz w:val="28"/>
          <w:szCs w:val="28"/>
          <w:lang w:val="en-US" w:eastAsia="zh-CN"/>
        </w:rPr>
        <w:t>单位申报及核对当月</w:t>
      </w:r>
      <w:bookmarkStart w:id="44" w:name="_GoBack"/>
      <w:bookmarkEnd w:id="44"/>
      <w:r>
        <w:rPr>
          <w:rFonts w:hint="eastAsia" w:ascii="仿宋" w:hAnsi="仿宋" w:eastAsia="仿宋"/>
          <w:sz w:val="28"/>
          <w:szCs w:val="28"/>
          <w:lang w:val="en-US" w:eastAsia="zh-CN"/>
        </w:rPr>
        <w:t>之前存在欠费不允许申报。</w:t>
      </w:r>
      <w:bookmarkEnd w:id="30"/>
      <w:bookmarkEnd w:id="31"/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color w:val="auto"/>
          <w:sz w:val="21"/>
          <w:szCs w:val="21"/>
        </w:rPr>
      </w:pPr>
      <w:r>
        <w:rPr>
          <w:rFonts w:hint="eastAsia" w:ascii="仿宋_GB2312" w:hAnsi="仿宋_GB2312" w:eastAsia="仿宋_GB2312" w:cs="仿宋_GB2312"/>
          <w:color w:val="auto"/>
          <w:sz w:val="21"/>
          <w:szCs w:val="21"/>
        </w:rPr>
        <w:drawing>
          <wp:inline distT="0" distB="0" distL="114300" distR="114300">
            <wp:extent cx="5273040" cy="2505710"/>
            <wp:effectExtent l="0" t="0" r="0" b="8890"/>
            <wp:docPr id="4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5"/>
        </w:numPr>
        <w:ind w:left="709" w:leftChars="0" w:hanging="709" w:firstLineChars="0"/>
        <w:outlineLvl w:val="2"/>
        <w:rPr>
          <w:rFonts w:hint="eastAsia" w:ascii="仿宋" w:hAnsi="仿宋" w:eastAsia="仿宋"/>
          <w:sz w:val="28"/>
          <w:szCs w:val="28"/>
          <w:lang w:val="en-US" w:eastAsia="zh-CN"/>
        </w:rPr>
      </w:pPr>
      <w:bookmarkStart w:id="32" w:name="_Toc28381"/>
      <w:bookmarkStart w:id="33" w:name="_Toc29754"/>
      <w:r>
        <w:rPr>
          <w:rFonts w:hint="eastAsia" w:ascii="仿宋" w:hAnsi="仿宋" w:eastAsia="仿宋"/>
          <w:sz w:val="28"/>
          <w:szCs w:val="28"/>
          <w:lang w:val="en-US" w:eastAsia="zh-CN"/>
        </w:rPr>
        <w:t>申报时参保人员不在此单位参保的不允许申报</w:t>
      </w:r>
      <w:bookmarkEnd w:id="32"/>
      <w:bookmarkEnd w:id="33"/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drawing>
          <wp:inline distT="0" distB="0" distL="114300" distR="114300">
            <wp:extent cx="5271135" cy="2225675"/>
            <wp:effectExtent l="0" t="0" r="1905" b="14605"/>
            <wp:docPr id="5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color w:val="auto"/>
          <w:sz w:val="21"/>
          <w:szCs w:val="21"/>
          <w:lang w:val="en-US" w:eastAsia="zh-CN"/>
        </w:rPr>
      </w:pPr>
    </w:p>
    <w:p>
      <w:pPr>
        <w:numPr>
          <w:ilvl w:val="2"/>
          <w:numId w:val="5"/>
        </w:numPr>
        <w:ind w:left="709" w:leftChars="0" w:hanging="709" w:firstLineChars="0"/>
        <w:outlineLvl w:val="2"/>
        <w:rPr>
          <w:rFonts w:hint="eastAsia" w:ascii="仿宋" w:hAnsi="仿宋" w:eastAsia="仿宋"/>
          <w:sz w:val="28"/>
          <w:szCs w:val="28"/>
          <w:lang w:val="en-US" w:eastAsia="zh-CN"/>
        </w:rPr>
      </w:pPr>
      <w:bookmarkStart w:id="34" w:name="_Toc17086"/>
      <w:bookmarkStart w:id="35" w:name="_Toc18434"/>
      <w:r>
        <w:rPr>
          <w:rFonts w:hint="eastAsia" w:ascii="仿宋" w:hAnsi="仿宋" w:eastAsia="仿宋"/>
          <w:sz w:val="28"/>
          <w:szCs w:val="28"/>
          <w:lang w:val="en-US" w:eastAsia="zh-CN"/>
        </w:rPr>
        <w:t>已申报过的人员不允许再次申报。</w:t>
      </w:r>
      <w:bookmarkEnd w:id="34"/>
      <w:bookmarkEnd w:id="35"/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color w:val="auto"/>
          <w:sz w:val="21"/>
          <w:szCs w:val="21"/>
        </w:rPr>
      </w:pPr>
      <w:r>
        <w:rPr>
          <w:rFonts w:hint="eastAsia" w:ascii="仿宋_GB2312" w:hAnsi="仿宋_GB2312" w:eastAsia="仿宋_GB2312" w:cs="仿宋_GB2312"/>
          <w:color w:val="auto"/>
          <w:sz w:val="21"/>
          <w:szCs w:val="21"/>
        </w:rPr>
        <w:drawing>
          <wp:inline distT="0" distB="0" distL="114300" distR="114300">
            <wp:extent cx="5273040" cy="2489200"/>
            <wp:effectExtent l="0" t="0" r="0" b="1016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5"/>
        </w:numPr>
        <w:ind w:left="709" w:leftChars="0" w:hanging="709" w:firstLineChars="0"/>
        <w:outlineLvl w:val="2"/>
        <w:rPr>
          <w:rFonts w:hint="eastAsia" w:ascii="仿宋" w:hAnsi="仿宋" w:eastAsia="仿宋"/>
          <w:sz w:val="28"/>
          <w:szCs w:val="28"/>
          <w:lang w:val="en-US" w:eastAsia="zh-CN"/>
        </w:rPr>
      </w:pPr>
      <w:bookmarkStart w:id="36" w:name="_Toc6109"/>
      <w:bookmarkStart w:id="37" w:name="_Toc17663"/>
      <w:r>
        <w:rPr>
          <w:rFonts w:hint="eastAsia" w:ascii="仿宋" w:hAnsi="仿宋" w:eastAsia="仿宋"/>
          <w:sz w:val="28"/>
          <w:szCs w:val="28"/>
          <w:lang w:val="en-US" w:eastAsia="zh-CN"/>
        </w:rPr>
        <w:t>已享受就业部门一次性吸纳补贴的不允许申报。通过调用就业部门“一次性吸纳就业”接口校验。</w:t>
      </w:r>
      <w:bookmarkEnd w:id="36"/>
      <w:bookmarkEnd w:id="37"/>
    </w:p>
    <w:p>
      <w:pPr>
        <w:numPr>
          <w:ilvl w:val="0"/>
          <w:numId w:val="0"/>
        </w:numPr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1"/>
          <w:szCs w:val="21"/>
        </w:rPr>
        <w:drawing>
          <wp:inline distT="0" distB="0" distL="114300" distR="114300">
            <wp:extent cx="5273675" cy="2537460"/>
            <wp:effectExtent l="0" t="0" r="14605" b="7620"/>
            <wp:docPr id="5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5"/>
        </w:numPr>
        <w:ind w:left="709" w:leftChars="0" w:hanging="709" w:firstLineChars="0"/>
        <w:outlineLvl w:val="2"/>
        <w:rPr>
          <w:rFonts w:hint="eastAsia" w:ascii="仿宋" w:hAnsi="仿宋" w:eastAsia="仿宋"/>
          <w:sz w:val="28"/>
          <w:szCs w:val="28"/>
          <w:lang w:val="en-US" w:eastAsia="zh-CN"/>
        </w:rPr>
      </w:pPr>
      <w:bookmarkStart w:id="38" w:name="_Toc5162"/>
      <w:bookmarkStart w:id="39" w:name="_Toc24311"/>
      <w:r>
        <w:rPr>
          <w:rFonts w:hint="eastAsia" w:ascii="仿宋" w:hAnsi="仿宋" w:eastAsia="仿宋"/>
          <w:sz w:val="28"/>
          <w:szCs w:val="28"/>
          <w:lang w:val="en-US" w:eastAsia="zh-CN"/>
        </w:rPr>
        <w:t>毕业证书时间不在20220101-20231213的不允许申报。</w:t>
      </w:r>
      <w:bookmarkEnd w:id="38"/>
      <w:bookmarkEnd w:id="39"/>
    </w:p>
    <w:p>
      <w:pPr>
        <w:numPr>
          <w:ilvl w:val="0"/>
          <w:numId w:val="0"/>
        </w:numPr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1"/>
          <w:szCs w:val="21"/>
        </w:rPr>
        <w:drawing>
          <wp:inline distT="0" distB="0" distL="114300" distR="114300">
            <wp:extent cx="5267960" cy="2535555"/>
            <wp:effectExtent l="0" t="0" r="5080" b="9525"/>
            <wp:docPr id="5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5"/>
        </w:numPr>
        <w:ind w:left="709" w:leftChars="0" w:hanging="709" w:firstLineChars="0"/>
        <w:outlineLvl w:val="2"/>
        <w:rPr>
          <w:rFonts w:hint="eastAsia" w:ascii="仿宋" w:hAnsi="仿宋" w:eastAsia="仿宋"/>
          <w:sz w:val="28"/>
          <w:szCs w:val="28"/>
          <w:lang w:val="en-US" w:eastAsia="zh-CN"/>
        </w:rPr>
      </w:pPr>
      <w:bookmarkStart w:id="40" w:name="_Toc8828"/>
      <w:bookmarkStart w:id="41" w:name="_Toc12403"/>
      <w:r>
        <w:rPr>
          <w:rFonts w:hint="eastAsia" w:ascii="仿宋" w:hAnsi="仿宋" w:eastAsia="仿宋"/>
          <w:sz w:val="28"/>
          <w:szCs w:val="28"/>
          <w:lang w:val="en-US" w:eastAsia="zh-CN"/>
        </w:rPr>
        <w:t>非2023年及离校两年内高校毕业生不允许申报</w:t>
      </w:r>
      <w:bookmarkEnd w:id="40"/>
      <w:bookmarkEnd w:id="41"/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通过调用教育部“普通高校应届毕业生身份核验”接口校验。</w:t>
      </w:r>
    </w:p>
    <w:p>
      <w:pPr>
        <w:numPr>
          <w:ilvl w:val="0"/>
          <w:numId w:val="0"/>
        </w:numPr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drawing>
          <wp:inline distT="0" distB="0" distL="114300" distR="114300">
            <wp:extent cx="5267325" cy="2444115"/>
            <wp:effectExtent l="0" t="0" r="5715" b="9525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5"/>
        </w:numPr>
        <w:ind w:left="709" w:leftChars="0" w:hanging="709" w:firstLineChars="0"/>
        <w:outlineLvl w:val="2"/>
        <w:rPr>
          <w:rFonts w:hint="eastAsia" w:ascii="仿宋" w:hAnsi="仿宋" w:eastAsia="仿宋"/>
          <w:sz w:val="28"/>
          <w:szCs w:val="28"/>
          <w:lang w:val="en-US" w:eastAsia="zh-CN"/>
        </w:rPr>
      </w:pPr>
      <w:bookmarkStart w:id="42" w:name="_Toc19276"/>
      <w:bookmarkStart w:id="43" w:name="_Toc10053"/>
      <w:r>
        <w:rPr>
          <w:rFonts w:hint="eastAsia" w:ascii="仿宋" w:hAnsi="仿宋" w:eastAsia="仿宋"/>
          <w:sz w:val="28"/>
          <w:szCs w:val="28"/>
          <w:lang w:val="en-US" w:eastAsia="zh-CN"/>
        </w:rPr>
        <w:t>未查询到失业青年登记相关信息不允许申报。通过调用就业部门“就业失业登记信息”校验。</w:t>
      </w:r>
      <w:bookmarkEnd w:id="42"/>
      <w:bookmarkEnd w:id="43"/>
    </w:p>
    <w:p>
      <w:pPr>
        <w:numPr>
          <w:ilvl w:val="0"/>
          <w:numId w:val="0"/>
        </w:numPr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1"/>
          <w:szCs w:val="21"/>
        </w:rPr>
        <w:drawing>
          <wp:inline distT="0" distB="0" distL="114300" distR="114300">
            <wp:extent cx="5274310" cy="2514600"/>
            <wp:effectExtent l="0" t="0" r="13970" b="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1"/>
    <w:p>
      <w:pPr>
        <w:numPr>
          <w:ilvl w:val="0"/>
          <w:numId w:val="0"/>
        </w:numPr>
        <w:rPr>
          <w:rFonts w:hint="eastAsia" w:ascii="仿宋" w:hAnsi="仿宋" w:eastAsia="仿宋"/>
          <w:sz w:val="28"/>
          <w:szCs w:val="28"/>
          <w:lang w:val="zh-CN" w:eastAsia="zh-CN"/>
        </w:rPr>
      </w:pPr>
    </w:p>
    <w:p>
      <w:pPr>
        <w:rPr>
          <w:rFonts w:hint="eastAsia" w:ascii="仿宋" w:hAnsi="仿宋" w:eastAsia="仿宋" w:cstheme="minorBidi"/>
          <w:b/>
          <w:bCs/>
          <w:color w:val="auto"/>
          <w:sz w:val="24"/>
          <w:szCs w:val="24"/>
          <w:lang w:val="zh-CN" w:eastAsia="zh-CN"/>
        </w:rPr>
      </w:pPr>
    </w:p>
    <w:sectPr>
      <w:footerReference r:id="rId6" w:type="default"/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jc w:val="center"/>
      <w:rPr>
        <w:rFonts w:ascii="仿宋" w:hAnsi="仿宋" w:eastAsia="仿宋"/>
        <w:sz w:val="21"/>
        <w:szCs w:val="21"/>
      </w:rPr>
    </w:pPr>
  </w:p>
  <w:p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570809483"/>
      <w:docPartObj>
        <w:docPartGallery w:val="autotext"/>
      </w:docPartObj>
    </w:sdtPr>
    <w:sdtContent>
      <w:p>
        <w:pPr>
          <w:pStyle w:val="1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27</w:t>
        </w:r>
        <w:r>
          <w:fldChar w:fldCharType="end"/>
        </w:r>
      </w:p>
    </w:sdtContent>
  </w:sdt>
  <w:p>
    <w:pPr>
      <w:pStyle w:val="1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EFDD664"/>
    <w:multiLevelType w:val="multilevel"/>
    <w:tmpl w:val="AEFDD664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7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8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9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10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1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BA7C499F"/>
    <w:multiLevelType w:val="multilevel"/>
    <w:tmpl w:val="BA7C499F"/>
    <w:lvl w:ilvl="0" w:tentative="0">
      <w:start w:val="2"/>
      <w:numFmt w:val="decimal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 w:ascii="宋体" w:hAnsi="宋体" w:eastAsia="宋体" w:cs="宋体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2">
    <w:nsid w:val="1731E266"/>
    <w:multiLevelType w:val="multilevel"/>
    <w:tmpl w:val="1731E266"/>
    <w:lvl w:ilvl="0" w:tentative="0">
      <w:start w:val="2"/>
      <w:numFmt w:val="decimal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2"/>
      <w:numFmt w:val="decimal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 w:ascii="宋体" w:hAnsi="宋体" w:eastAsia="宋体" w:cs="宋体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3">
    <w:nsid w:val="42EC0D37"/>
    <w:multiLevelType w:val="multilevel"/>
    <w:tmpl w:val="42EC0D37"/>
    <w:lvl w:ilvl="0" w:tentative="0">
      <w:start w:val="1"/>
      <w:numFmt w:val="decimal"/>
      <w:isLgl/>
      <w:lvlText w:val="%1"/>
      <w:lvlJc w:val="left"/>
      <w:pPr>
        <w:tabs>
          <w:tab w:val="left" w:pos="432"/>
        </w:tabs>
        <w:ind w:left="432" w:hanging="432"/>
      </w:pPr>
      <w:rPr>
        <w:rFonts w:hint="eastAsia" w:ascii="宋体" w:hAnsi="宋体" w:eastAsia="宋体"/>
        <w:b/>
        <w:i w:val="0"/>
        <w:sz w:val="32"/>
        <w:szCs w:val="32"/>
      </w:rPr>
    </w:lvl>
    <w:lvl w:ilvl="1" w:tentative="0">
      <w:start w:val="1"/>
      <w:numFmt w:val="decimal"/>
      <w:isLgl/>
      <w:lvlText w:val="%1.%2"/>
      <w:lvlJc w:val="left"/>
      <w:pPr>
        <w:tabs>
          <w:tab w:val="left" w:pos="576"/>
        </w:tabs>
        <w:ind w:left="576" w:hanging="576"/>
      </w:pPr>
      <w:rPr>
        <w:rFonts w:hint="eastAsia" w:eastAsia="宋体"/>
        <w:b/>
        <w:i w:val="0"/>
        <w:sz w:val="24"/>
        <w:szCs w:val="24"/>
      </w:rPr>
    </w:lvl>
    <w:lvl w:ilvl="2" w:tentative="0">
      <w:start w:val="1"/>
      <w:numFmt w:val="decimal"/>
      <w:isLgl/>
      <w:lvlText w:val="%1.%2.%3"/>
      <w:lvlJc w:val="left"/>
      <w:pPr>
        <w:tabs>
          <w:tab w:val="left" w:pos="1146"/>
        </w:tabs>
        <w:ind w:left="1146" w:hanging="720"/>
      </w:pPr>
      <w:rPr>
        <w:rFonts w:hint="eastAsia" w:ascii="宋体" w:hAnsi="宋体" w:eastAsia="宋体"/>
        <w:b w:val="0"/>
        <w:i w:val="0"/>
        <w:sz w:val="24"/>
        <w:szCs w:val="24"/>
      </w:rPr>
    </w:lvl>
    <w:lvl w:ilvl="3" w:tentative="0">
      <w:start w:val="1"/>
      <w:numFmt w:val="decimal"/>
      <w:lvlText w:val="%1.%2.%3.%4"/>
      <w:lvlJc w:val="left"/>
      <w:pPr>
        <w:tabs>
          <w:tab w:val="left" w:pos="1431"/>
        </w:tabs>
        <w:ind w:left="1431" w:hanging="864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  <w:num w:numId="2">
    <w:abstractNumId w:val="3"/>
    <w:lvlOverride w:ilvl="0">
      <w:startOverride w:val="1"/>
    </w:lvlOverride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MjRiMTBkOGM5MGI0NDM0OWU4NWQ2ZjgyMjBjOTI4NWUifQ=="/>
  </w:docVars>
  <w:rsids>
    <w:rsidRoot w:val="00D31D50"/>
    <w:rsid w:val="000117CC"/>
    <w:rsid w:val="00014EE8"/>
    <w:rsid w:val="00022438"/>
    <w:rsid w:val="00025475"/>
    <w:rsid w:val="000268D2"/>
    <w:rsid w:val="00031E6E"/>
    <w:rsid w:val="00036EFA"/>
    <w:rsid w:val="00055FA8"/>
    <w:rsid w:val="00056A75"/>
    <w:rsid w:val="00061394"/>
    <w:rsid w:val="00065BD9"/>
    <w:rsid w:val="00066CEB"/>
    <w:rsid w:val="00072FCE"/>
    <w:rsid w:val="00073674"/>
    <w:rsid w:val="00077997"/>
    <w:rsid w:val="00077DAD"/>
    <w:rsid w:val="000846DD"/>
    <w:rsid w:val="00085792"/>
    <w:rsid w:val="0008585E"/>
    <w:rsid w:val="000A2882"/>
    <w:rsid w:val="000A3403"/>
    <w:rsid w:val="000A42ED"/>
    <w:rsid w:val="000A4FF4"/>
    <w:rsid w:val="000A7A8B"/>
    <w:rsid w:val="000B3437"/>
    <w:rsid w:val="000B35A2"/>
    <w:rsid w:val="000C5F3A"/>
    <w:rsid w:val="000D01D8"/>
    <w:rsid w:val="000D01DF"/>
    <w:rsid w:val="000D59CD"/>
    <w:rsid w:val="000E2531"/>
    <w:rsid w:val="000E7047"/>
    <w:rsid w:val="000F0440"/>
    <w:rsid w:val="000F60E7"/>
    <w:rsid w:val="00104314"/>
    <w:rsid w:val="0012339A"/>
    <w:rsid w:val="0013120F"/>
    <w:rsid w:val="00131681"/>
    <w:rsid w:val="00143B36"/>
    <w:rsid w:val="0016236C"/>
    <w:rsid w:val="0016431C"/>
    <w:rsid w:val="0017397D"/>
    <w:rsid w:val="001811D5"/>
    <w:rsid w:val="00181FC3"/>
    <w:rsid w:val="0018284E"/>
    <w:rsid w:val="001830F2"/>
    <w:rsid w:val="001859E4"/>
    <w:rsid w:val="001872E5"/>
    <w:rsid w:val="00197512"/>
    <w:rsid w:val="00197FC7"/>
    <w:rsid w:val="001A22E2"/>
    <w:rsid w:val="001A3F8D"/>
    <w:rsid w:val="001A6816"/>
    <w:rsid w:val="001A6A90"/>
    <w:rsid w:val="001C1FA9"/>
    <w:rsid w:val="001C5FBC"/>
    <w:rsid w:val="001E1408"/>
    <w:rsid w:val="001F0400"/>
    <w:rsid w:val="001F2CC6"/>
    <w:rsid w:val="002011A4"/>
    <w:rsid w:val="00206D8A"/>
    <w:rsid w:val="002118F9"/>
    <w:rsid w:val="0021353A"/>
    <w:rsid w:val="00215385"/>
    <w:rsid w:val="00217711"/>
    <w:rsid w:val="00222B04"/>
    <w:rsid w:val="00240067"/>
    <w:rsid w:val="00253BE4"/>
    <w:rsid w:val="0025441B"/>
    <w:rsid w:val="00254DB0"/>
    <w:rsid w:val="002627DE"/>
    <w:rsid w:val="00274E5E"/>
    <w:rsid w:val="00282AF0"/>
    <w:rsid w:val="00283E5A"/>
    <w:rsid w:val="00284105"/>
    <w:rsid w:val="00285B44"/>
    <w:rsid w:val="00287F15"/>
    <w:rsid w:val="002937CE"/>
    <w:rsid w:val="00295DD6"/>
    <w:rsid w:val="0029602C"/>
    <w:rsid w:val="002A0D68"/>
    <w:rsid w:val="002A5858"/>
    <w:rsid w:val="002B00E8"/>
    <w:rsid w:val="002B205F"/>
    <w:rsid w:val="002C0750"/>
    <w:rsid w:val="002C50D1"/>
    <w:rsid w:val="002E70BB"/>
    <w:rsid w:val="002F46A2"/>
    <w:rsid w:val="003003B1"/>
    <w:rsid w:val="00305417"/>
    <w:rsid w:val="00311B66"/>
    <w:rsid w:val="003141C1"/>
    <w:rsid w:val="0031656E"/>
    <w:rsid w:val="00316846"/>
    <w:rsid w:val="00323410"/>
    <w:rsid w:val="00323B43"/>
    <w:rsid w:val="00336FE0"/>
    <w:rsid w:val="00337080"/>
    <w:rsid w:val="0034427E"/>
    <w:rsid w:val="0035180A"/>
    <w:rsid w:val="00357829"/>
    <w:rsid w:val="003673E8"/>
    <w:rsid w:val="00383CC1"/>
    <w:rsid w:val="003900C9"/>
    <w:rsid w:val="00390C3B"/>
    <w:rsid w:val="00392F2D"/>
    <w:rsid w:val="0039497D"/>
    <w:rsid w:val="003A53AD"/>
    <w:rsid w:val="003B73C4"/>
    <w:rsid w:val="003C3643"/>
    <w:rsid w:val="003C48C6"/>
    <w:rsid w:val="003D1391"/>
    <w:rsid w:val="003D37D8"/>
    <w:rsid w:val="003E0614"/>
    <w:rsid w:val="003E18C1"/>
    <w:rsid w:val="003F525A"/>
    <w:rsid w:val="004058C3"/>
    <w:rsid w:val="0040606C"/>
    <w:rsid w:val="00407381"/>
    <w:rsid w:val="0041600C"/>
    <w:rsid w:val="00426133"/>
    <w:rsid w:val="00426BE2"/>
    <w:rsid w:val="00435450"/>
    <w:rsid w:val="004358AB"/>
    <w:rsid w:val="004358D1"/>
    <w:rsid w:val="00445976"/>
    <w:rsid w:val="00445D43"/>
    <w:rsid w:val="004546EB"/>
    <w:rsid w:val="00456CC9"/>
    <w:rsid w:val="00460262"/>
    <w:rsid w:val="00482A57"/>
    <w:rsid w:val="00483A2E"/>
    <w:rsid w:val="00495CE4"/>
    <w:rsid w:val="004A1CBA"/>
    <w:rsid w:val="004A53FF"/>
    <w:rsid w:val="004A6362"/>
    <w:rsid w:val="004A7B08"/>
    <w:rsid w:val="004C0E90"/>
    <w:rsid w:val="004C48E6"/>
    <w:rsid w:val="004D7964"/>
    <w:rsid w:val="004E2041"/>
    <w:rsid w:val="004E3777"/>
    <w:rsid w:val="004E46D7"/>
    <w:rsid w:val="004E596B"/>
    <w:rsid w:val="005031FE"/>
    <w:rsid w:val="00504B75"/>
    <w:rsid w:val="00505177"/>
    <w:rsid w:val="00513E7D"/>
    <w:rsid w:val="00527F8F"/>
    <w:rsid w:val="00550B6B"/>
    <w:rsid w:val="005529C0"/>
    <w:rsid w:val="00555756"/>
    <w:rsid w:val="00566B71"/>
    <w:rsid w:val="00572B59"/>
    <w:rsid w:val="005744F0"/>
    <w:rsid w:val="0058015F"/>
    <w:rsid w:val="00580D55"/>
    <w:rsid w:val="00594269"/>
    <w:rsid w:val="005A0256"/>
    <w:rsid w:val="005A3DCC"/>
    <w:rsid w:val="005A58BD"/>
    <w:rsid w:val="005A6BB0"/>
    <w:rsid w:val="005B76BB"/>
    <w:rsid w:val="005C0A79"/>
    <w:rsid w:val="005C58D4"/>
    <w:rsid w:val="005D157A"/>
    <w:rsid w:val="005D28FE"/>
    <w:rsid w:val="005D2E4A"/>
    <w:rsid w:val="005E1F04"/>
    <w:rsid w:val="005E67FB"/>
    <w:rsid w:val="005F2A77"/>
    <w:rsid w:val="005F4619"/>
    <w:rsid w:val="006041F3"/>
    <w:rsid w:val="00605EAB"/>
    <w:rsid w:val="006268BA"/>
    <w:rsid w:val="006304D3"/>
    <w:rsid w:val="00637826"/>
    <w:rsid w:val="00660155"/>
    <w:rsid w:val="006751B7"/>
    <w:rsid w:val="006768BE"/>
    <w:rsid w:val="006843C9"/>
    <w:rsid w:val="00693B3A"/>
    <w:rsid w:val="00693F32"/>
    <w:rsid w:val="006940A0"/>
    <w:rsid w:val="00694458"/>
    <w:rsid w:val="006A4F8A"/>
    <w:rsid w:val="006B14B8"/>
    <w:rsid w:val="006B5C6C"/>
    <w:rsid w:val="006C267E"/>
    <w:rsid w:val="006D04B3"/>
    <w:rsid w:val="006D1D93"/>
    <w:rsid w:val="006D5302"/>
    <w:rsid w:val="006E1EF4"/>
    <w:rsid w:val="007132CB"/>
    <w:rsid w:val="00713576"/>
    <w:rsid w:val="0071634D"/>
    <w:rsid w:val="00736F55"/>
    <w:rsid w:val="00744D1C"/>
    <w:rsid w:val="00746B63"/>
    <w:rsid w:val="00752EC6"/>
    <w:rsid w:val="00754106"/>
    <w:rsid w:val="0075753D"/>
    <w:rsid w:val="00762BCE"/>
    <w:rsid w:val="00766B40"/>
    <w:rsid w:val="007715E1"/>
    <w:rsid w:val="00790127"/>
    <w:rsid w:val="007A3DF2"/>
    <w:rsid w:val="007B2865"/>
    <w:rsid w:val="007C62D8"/>
    <w:rsid w:val="007D4404"/>
    <w:rsid w:val="007E0296"/>
    <w:rsid w:val="007E72BF"/>
    <w:rsid w:val="007E739E"/>
    <w:rsid w:val="007E7884"/>
    <w:rsid w:val="007F4BDC"/>
    <w:rsid w:val="007F5082"/>
    <w:rsid w:val="00801136"/>
    <w:rsid w:val="008109CD"/>
    <w:rsid w:val="00813AD5"/>
    <w:rsid w:val="00814328"/>
    <w:rsid w:val="0081587E"/>
    <w:rsid w:val="0082000C"/>
    <w:rsid w:val="00822352"/>
    <w:rsid w:val="0082722E"/>
    <w:rsid w:val="008337B9"/>
    <w:rsid w:val="008351C5"/>
    <w:rsid w:val="00844F02"/>
    <w:rsid w:val="00846667"/>
    <w:rsid w:val="008510E8"/>
    <w:rsid w:val="00852B02"/>
    <w:rsid w:val="008555AD"/>
    <w:rsid w:val="00861B2E"/>
    <w:rsid w:val="008711BB"/>
    <w:rsid w:val="008811AE"/>
    <w:rsid w:val="00885C10"/>
    <w:rsid w:val="00897BDF"/>
    <w:rsid w:val="008A4755"/>
    <w:rsid w:val="008B006F"/>
    <w:rsid w:val="008B2B88"/>
    <w:rsid w:val="008B6169"/>
    <w:rsid w:val="008B7726"/>
    <w:rsid w:val="008C5F41"/>
    <w:rsid w:val="008C7196"/>
    <w:rsid w:val="008D0AB8"/>
    <w:rsid w:val="008E016B"/>
    <w:rsid w:val="008F1414"/>
    <w:rsid w:val="008F6EF2"/>
    <w:rsid w:val="00902B7F"/>
    <w:rsid w:val="00910A1D"/>
    <w:rsid w:val="00913E23"/>
    <w:rsid w:val="00913E7F"/>
    <w:rsid w:val="0092028C"/>
    <w:rsid w:val="009260AC"/>
    <w:rsid w:val="00927C85"/>
    <w:rsid w:val="00941A69"/>
    <w:rsid w:val="00944C56"/>
    <w:rsid w:val="00947FD1"/>
    <w:rsid w:val="00952995"/>
    <w:rsid w:val="009547D1"/>
    <w:rsid w:val="009619B3"/>
    <w:rsid w:val="00963077"/>
    <w:rsid w:val="00971BF7"/>
    <w:rsid w:val="0097623D"/>
    <w:rsid w:val="0097752E"/>
    <w:rsid w:val="00977726"/>
    <w:rsid w:val="00980D16"/>
    <w:rsid w:val="00983E27"/>
    <w:rsid w:val="009A080C"/>
    <w:rsid w:val="009B093A"/>
    <w:rsid w:val="009B2FBB"/>
    <w:rsid w:val="009B7576"/>
    <w:rsid w:val="009C28F8"/>
    <w:rsid w:val="009C302D"/>
    <w:rsid w:val="009C71A9"/>
    <w:rsid w:val="009D3E1B"/>
    <w:rsid w:val="009E1D3B"/>
    <w:rsid w:val="009F138C"/>
    <w:rsid w:val="00A0318E"/>
    <w:rsid w:val="00A138DB"/>
    <w:rsid w:val="00A27114"/>
    <w:rsid w:val="00A27BC7"/>
    <w:rsid w:val="00A3369B"/>
    <w:rsid w:val="00A43639"/>
    <w:rsid w:val="00A43D0B"/>
    <w:rsid w:val="00A73121"/>
    <w:rsid w:val="00A77600"/>
    <w:rsid w:val="00A87517"/>
    <w:rsid w:val="00A954B2"/>
    <w:rsid w:val="00A9707A"/>
    <w:rsid w:val="00AC49A8"/>
    <w:rsid w:val="00AD0E56"/>
    <w:rsid w:val="00AD30ED"/>
    <w:rsid w:val="00AE00DB"/>
    <w:rsid w:val="00AE3B6A"/>
    <w:rsid w:val="00B02251"/>
    <w:rsid w:val="00B03149"/>
    <w:rsid w:val="00B06253"/>
    <w:rsid w:val="00B13BC9"/>
    <w:rsid w:val="00B14879"/>
    <w:rsid w:val="00B21C7E"/>
    <w:rsid w:val="00B34B1D"/>
    <w:rsid w:val="00B44C71"/>
    <w:rsid w:val="00B45A95"/>
    <w:rsid w:val="00B50197"/>
    <w:rsid w:val="00B52B54"/>
    <w:rsid w:val="00B54594"/>
    <w:rsid w:val="00B5597F"/>
    <w:rsid w:val="00B635F5"/>
    <w:rsid w:val="00B66D45"/>
    <w:rsid w:val="00B70F2D"/>
    <w:rsid w:val="00B75828"/>
    <w:rsid w:val="00B7693D"/>
    <w:rsid w:val="00B77D3D"/>
    <w:rsid w:val="00B8042E"/>
    <w:rsid w:val="00B908FF"/>
    <w:rsid w:val="00B926E4"/>
    <w:rsid w:val="00B94B8C"/>
    <w:rsid w:val="00B96340"/>
    <w:rsid w:val="00BA60AD"/>
    <w:rsid w:val="00BA6C15"/>
    <w:rsid w:val="00BB37D3"/>
    <w:rsid w:val="00BB65B5"/>
    <w:rsid w:val="00BC0E77"/>
    <w:rsid w:val="00BF50BB"/>
    <w:rsid w:val="00C0537D"/>
    <w:rsid w:val="00C1502B"/>
    <w:rsid w:val="00C2327D"/>
    <w:rsid w:val="00C25977"/>
    <w:rsid w:val="00C2732B"/>
    <w:rsid w:val="00C43CEE"/>
    <w:rsid w:val="00C54C04"/>
    <w:rsid w:val="00C55FF9"/>
    <w:rsid w:val="00C571DB"/>
    <w:rsid w:val="00C826E3"/>
    <w:rsid w:val="00C84F41"/>
    <w:rsid w:val="00C9085F"/>
    <w:rsid w:val="00CA18DD"/>
    <w:rsid w:val="00CA7480"/>
    <w:rsid w:val="00CB107A"/>
    <w:rsid w:val="00CD14EA"/>
    <w:rsid w:val="00CD21F9"/>
    <w:rsid w:val="00CF2783"/>
    <w:rsid w:val="00CF3EEE"/>
    <w:rsid w:val="00CF611A"/>
    <w:rsid w:val="00D22A05"/>
    <w:rsid w:val="00D247E9"/>
    <w:rsid w:val="00D27E94"/>
    <w:rsid w:val="00D31D50"/>
    <w:rsid w:val="00D32131"/>
    <w:rsid w:val="00D340E5"/>
    <w:rsid w:val="00D3481F"/>
    <w:rsid w:val="00D37FE1"/>
    <w:rsid w:val="00D4325C"/>
    <w:rsid w:val="00D433F0"/>
    <w:rsid w:val="00D54747"/>
    <w:rsid w:val="00D56B93"/>
    <w:rsid w:val="00D65CDD"/>
    <w:rsid w:val="00D70D11"/>
    <w:rsid w:val="00D7523F"/>
    <w:rsid w:val="00D81AF8"/>
    <w:rsid w:val="00D875C3"/>
    <w:rsid w:val="00D94C87"/>
    <w:rsid w:val="00DA1EAF"/>
    <w:rsid w:val="00DC576E"/>
    <w:rsid w:val="00DD16A0"/>
    <w:rsid w:val="00DD7625"/>
    <w:rsid w:val="00DE715C"/>
    <w:rsid w:val="00DF0979"/>
    <w:rsid w:val="00DF165F"/>
    <w:rsid w:val="00DF3137"/>
    <w:rsid w:val="00E01282"/>
    <w:rsid w:val="00E0421E"/>
    <w:rsid w:val="00E1088B"/>
    <w:rsid w:val="00E12C1C"/>
    <w:rsid w:val="00E12CD3"/>
    <w:rsid w:val="00E17B7F"/>
    <w:rsid w:val="00E32E02"/>
    <w:rsid w:val="00E33312"/>
    <w:rsid w:val="00E35B9D"/>
    <w:rsid w:val="00E369F7"/>
    <w:rsid w:val="00E374C1"/>
    <w:rsid w:val="00E37BBA"/>
    <w:rsid w:val="00E37D96"/>
    <w:rsid w:val="00E4046C"/>
    <w:rsid w:val="00E42D04"/>
    <w:rsid w:val="00E44C60"/>
    <w:rsid w:val="00E4784D"/>
    <w:rsid w:val="00E55AB7"/>
    <w:rsid w:val="00E6476C"/>
    <w:rsid w:val="00E70FE8"/>
    <w:rsid w:val="00E72D17"/>
    <w:rsid w:val="00E73497"/>
    <w:rsid w:val="00E73AE8"/>
    <w:rsid w:val="00E87B3E"/>
    <w:rsid w:val="00EB252A"/>
    <w:rsid w:val="00EB2A37"/>
    <w:rsid w:val="00EB4EA0"/>
    <w:rsid w:val="00EB6459"/>
    <w:rsid w:val="00EC4D96"/>
    <w:rsid w:val="00ED03C3"/>
    <w:rsid w:val="00ED2485"/>
    <w:rsid w:val="00EE339C"/>
    <w:rsid w:val="00EE5264"/>
    <w:rsid w:val="00EF0B9A"/>
    <w:rsid w:val="00EF25A1"/>
    <w:rsid w:val="00F06E80"/>
    <w:rsid w:val="00F133F8"/>
    <w:rsid w:val="00F172A2"/>
    <w:rsid w:val="00F20E39"/>
    <w:rsid w:val="00F26D54"/>
    <w:rsid w:val="00F33974"/>
    <w:rsid w:val="00F3444B"/>
    <w:rsid w:val="00F3797C"/>
    <w:rsid w:val="00F40ADF"/>
    <w:rsid w:val="00F66C6B"/>
    <w:rsid w:val="00F813AE"/>
    <w:rsid w:val="00F817B3"/>
    <w:rsid w:val="00F84C92"/>
    <w:rsid w:val="00F86A9D"/>
    <w:rsid w:val="00FA3419"/>
    <w:rsid w:val="00FB6A4C"/>
    <w:rsid w:val="00FB79D9"/>
    <w:rsid w:val="00FB7DC6"/>
    <w:rsid w:val="00FC7632"/>
    <w:rsid w:val="00FD55F4"/>
    <w:rsid w:val="00FE3B15"/>
    <w:rsid w:val="00FE7561"/>
    <w:rsid w:val="00FF2BAE"/>
    <w:rsid w:val="00FF7F03"/>
    <w:rsid w:val="01B97F5E"/>
    <w:rsid w:val="0A540824"/>
    <w:rsid w:val="12A52565"/>
    <w:rsid w:val="13E677A1"/>
    <w:rsid w:val="1ED63AA6"/>
    <w:rsid w:val="217220BA"/>
    <w:rsid w:val="22FC5850"/>
    <w:rsid w:val="27684A40"/>
    <w:rsid w:val="2B0A0D5F"/>
    <w:rsid w:val="2CC5520C"/>
    <w:rsid w:val="34B66224"/>
    <w:rsid w:val="3529097C"/>
    <w:rsid w:val="442C18EF"/>
    <w:rsid w:val="4ABC12E4"/>
    <w:rsid w:val="4BE544FF"/>
    <w:rsid w:val="4C4130DB"/>
    <w:rsid w:val="53D17DBD"/>
    <w:rsid w:val="54D61FB2"/>
    <w:rsid w:val="55C81DAE"/>
    <w:rsid w:val="5ACA288E"/>
    <w:rsid w:val="5D045881"/>
    <w:rsid w:val="5E8616D7"/>
    <w:rsid w:val="5EAE1426"/>
    <w:rsid w:val="6012625E"/>
    <w:rsid w:val="61404918"/>
    <w:rsid w:val="678C42CF"/>
    <w:rsid w:val="7D014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qFormat="1" w:unhideWhenUsed="0" w:uiPriority="0" w:semiHidden="0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27"/>
    <w:qFormat/>
    <w:uiPriority w:val="0"/>
    <w:pPr>
      <w:keepNext/>
      <w:numPr>
        <w:ilvl w:val="0"/>
        <w:numId w:val="1"/>
      </w:numPr>
      <w:tabs>
        <w:tab w:val="left" w:pos="432"/>
      </w:tabs>
      <w:adjustRightInd/>
      <w:snapToGrid/>
      <w:spacing w:before="240" w:after="60"/>
      <w:outlineLvl w:val="0"/>
    </w:pPr>
    <w:rPr>
      <w:rFonts w:ascii="仿宋" w:hAnsi="仿宋" w:eastAsia="仿宋" w:cs="Times New Roman"/>
      <w:b/>
      <w:snapToGrid w:val="0"/>
      <w:color w:val="000000"/>
      <w:kern w:val="28"/>
      <w:sz w:val="32"/>
      <w:szCs w:val="28"/>
    </w:rPr>
  </w:style>
  <w:style w:type="paragraph" w:styleId="3">
    <w:name w:val="heading 2"/>
    <w:basedOn w:val="1"/>
    <w:next w:val="1"/>
    <w:link w:val="29"/>
    <w:qFormat/>
    <w:uiPriority w:val="0"/>
    <w:pPr>
      <w:keepNext/>
      <w:keepLines/>
      <w:widowControl w:val="0"/>
      <w:numPr>
        <w:ilvl w:val="1"/>
        <w:numId w:val="1"/>
      </w:numPr>
      <w:tabs>
        <w:tab w:val="left" w:pos="432"/>
        <w:tab w:val="left" w:pos="576"/>
      </w:tabs>
      <w:adjustRightInd/>
      <w:snapToGrid/>
      <w:spacing w:before="260" w:after="260" w:line="415" w:lineRule="auto"/>
      <w:ind w:left="575" w:hanging="575"/>
      <w:jc w:val="both"/>
      <w:outlineLvl w:val="1"/>
    </w:pPr>
    <w:rPr>
      <w:rFonts w:ascii="Arial" w:hAnsi="Arial" w:eastAsia="仿宋" w:cs="Times New Roman"/>
      <w:b/>
      <w:bCs/>
      <w:sz w:val="32"/>
      <w:szCs w:val="32"/>
    </w:rPr>
  </w:style>
  <w:style w:type="paragraph" w:styleId="4">
    <w:name w:val="heading 3"/>
    <w:basedOn w:val="1"/>
    <w:next w:val="1"/>
    <w:link w:val="30"/>
    <w:qFormat/>
    <w:uiPriority w:val="0"/>
    <w:pPr>
      <w:keepNext/>
      <w:keepLines/>
      <w:numPr>
        <w:ilvl w:val="2"/>
        <w:numId w:val="1"/>
      </w:numPr>
      <w:tabs>
        <w:tab w:val="left" w:pos="5940"/>
      </w:tabs>
      <w:adjustRightInd/>
      <w:snapToGrid/>
      <w:spacing w:beforeLines="50" w:afterLines="50" w:line="0" w:lineRule="atLeast"/>
      <w:ind w:left="720" w:hanging="720"/>
      <w:outlineLvl w:val="2"/>
    </w:pPr>
    <w:rPr>
      <w:rFonts w:ascii="Times New Roman" w:hAnsi="Times New Roman" w:eastAsia="仿宋" w:cs="Times New Roman"/>
      <w:b/>
      <w:bCs/>
      <w:sz w:val="24"/>
      <w:szCs w:val="24"/>
    </w:rPr>
  </w:style>
  <w:style w:type="paragraph" w:styleId="5">
    <w:name w:val="heading 4"/>
    <w:basedOn w:val="6"/>
    <w:next w:val="1"/>
    <w:link w:val="31"/>
    <w:qFormat/>
    <w:uiPriority w:val="0"/>
    <w:pPr>
      <w:numPr>
        <w:ilvl w:val="3"/>
        <w:numId w:val="1"/>
      </w:numPr>
      <w:spacing w:line="360" w:lineRule="auto"/>
      <w:ind w:left="864" w:hanging="864" w:firstLineChars="0"/>
      <w:outlineLvl w:val="3"/>
    </w:pPr>
    <w:rPr>
      <w:rFonts w:ascii="仿宋" w:hAnsi="仿宋" w:eastAsia="仿宋"/>
      <w:color w:val="000000"/>
      <w:sz w:val="28"/>
      <w:szCs w:val="28"/>
    </w:rPr>
  </w:style>
  <w:style w:type="paragraph" w:styleId="7">
    <w:name w:val="heading 5"/>
    <w:basedOn w:val="1"/>
    <w:next w:val="1"/>
    <w:semiHidden/>
    <w:unhideWhenUsed/>
    <w:qFormat/>
    <w:uiPriority w:val="9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8">
    <w:name w:val="heading 6"/>
    <w:basedOn w:val="1"/>
    <w:next w:val="1"/>
    <w:semiHidden/>
    <w:unhideWhenUsed/>
    <w:qFormat/>
    <w:uiPriority w:val="9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9">
    <w:name w:val="heading 7"/>
    <w:basedOn w:val="1"/>
    <w:next w:val="1"/>
    <w:semiHidden/>
    <w:unhideWhenUsed/>
    <w:qFormat/>
    <w:uiPriority w:val="9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10">
    <w:name w:val="heading 8"/>
    <w:basedOn w:val="1"/>
    <w:next w:val="1"/>
    <w:semiHidden/>
    <w:unhideWhenUsed/>
    <w:qFormat/>
    <w:uiPriority w:val="9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semiHidden/>
    <w:unhideWhenUsed/>
    <w:qFormat/>
    <w:uiPriority w:val="9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24">
    <w:name w:val="Default Paragraph Font"/>
    <w:semiHidden/>
    <w:unhideWhenUsed/>
    <w:qFormat/>
    <w:uiPriority w:val="1"/>
  </w:style>
  <w:style w:type="table" w:default="1" w:styleId="2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paragraph" w:styleId="12">
    <w:name w:val="Normal Indent"/>
    <w:basedOn w:val="1"/>
    <w:unhideWhenUsed/>
    <w:qFormat/>
    <w:uiPriority w:val="99"/>
    <w:pPr>
      <w:ind w:firstLine="420" w:firstLineChars="200"/>
    </w:pPr>
  </w:style>
  <w:style w:type="paragraph" w:styleId="13">
    <w:name w:val="Document Map"/>
    <w:basedOn w:val="1"/>
    <w:link w:val="28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14">
    <w:name w:val="annotation text"/>
    <w:basedOn w:val="1"/>
    <w:link w:val="36"/>
    <w:semiHidden/>
    <w:unhideWhenUsed/>
    <w:qFormat/>
    <w:uiPriority w:val="99"/>
  </w:style>
  <w:style w:type="paragraph" w:styleId="1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6">
    <w:name w:val="Balloon Text"/>
    <w:basedOn w:val="1"/>
    <w:link w:val="32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17">
    <w:name w:val="footer"/>
    <w:basedOn w:val="1"/>
    <w:link w:val="34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8">
    <w:name w:val="header"/>
    <w:basedOn w:val="1"/>
    <w:link w:val="3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9">
    <w:name w:val="toc 1"/>
    <w:basedOn w:val="1"/>
    <w:next w:val="1"/>
    <w:unhideWhenUsed/>
    <w:qFormat/>
    <w:uiPriority w:val="39"/>
    <w:pPr>
      <w:tabs>
        <w:tab w:val="left" w:pos="420"/>
        <w:tab w:val="right" w:leader="dot" w:pos="8296"/>
      </w:tabs>
    </w:pPr>
  </w:style>
  <w:style w:type="paragraph" w:styleId="20">
    <w:name w:val="footnote text"/>
    <w:basedOn w:val="1"/>
    <w:qFormat/>
    <w:uiPriority w:val="0"/>
    <w:pPr>
      <w:snapToGrid w:val="0"/>
      <w:jc w:val="left"/>
    </w:pPr>
    <w:rPr>
      <w:rFonts w:ascii="Times New Roman" w:hAnsi="Times New Roman" w:eastAsia="宋体" w:cs="Times New Roman"/>
      <w:szCs w:val="22"/>
    </w:rPr>
  </w:style>
  <w:style w:type="paragraph" w:styleId="21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2">
    <w:name w:val="annotation subject"/>
    <w:basedOn w:val="14"/>
    <w:next w:val="14"/>
    <w:link w:val="37"/>
    <w:semiHidden/>
    <w:unhideWhenUsed/>
    <w:qFormat/>
    <w:uiPriority w:val="99"/>
    <w:rPr>
      <w:b/>
      <w:bCs/>
    </w:rPr>
  </w:style>
  <w:style w:type="character" w:styleId="25">
    <w:name w:val="Hyperlink"/>
    <w:basedOn w:val="24"/>
    <w:unhideWhenUsed/>
    <w:qFormat/>
    <w:uiPriority w:val="99"/>
    <w:rPr>
      <w:color w:val="0000FF" w:themeColor="hyperlink"/>
      <w:u w:val="single"/>
    </w:rPr>
  </w:style>
  <w:style w:type="character" w:styleId="26">
    <w:name w:val="annotation reference"/>
    <w:basedOn w:val="24"/>
    <w:semiHidden/>
    <w:unhideWhenUsed/>
    <w:qFormat/>
    <w:uiPriority w:val="99"/>
    <w:rPr>
      <w:sz w:val="21"/>
      <w:szCs w:val="21"/>
    </w:rPr>
  </w:style>
  <w:style w:type="character" w:customStyle="1" w:styleId="27">
    <w:name w:val="标题 1 Char"/>
    <w:basedOn w:val="24"/>
    <w:link w:val="2"/>
    <w:qFormat/>
    <w:uiPriority w:val="0"/>
    <w:rPr>
      <w:rFonts w:ascii="仿宋" w:hAnsi="仿宋" w:eastAsia="仿宋" w:cs="Times New Roman"/>
      <w:b/>
      <w:snapToGrid w:val="0"/>
      <w:color w:val="000000"/>
      <w:kern w:val="28"/>
      <w:sz w:val="32"/>
      <w:szCs w:val="28"/>
    </w:rPr>
  </w:style>
  <w:style w:type="character" w:customStyle="1" w:styleId="28">
    <w:name w:val="文档结构图 Char"/>
    <w:basedOn w:val="24"/>
    <w:link w:val="13"/>
    <w:semiHidden/>
    <w:qFormat/>
    <w:uiPriority w:val="99"/>
    <w:rPr>
      <w:rFonts w:ascii="宋体" w:hAnsi="Tahoma" w:eastAsia="宋体"/>
      <w:sz w:val="18"/>
      <w:szCs w:val="18"/>
    </w:rPr>
  </w:style>
  <w:style w:type="character" w:customStyle="1" w:styleId="29">
    <w:name w:val="标题 2 Char"/>
    <w:basedOn w:val="24"/>
    <w:link w:val="3"/>
    <w:qFormat/>
    <w:uiPriority w:val="0"/>
    <w:rPr>
      <w:rFonts w:ascii="Arial" w:hAnsi="Arial" w:eastAsia="仿宋" w:cs="Times New Roman"/>
      <w:b/>
      <w:bCs/>
      <w:sz w:val="32"/>
      <w:szCs w:val="32"/>
    </w:rPr>
  </w:style>
  <w:style w:type="character" w:customStyle="1" w:styleId="30">
    <w:name w:val="标题 3 Char"/>
    <w:basedOn w:val="24"/>
    <w:link w:val="4"/>
    <w:qFormat/>
    <w:uiPriority w:val="0"/>
    <w:rPr>
      <w:rFonts w:ascii="Times New Roman" w:hAnsi="Times New Roman" w:eastAsia="仿宋" w:cs="Times New Roman"/>
      <w:b/>
      <w:bCs/>
      <w:sz w:val="24"/>
      <w:szCs w:val="24"/>
    </w:rPr>
  </w:style>
  <w:style w:type="character" w:customStyle="1" w:styleId="31">
    <w:name w:val="标题 4 Char"/>
    <w:basedOn w:val="24"/>
    <w:link w:val="5"/>
    <w:qFormat/>
    <w:uiPriority w:val="0"/>
    <w:rPr>
      <w:rFonts w:ascii="仿宋" w:hAnsi="仿宋" w:eastAsia="仿宋"/>
      <w:color w:val="000000"/>
      <w:sz w:val="28"/>
      <w:szCs w:val="28"/>
    </w:rPr>
  </w:style>
  <w:style w:type="character" w:customStyle="1" w:styleId="32">
    <w:name w:val="批注框文本 Char"/>
    <w:basedOn w:val="24"/>
    <w:link w:val="16"/>
    <w:semiHidden/>
    <w:qFormat/>
    <w:uiPriority w:val="99"/>
    <w:rPr>
      <w:rFonts w:ascii="Tahoma" w:hAnsi="Tahoma"/>
      <w:sz w:val="18"/>
      <w:szCs w:val="18"/>
    </w:rPr>
  </w:style>
  <w:style w:type="character" w:customStyle="1" w:styleId="33">
    <w:name w:val="页眉 Char"/>
    <w:basedOn w:val="24"/>
    <w:link w:val="18"/>
    <w:qFormat/>
    <w:uiPriority w:val="99"/>
    <w:rPr>
      <w:rFonts w:ascii="Tahoma" w:hAnsi="Tahoma"/>
      <w:sz w:val="18"/>
      <w:szCs w:val="18"/>
    </w:rPr>
  </w:style>
  <w:style w:type="character" w:customStyle="1" w:styleId="34">
    <w:name w:val="页脚 Char"/>
    <w:basedOn w:val="24"/>
    <w:link w:val="17"/>
    <w:qFormat/>
    <w:uiPriority w:val="99"/>
    <w:rPr>
      <w:rFonts w:ascii="Tahoma" w:hAnsi="Tahoma"/>
      <w:sz w:val="18"/>
      <w:szCs w:val="18"/>
    </w:rPr>
  </w:style>
  <w:style w:type="paragraph" w:customStyle="1" w:styleId="35">
    <w:name w:val="TOC Heading"/>
    <w:basedOn w:val="2"/>
    <w:next w:val="1"/>
    <w:unhideWhenUsed/>
    <w:qFormat/>
    <w:uiPriority w:val="39"/>
    <w:pPr>
      <w:keepLines/>
      <w:numPr>
        <w:numId w:val="0"/>
      </w:numPr>
      <w:tabs>
        <w:tab w:val="clear" w:pos="432"/>
      </w:tabs>
      <w:spacing w:after="0" w:line="259" w:lineRule="auto"/>
      <w:outlineLvl w:val="9"/>
    </w:pPr>
    <w:rPr>
      <w:rFonts w:asciiTheme="majorHAnsi" w:hAnsiTheme="majorHAnsi" w:eastAsiaTheme="majorEastAsia" w:cstheme="majorBidi"/>
      <w:b w:val="0"/>
      <w:snapToGrid/>
      <w:color w:val="366091" w:themeColor="accent1" w:themeShade="BF"/>
      <w:kern w:val="0"/>
      <w:szCs w:val="32"/>
    </w:rPr>
  </w:style>
  <w:style w:type="character" w:customStyle="1" w:styleId="36">
    <w:name w:val="批注文字 Char"/>
    <w:basedOn w:val="24"/>
    <w:link w:val="14"/>
    <w:semiHidden/>
    <w:qFormat/>
    <w:uiPriority w:val="99"/>
    <w:rPr>
      <w:rFonts w:ascii="Tahoma" w:hAnsi="Tahoma"/>
    </w:rPr>
  </w:style>
  <w:style w:type="character" w:customStyle="1" w:styleId="37">
    <w:name w:val="批注主题 Char"/>
    <w:basedOn w:val="36"/>
    <w:link w:val="22"/>
    <w:semiHidden/>
    <w:qFormat/>
    <w:uiPriority w:val="99"/>
    <w:rPr>
      <w:rFonts w:ascii="Tahoma" w:hAnsi="Tahoma"/>
      <w:b/>
      <w:bCs/>
    </w:rPr>
  </w:style>
  <w:style w:type="paragraph" w:customStyle="1" w:styleId="38">
    <w:name w:val="Revision"/>
    <w:hidden/>
    <w:semiHidden/>
    <w:qFormat/>
    <w:uiPriority w:val="99"/>
    <w:pPr>
      <w:spacing w:after="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numbering" Target="numbering.xml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17D7582-95FA-4089-B3F5-52C4EA33CDB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1355</Words>
  <Characters>1498</Characters>
  <Lines>59</Lines>
  <Paragraphs>16</Paragraphs>
  <TotalTime>0</TotalTime>
  <ScaleCrop>false</ScaleCrop>
  <LinksUpToDate>false</LinksUpToDate>
  <CharactersWithSpaces>1636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Haike-shi</dc:creator>
  <cp:lastModifiedBy>海阔天空</cp:lastModifiedBy>
  <dcterms:modified xsi:type="dcterms:W3CDTF">2023-10-30T07:47:31Z</dcterms:modified>
  <cp:revision>846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336BBD22D8604C5A924FFE90D4438EEE</vt:lpwstr>
  </property>
</Properties>
</file>