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EFA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2848A8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154A15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642169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1052D4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1FC280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7C5839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575338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微软雅黑" w:hAnsi="微软雅黑" w:eastAsia="微软雅黑" w:cs="微软雅黑"/>
          <w:i w:val="0"/>
          <w:iCs w:val="0"/>
          <w:caps w:val="0"/>
          <w:color w:val="444444"/>
          <w:spacing w:val="0"/>
          <w:sz w:val="56"/>
          <w:szCs w:val="56"/>
        </w:rPr>
      </w:pPr>
      <w:r>
        <w:rPr>
          <w:rFonts w:hint="eastAsia" w:ascii="黑体" w:hAnsi="宋体" w:eastAsia="黑体" w:cs="黑体"/>
          <w:i w:val="0"/>
          <w:iCs w:val="0"/>
          <w:caps w:val="0"/>
          <w:color w:val="444444"/>
          <w:spacing w:val="0"/>
          <w:kern w:val="0"/>
          <w:sz w:val="56"/>
          <w:szCs w:val="56"/>
          <w:shd w:val="clear" w:fill="FFFFFF"/>
          <w:lang w:val="en-US" w:eastAsia="zh-CN" w:bidi="ar"/>
        </w:rPr>
        <w:t>2025年度</w:t>
      </w:r>
      <w:r>
        <w:rPr>
          <w:rFonts w:ascii="黑体" w:hAnsi="宋体" w:eastAsia="黑体" w:cs="黑体"/>
          <w:i w:val="0"/>
          <w:iCs w:val="0"/>
          <w:caps w:val="0"/>
          <w:color w:val="444444"/>
          <w:spacing w:val="0"/>
          <w:kern w:val="0"/>
          <w:sz w:val="56"/>
          <w:szCs w:val="56"/>
          <w:shd w:val="clear" w:fill="FFFFFF"/>
          <w:lang w:val="en-US" w:eastAsia="zh-CN" w:bidi="ar"/>
        </w:rPr>
        <w:t>渑池县</w:t>
      </w:r>
      <w:r>
        <w:rPr>
          <w:rFonts w:hint="eastAsia" w:ascii="黑体" w:hAnsi="宋体" w:eastAsia="黑体" w:cs="黑体"/>
          <w:i w:val="0"/>
          <w:iCs w:val="0"/>
          <w:caps w:val="0"/>
          <w:color w:val="444444"/>
          <w:spacing w:val="0"/>
          <w:kern w:val="0"/>
          <w:sz w:val="56"/>
          <w:szCs w:val="56"/>
          <w:shd w:val="clear" w:fill="FFFFFF"/>
          <w:lang w:val="en-US" w:eastAsia="zh-CN" w:bidi="ar"/>
        </w:rPr>
        <w:t>财政事务中心</w:t>
      </w:r>
    </w:p>
    <w:p w14:paraId="058F74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56"/>
          <w:szCs w:val="56"/>
          <w:shd w:val="clear" w:fill="FFFFFF"/>
          <w:lang w:val="en-US" w:eastAsia="zh-CN" w:bidi="ar"/>
        </w:rPr>
      </w:pPr>
      <w:r>
        <w:rPr>
          <w:rFonts w:hint="eastAsia" w:ascii="黑体" w:hAnsi="宋体" w:eastAsia="黑体" w:cs="黑体"/>
          <w:i w:val="0"/>
          <w:iCs w:val="0"/>
          <w:caps w:val="0"/>
          <w:color w:val="444444"/>
          <w:spacing w:val="0"/>
          <w:kern w:val="0"/>
          <w:sz w:val="56"/>
          <w:szCs w:val="56"/>
          <w:shd w:val="clear" w:fill="FFFFFF"/>
          <w:lang w:val="en-US" w:eastAsia="zh-CN" w:bidi="ar"/>
        </w:rPr>
        <w:t>部门预算公开</w:t>
      </w:r>
    </w:p>
    <w:p w14:paraId="43D2D5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56"/>
          <w:szCs w:val="56"/>
          <w:shd w:val="clear" w:fill="FFFFFF"/>
          <w:lang w:val="en-US" w:eastAsia="zh-CN" w:bidi="ar"/>
        </w:rPr>
      </w:pPr>
    </w:p>
    <w:p w14:paraId="1BA67C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6994A3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326773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1AD155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1A72E3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3F1E1F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43FA9F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543198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131A8D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5BFB83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42"/>
        <w:jc w:val="both"/>
        <w:rPr>
          <w:rFonts w:hint="eastAsia" w:ascii="黑体" w:hAnsi="宋体" w:eastAsia="黑体" w:cs="黑体"/>
          <w:i w:val="0"/>
          <w:iCs w:val="0"/>
          <w:caps w:val="0"/>
          <w:color w:val="444444"/>
          <w:spacing w:val="0"/>
          <w:kern w:val="0"/>
          <w:sz w:val="48"/>
          <w:szCs w:val="48"/>
          <w:shd w:val="clear" w:fill="FFFFFF"/>
          <w:lang w:val="en-US" w:eastAsia="zh-CN" w:bidi="ar"/>
        </w:rPr>
      </w:pPr>
    </w:p>
    <w:p w14:paraId="059F3C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微软雅黑" w:hAnsi="微软雅黑" w:eastAsia="微软雅黑" w:cs="微软雅黑"/>
          <w:i w:val="0"/>
          <w:iCs w:val="0"/>
          <w:caps w:val="0"/>
          <w:color w:val="444444"/>
          <w:spacing w:val="0"/>
          <w:sz w:val="48"/>
          <w:szCs w:val="48"/>
        </w:rPr>
      </w:pPr>
      <w:r>
        <w:rPr>
          <w:rFonts w:hint="eastAsia" w:ascii="黑体" w:hAnsi="宋体" w:eastAsia="黑体" w:cs="黑体"/>
          <w:i w:val="0"/>
          <w:iCs w:val="0"/>
          <w:caps w:val="0"/>
          <w:color w:val="444444"/>
          <w:spacing w:val="0"/>
          <w:kern w:val="0"/>
          <w:sz w:val="48"/>
          <w:szCs w:val="48"/>
          <w:shd w:val="clear" w:fill="FFFFFF"/>
          <w:lang w:val="en-US" w:eastAsia="zh-CN" w:bidi="ar"/>
        </w:rPr>
        <w:t>2025年度</w:t>
      </w:r>
      <w:r>
        <w:rPr>
          <w:rFonts w:ascii="黑体" w:hAnsi="宋体" w:eastAsia="黑体" w:cs="黑体"/>
          <w:i w:val="0"/>
          <w:iCs w:val="0"/>
          <w:caps w:val="0"/>
          <w:color w:val="444444"/>
          <w:spacing w:val="0"/>
          <w:kern w:val="0"/>
          <w:sz w:val="48"/>
          <w:szCs w:val="48"/>
          <w:shd w:val="clear" w:fill="FFFFFF"/>
          <w:lang w:val="en-US" w:eastAsia="zh-CN" w:bidi="ar"/>
        </w:rPr>
        <w:t>渑池县</w:t>
      </w:r>
      <w:r>
        <w:rPr>
          <w:rFonts w:hint="eastAsia" w:ascii="黑体" w:hAnsi="宋体" w:eastAsia="黑体" w:cs="黑体"/>
          <w:i w:val="0"/>
          <w:iCs w:val="0"/>
          <w:caps w:val="0"/>
          <w:color w:val="444444"/>
          <w:spacing w:val="0"/>
          <w:kern w:val="0"/>
          <w:sz w:val="48"/>
          <w:szCs w:val="48"/>
          <w:shd w:val="clear" w:fill="FFFFFF"/>
          <w:lang w:val="en-US" w:eastAsia="zh-CN" w:bidi="ar"/>
        </w:rPr>
        <w:t>财政事务中心</w:t>
      </w:r>
    </w:p>
    <w:p w14:paraId="79E67D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微软雅黑" w:hAnsi="微软雅黑" w:eastAsia="微软雅黑" w:cs="微软雅黑"/>
          <w:i w:val="0"/>
          <w:iCs w:val="0"/>
          <w:caps w:val="0"/>
          <w:color w:val="444444"/>
          <w:spacing w:val="0"/>
          <w:sz w:val="48"/>
          <w:szCs w:val="48"/>
        </w:rPr>
      </w:pPr>
      <w:r>
        <w:rPr>
          <w:rFonts w:hint="eastAsia" w:ascii="黑体" w:hAnsi="宋体" w:eastAsia="黑体" w:cs="黑体"/>
          <w:i w:val="0"/>
          <w:iCs w:val="0"/>
          <w:caps w:val="0"/>
          <w:color w:val="444444"/>
          <w:spacing w:val="0"/>
          <w:kern w:val="0"/>
          <w:sz w:val="48"/>
          <w:szCs w:val="48"/>
          <w:shd w:val="clear" w:fill="FFFFFF"/>
          <w:lang w:val="en-US" w:eastAsia="zh-CN" w:bidi="ar"/>
        </w:rPr>
        <w:t>部门预算公开</w:t>
      </w:r>
    </w:p>
    <w:p w14:paraId="001FD0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51" w:firstLine="420"/>
        <w:jc w:val="center"/>
        <w:rPr>
          <w:rFonts w:hint="eastAsia" w:ascii="微软雅黑" w:hAnsi="微软雅黑" w:eastAsia="微软雅黑" w:cs="微软雅黑"/>
          <w:i w:val="0"/>
          <w:iCs w:val="0"/>
          <w:caps w:val="0"/>
          <w:color w:val="444444"/>
          <w:spacing w:val="0"/>
          <w:sz w:val="48"/>
          <w:szCs w:val="48"/>
        </w:rPr>
      </w:pPr>
      <w:r>
        <w:rPr>
          <w:rFonts w:hint="eastAsia" w:ascii="黑体" w:hAnsi="宋体" w:eastAsia="黑体" w:cs="黑体"/>
          <w:i w:val="0"/>
          <w:iCs w:val="0"/>
          <w:caps w:val="0"/>
          <w:color w:val="444444"/>
          <w:spacing w:val="0"/>
          <w:kern w:val="0"/>
          <w:sz w:val="48"/>
          <w:szCs w:val="48"/>
          <w:shd w:val="clear" w:fill="FFFFFF"/>
          <w:lang w:val="en-US" w:eastAsia="zh-CN" w:bidi="ar"/>
        </w:rPr>
        <w:t>目 </w:t>
      </w:r>
      <w:r>
        <w:rPr>
          <w:rFonts w:hint="eastAsia" w:ascii="黑体" w:hAnsi="宋体" w:eastAsia="黑体" w:cs="黑体"/>
          <w:i w:val="0"/>
          <w:iCs w:val="0"/>
          <w:caps w:val="0"/>
          <w:color w:val="444444"/>
          <w:spacing w:val="2"/>
          <w:kern w:val="0"/>
          <w:sz w:val="48"/>
          <w:szCs w:val="48"/>
          <w:shd w:val="clear" w:fill="FFFFFF"/>
          <w:lang w:val="en-US" w:eastAsia="zh-CN" w:bidi="ar"/>
        </w:rPr>
        <w:t> </w:t>
      </w:r>
      <w:r>
        <w:rPr>
          <w:rFonts w:hint="eastAsia" w:ascii="黑体" w:hAnsi="宋体" w:eastAsia="黑体" w:cs="黑体"/>
          <w:i w:val="0"/>
          <w:iCs w:val="0"/>
          <w:caps w:val="0"/>
          <w:color w:val="444444"/>
          <w:spacing w:val="0"/>
          <w:kern w:val="0"/>
          <w:sz w:val="48"/>
          <w:szCs w:val="48"/>
          <w:shd w:val="clear" w:fill="FFFFFF"/>
          <w:lang w:val="en-US" w:eastAsia="zh-CN" w:bidi="ar"/>
        </w:rPr>
        <w:t>录</w:t>
      </w:r>
    </w:p>
    <w:p w14:paraId="5C10F0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51" w:firstLine="336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56"/>
          <w:szCs w:val="56"/>
          <w:shd w:val="clear" w:fill="FFFFFF"/>
          <w:lang w:val="en-US" w:eastAsia="zh-CN" w:bidi="ar"/>
        </w:rPr>
        <w:t> </w:t>
      </w:r>
    </w:p>
    <w:p w14:paraId="236144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第一部分渑池县财政事务中心单位概况</w:t>
      </w:r>
    </w:p>
    <w:p w14:paraId="0C575028">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240" w:lineRule="auto"/>
        <w:ind w:left="0" w:leftChars="0" w:right="0" w:firstLine="640" w:firstLineChars="200"/>
        <w:jc w:val="both"/>
        <w:textAlignment w:val="auto"/>
        <w:rPr>
          <w:rFonts w:ascii="仿宋_GB2312" w:hAnsi="微软雅黑" w:eastAsia="仿宋_GB2312" w:cs="仿宋_GB2312"/>
          <w:i w:val="0"/>
          <w:iCs w:val="0"/>
          <w:caps w:val="0"/>
          <w:color w:val="444444"/>
          <w:spacing w:val="0"/>
          <w:kern w:val="0"/>
          <w:sz w:val="32"/>
          <w:szCs w:val="32"/>
          <w:shd w:val="clear" w:fill="FFFFFF"/>
          <w:lang w:val="en-US" w:eastAsia="zh-CN" w:bidi="ar"/>
        </w:rPr>
      </w:pPr>
      <w:r>
        <w:rPr>
          <w:rFonts w:ascii="仿宋_GB2312" w:hAnsi="微软雅黑" w:eastAsia="仿宋_GB2312" w:cs="仿宋_GB2312"/>
          <w:i w:val="0"/>
          <w:iCs w:val="0"/>
          <w:caps w:val="0"/>
          <w:color w:val="444444"/>
          <w:spacing w:val="0"/>
          <w:kern w:val="0"/>
          <w:sz w:val="32"/>
          <w:szCs w:val="32"/>
          <w:shd w:val="clear" w:fill="FFFFFF"/>
          <w:lang w:val="en-US" w:eastAsia="zh-CN" w:bidi="ar"/>
        </w:rPr>
        <w:t>主要职能</w:t>
      </w:r>
    </w:p>
    <w:p w14:paraId="40CD678E">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240" w:lineRule="auto"/>
        <w:ind w:left="0" w:leftChars="0" w:right="0" w:firstLine="640" w:firstLineChars="200"/>
        <w:jc w:val="both"/>
        <w:textAlignment w:val="auto"/>
        <w:rPr>
          <w:rFonts w:hint="eastAsia" w:ascii="微软雅黑" w:hAnsi="微软雅黑" w:eastAsia="微软雅黑" w:cs="微软雅黑"/>
          <w:i w:val="0"/>
          <w:iCs w:val="0"/>
          <w:caps w:val="0"/>
          <w:color w:val="444444"/>
          <w:spacing w:val="0"/>
          <w:sz w:val="32"/>
          <w:szCs w:val="32"/>
        </w:rPr>
      </w:pPr>
      <w:r>
        <w:rPr>
          <w:rFonts w:ascii="仿宋_GB2312" w:hAnsi="宋体" w:eastAsia="仿宋_GB2312" w:cs="仿宋_GB2312"/>
          <w:i w:val="0"/>
          <w:iCs w:val="0"/>
          <w:caps w:val="0"/>
          <w:color w:val="444444"/>
          <w:spacing w:val="0"/>
          <w:sz w:val="32"/>
          <w:szCs w:val="32"/>
          <w:shd w:val="clear" w:color="auto" w:fill="FFFFFF"/>
        </w:rPr>
        <w:t>机构设置</w:t>
      </w:r>
    </w:p>
    <w:p w14:paraId="14F1A8F1">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240" w:lineRule="auto"/>
        <w:ind w:left="0" w:leftChars="0" w:right="0" w:firstLine="640" w:firstLineChars="200"/>
        <w:jc w:val="both"/>
        <w:textAlignment w:val="auto"/>
        <w:rPr>
          <w:rFonts w:hint="eastAsia" w:ascii="微软雅黑" w:hAnsi="微软雅黑" w:eastAsia="微软雅黑" w:cs="微软雅黑"/>
          <w:i w:val="0"/>
          <w:iCs w:val="0"/>
          <w:caps w:val="0"/>
          <w:color w:val="444444"/>
          <w:spacing w:val="0"/>
          <w:sz w:val="32"/>
          <w:szCs w:val="32"/>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部门预算单位构成</w:t>
      </w:r>
    </w:p>
    <w:p w14:paraId="0437D7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0" w:firstLineChars="200"/>
        <w:jc w:val="both"/>
        <w:textAlignment w:val="auto"/>
        <w:rPr>
          <w:rFonts w:hint="eastAsia" w:ascii="黑体" w:hAnsi="宋体" w:eastAsia="黑体" w:cs="黑体"/>
          <w:i w:val="0"/>
          <w:iCs w:val="0"/>
          <w:caps w:val="0"/>
          <w:color w:val="444444"/>
          <w:spacing w:val="0"/>
          <w:kern w:val="0"/>
          <w:sz w:val="32"/>
          <w:szCs w:val="32"/>
          <w:shd w:val="clear" w:fill="FFFFFF"/>
          <w:lang w:val="en-US" w:eastAsia="zh-CN" w:bidi="ar"/>
        </w:rPr>
      </w:pPr>
      <w:r>
        <w:rPr>
          <w:rFonts w:hint="eastAsia" w:ascii="黑体" w:hAnsi="宋体" w:eastAsia="黑体" w:cs="黑体"/>
          <w:i w:val="0"/>
          <w:iCs w:val="0"/>
          <w:caps w:val="0"/>
          <w:color w:val="444444"/>
          <w:spacing w:val="0"/>
          <w:kern w:val="0"/>
          <w:sz w:val="32"/>
          <w:szCs w:val="32"/>
          <w:shd w:val="clear" w:fill="FFFFFF"/>
          <w:lang w:val="en-US" w:eastAsia="zh-CN" w:bidi="ar"/>
        </w:rPr>
        <w:t>第二部分 渑池县财政事务中心 2025年度部门预算情况说明 </w:t>
      </w:r>
    </w:p>
    <w:p w14:paraId="2A0882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第三部分</w:t>
      </w:r>
      <w:r>
        <w:rPr>
          <w:rFonts w:hint="eastAsia" w:ascii="黑体" w:hAnsi="宋体" w:eastAsia="黑体" w:cs="黑体"/>
          <w:i w:val="0"/>
          <w:iCs w:val="0"/>
          <w:caps w:val="0"/>
          <w:color w:val="444444"/>
          <w:spacing w:val="-32"/>
          <w:kern w:val="0"/>
          <w:sz w:val="32"/>
          <w:szCs w:val="32"/>
          <w:shd w:val="clear" w:fill="FFFFFF"/>
          <w:lang w:val="en-US" w:eastAsia="zh-CN" w:bidi="ar"/>
        </w:rPr>
        <w:t> </w:t>
      </w:r>
      <w:r>
        <w:rPr>
          <w:rFonts w:hint="eastAsia" w:ascii="黑体" w:hAnsi="宋体" w:eastAsia="黑体" w:cs="黑体"/>
          <w:i w:val="0"/>
          <w:iCs w:val="0"/>
          <w:caps w:val="0"/>
          <w:color w:val="444444"/>
          <w:spacing w:val="0"/>
          <w:kern w:val="0"/>
          <w:sz w:val="32"/>
          <w:szCs w:val="32"/>
          <w:shd w:val="clear" w:fill="FFFFFF"/>
          <w:lang w:val="en-US" w:eastAsia="zh-CN" w:bidi="ar"/>
        </w:rPr>
        <w:t>名词解释</w:t>
      </w:r>
    </w:p>
    <w:p w14:paraId="46F1A8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附件：渑池县财政事务中心2025年度部门预算表</w:t>
      </w:r>
    </w:p>
    <w:p w14:paraId="430FF8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240" w:lineRule="auto"/>
        <w:ind w:left="0" w:right="0" w:firstLine="640"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一、部门收支总体情况表</w:t>
      </w:r>
    </w:p>
    <w:p w14:paraId="4FDFDE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240" w:lineRule="auto"/>
        <w:ind w:left="0" w:right="0" w:firstLine="640"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二、部门收入总体情况表</w:t>
      </w:r>
    </w:p>
    <w:p w14:paraId="25237D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240" w:lineRule="auto"/>
        <w:ind w:left="0" w:right="0" w:firstLine="640"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三、部门支出总体情况表</w:t>
      </w:r>
    </w:p>
    <w:p w14:paraId="4A5B3F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240" w:lineRule="auto"/>
        <w:ind w:left="0" w:right="0" w:firstLine="640"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四、财政拨款收支总体情况表</w:t>
      </w:r>
    </w:p>
    <w:p w14:paraId="5DC2BC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240" w:lineRule="auto"/>
        <w:ind w:left="0" w:right="0" w:firstLine="640"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五、一般公共预算支出情况表</w:t>
      </w:r>
    </w:p>
    <w:p w14:paraId="76299E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240" w:lineRule="auto"/>
        <w:ind w:left="0" w:right="0" w:firstLine="640"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六、一般公共预算基本支出情况表</w:t>
      </w:r>
    </w:p>
    <w:p w14:paraId="2D3F08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240" w:lineRule="auto"/>
        <w:ind w:left="0" w:right="0" w:firstLine="640"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七、支出经济分类汇总表</w:t>
      </w:r>
    </w:p>
    <w:p w14:paraId="13B914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240" w:lineRule="auto"/>
        <w:ind w:left="0" w:right="0" w:firstLine="640"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八、一般公共预算“三公”经费支出情况表</w:t>
      </w:r>
    </w:p>
    <w:p w14:paraId="61303E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240" w:lineRule="auto"/>
        <w:ind w:left="0" w:right="0" w:firstLine="640"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九、政府性基金预算支出情况表</w:t>
      </w:r>
    </w:p>
    <w:p w14:paraId="68BB9A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240" w:lineRule="auto"/>
        <w:ind w:left="0" w:right="0" w:firstLine="640"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十、项目支出预算表</w:t>
      </w:r>
    </w:p>
    <w:p w14:paraId="1D7BEC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240" w:lineRule="auto"/>
        <w:ind w:left="0" w:right="0" w:firstLine="640"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十一、部门(单位)整体绩效目标表</w:t>
      </w:r>
    </w:p>
    <w:p w14:paraId="1D2B5B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b w:val="0"/>
          <w:i w:val="0"/>
          <w:caps w:val="0"/>
          <w:color w:val="000000"/>
          <w:spacing w:val="0"/>
          <w:kern w:val="0"/>
          <w:sz w:val="32"/>
          <w:szCs w:val="32"/>
          <w:lang w:val="en-US" w:eastAsia="zh-CN" w:bidi="ar"/>
        </w:rPr>
        <w:t>十二、部门预算项目绩效目标汇总表</w:t>
      </w:r>
      <w:r>
        <w:rPr>
          <w:rFonts w:hint="eastAsia" w:ascii="黑体" w:hAnsi="宋体" w:eastAsia="黑体" w:cs="黑体"/>
          <w:i w:val="0"/>
          <w:iCs w:val="0"/>
          <w:caps w:val="0"/>
          <w:color w:val="444444"/>
          <w:spacing w:val="0"/>
          <w:kern w:val="0"/>
          <w:sz w:val="32"/>
          <w:szCs w:val="32"/>
          <w:shd w:val="clear" w:fill="FFFFFF"/>
          <w:lang w:val="en-US" w:eastAsia="zh-CN" w:bidi="ar"/>
        </w:rPr>
        <w:t> </w:t>
      </w:r>
    </w:p>
    <w:p w14:paraId="429DAF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第一部分</w:t>
      </w:r>
    </w:p>
    <w:p w14:paraId="3308F0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渑池县财政事务中心概况</w:t>
      </w:r>
    </w:p>
    <w:p w14:paraId="1B1C89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一、单位主要职能：</w:t>
      </w:r>
    </w:p>
    <w:p w14:paraId="0A2B20F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为相关部门综合治税工作提供服务性、辅助性工作；承担综合治税信息平台建设及综合治税网络平台维护的技术性工作。</w:t>
      </w:r>
    </w:p>
    <w:p w14:paraId="574D86C5">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为相关部门对矿产资源依法征缴税费工作提供技术性、事务性工作。</w:t>
      </w:r>
    </w:p>
    <w:p w14:paraId="729A261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承担普惠金融服务平台的推广和服务工作，为各类金融机构、投资机构与企业之间搭建交流、对接平台，引导银行等金融机构加大对实体经济的融资支持力度，组织金融机构为全县企业提供精准有效的金融服务。</w:t>
      </w:r>
    </w:p>
    <w:p w14:paraId="5454536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围绕中心工作，为财政宣传和新闻发布工作提供服务。</w:t>
      </w:r>
    </w:p>
    <w:p w14:paraId="1557ADB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根据中央、省、市关于财政政策的文件精神，开展财政调研工作，并参与上级财政部门的课题调研工作。</w:t>
      </w:r>
    </w:p>
    <w:p w14:paraId="06F25CA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i w:val="0"/>
          <w:iCs w:val="0"/>
          <w:caps w:val="0"/>
          <w:color w:val="444444"/>
          <w:spacing w:val="10"/>
          <w:kern w:val="0"/>
          <w:sz w:val="32"/>
          <w:szCs w:val="32"/>
          <w:shd w:val="clear" w:fill="FFFFFF"/>
          <w:lang w:val="en-US" w:eastAsia="zh-CN" w:bidi="ar"/>
        </w:rPr>
      </w:pPr>
      <w:r>
        <w:rPr>
          <w:rFonts w:hint="eastAsia" w:ascii="仿宋_GB2312" w:hAnsi="仿宋_GB2312" w:eastAsia="仿宋_GB2312" w:cs="仿宋_GB2312"/>
          <w:sz w:val="32"/>
          <w:szCs w:val="32"/>
          <w:lang w:val="en-US" w:eastAsia="zh-CN"/>
        </w:rPr>
        <w:t>完成县财政局交办的其他任务。</w:t>
      </w:r>
    </w:p>
    <w:p w14:paraId="18E8BC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both"/>
        <w:textAlignment w:val="auto"/>
        <w:rPr>
          <w:rFonts w:hint="eastAsia" w:ascii="微软雅黑" w:hAnsi="微软雅黑" w:eastAsia="微软雅黑" w:cs="微软雅黑"/>
          <w:i w:val="0"/>
          <w:iCs w:val="0"/>
          <w:caps w:val="0"/>
          <w:color w:val="444444"/>
          <w:spacing w:val="0"/>
          <w:sz w:val="24"/>
          <w:szCs w:val="24"/>
        </w:rPr>
      </w:pPr>
      <w:r>
        <w:rPr>
          <w:rFonts w:ascii="黑体" w:hAnsi="宋体" w:eastAsia="黑体" w:cs="黑体"/>
          <w:i w:val="0"/>
          <w:iCs w:val="0"/>
          <w:caps w:val="0"/>
          <w:color w:val="000000"/>
          <w:spacing w:val="0"/>
          <w:kern w:val="0"/>
          <w:sz w:val="31"/>
          <w:szCs w:val="31"/>
          <w:shd w:val="clear" w:color="auto" w:fill="FFFFFF"/>
          <w:lang w:val="en-US" w:eastAsia="zh-CN" w:bidi="ar"/>
        </w:rPr>
        <w:t>二、机构设置</w:t>
      </w:r>
    </w:p>
    <w:p w14:paraId="24118C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80" w:firstLineChars="200"/>
        <w:jc w:val="both"/>
        <w:textAlignment w:val="auto"/>
        <w:rPr>
          <w:rFonts w:hint="eastAsia" w:ascii="仿宋_GB2312" w:hAnsi="微软雅黑" w:eastAsia="仿宋_GB2312" w:cs="仿宋_GB2312"/>
          <w:i w:val="0"/>
          <w:iCs w:val="0"/>
          <w:caps w:val="0"/>
          <w:color w:val="444444"/>
          <w:spacing w:val="10"/>
          <w:kern w:val="0"/>
          <w:sz w:val="32"/>
          <w:szCs w:val="32"/>
          <w:shd w:val="clear" w:fill="FFFFFF"/>
          <w:lang w:val="en-US" w:eastAsia="zh-CN" w:bidi="ar"/>
        </w:rPr>
      </w:pPr>
      <w:r>
        <w:rPr>
          <w:rFonts w:hint="default" w:ascii="仿宋_GB2312" w:hAnsi="微软雅黑" w:eastAsia="仿宋_GB2312" w:cs="仿宋_GB2312"/>
          <w:i w:val="0"/>
          <w:iCs w:val="0"/>
          <w:caps w:val="0"/>
          <w:color w:val="444444"/>
          <w:spacing w:val="10"/>
          <w:kern w:val="0"/>
          <w:sz w:val="32"/>
          <w:szCs w:val="32"/>
          <w:shd w:val="clear" w:fill="FFFFFF"/>
          <w:lang w:val="en-US" w:eastAsia="zh-CN" w:bidi="ar"/>
        </w:rPr>
        <w:t>渑池县</w:t>
      </w:r>
      <w:r>
        <w:rPr>
          <w:rFonts w:hint="eastAsia" w:ascii="仿宋_GB2312" w:hAnsi="微软雅黑" w:eastAsia="仿宋_GB2312" w:cs="仿宋_GB2312"/>
          <w:i w:val="0"/>
          <w:iCs w:val="0"/>
          <w:caps w:val="0"/>
          <w:color w:val="444444"/>
          <w:spacing w:val="10"/>
          <w:kern w:val="0"/>
          <w:sz w:val="32"/>
          <w:szCs w:val="32"/>
          <w:shd w:val="clear" w:fill="FFFFFF"/>
          <w:lang w:val="en-US" w:eastAsia="zh-CN" w:bidi="ar"/>
        </w:rPr>
        <w:t>财政事务中心</w:t>
      </w:r>
      <w:r>
        <w:rPr>
          <w:rFonts w:hint="default" w:ascii="仿宋_GB2312" w:hAnsi="微软雅黑" w:eastAsia="仿宋_GB2312" w:cs="仿宋_GB2312"/>
          <w:i w:val="0"/>
          <w:iCs w:val="0"/>
          <w:caps w:val="0"/>
          <w:color w:val="444444"/>
          <w:spacing w:val="10"/>
          <w:kern w:val="0"/>
          <w:sz w:val="32"/>
          <w:szCs w:val="32"/>
          <w:shd w:val="clear" w:fill="FFFFFF"/>
          <w:lang w:val="en-US" w:eastAsia="zh-CN" w:bidi="ar"/>
        </w:rPr>
        <w:t>内设</w:t>
      </w:r>
      <w:r>
        <w:rPr>
          <w:rFonts w:hint="eastAsia" w:ascii="仿宋_GB2312" w:hAnsi="微软雅黑" w:eastAsia="仿宋_GB2312" w:cs="仿宋_GB2312"/>
          <w:i w:val="0"/>
          <w:iCs w:val="0"/>
          <w:caps w:val="0"/>
          <w:color w:val="444444"/>
          <w:spacing w:val="10"/>
          <w:kern w:val="0"/>
          <w:sz w:val="32"/>
          <w:szCs w:val="32"/>
          <w:shd w:val="clear" w:fill="FFFFFF"/>
          <w:lang w:val="en-US" w:eastAsia="zh-CN" w:bidi="ar"/>
        </w:rPr>
        <w:t>综合服务股、税收服务股、金融服务股、矿产服务股4</w:t>
      </w:r>
      <w:r>
        <w:rPr>
          <w:rFonts w:hint="default" w:ascii="仿宋_GB2312" w:hAnsi="微软雅黑" w:eastAsia="仿宋_GB2312" w:cs="仿宋_GB2312"/>
          <w:i w:val="0"/>
          <w:iCs w:val="0"/>
          <w:caps w:val="0"/>
          <w:color w:val="444444"/>
          <w:spacing w:val="10"/>
          <w:kern w:val="0"/>
          <w:sz w:val="32"/>
          <w:szCs w:val="32"/>
          <w:shd w:val="clear" w:fill="FFFFFF"/>
          <w:lang w:val="en-US" w:eastAsia="zh-CN" w:bidi="ar"/>
        </w:rPr>
        <w:t>个股室。</w:t>
      </w:r>
    </w:p>
    <w:p w14:paraId="21F9D4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三、部门预算单位构成：</w:t>
      </w:r>
    </w:p>
    <w:p w14:paraId="6A760D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8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10"/>
          <w:kern w:val="0"/>
          <w:sz w:val="32"/>
          <w:szCs w:val="32"/>
          <w:shd w:val="clear" w:fill="FFFFFF"/>
          <w:lang w:val="en-US" w:eastAsia="zh-CN" w:bidi="ar"/>
        </w:rPr>
        <w:t>渑池县</w:t>
      </w:r>
      <w:r>
        <w:rPr>
          <w:rFonts w:hint="eastAsia" w:ascii="仿宋_GB2312" w:hAnsi="微软雅黑" w:eastAsia="仿宋_GB2312" w:cs="仿宋_GB2312"/>
          <w:i w:val="0"/>
          <w:iCs w:val="0"/>
          <w:caps w:val="0"/>
          <w:color w:val="444444"/>
          <w:spacing w:val="10"/>
          <w:kern w:val="0"/>
          <w:sz w:val="32"/>
          <w:szCs w:val="32"/>
          <w:shd w:val="clear" w:fill="FFFFFF"/>
          <w:lang w:val="en-US" w:eastAsia="zh-CN" w:bidi="ar"/>
        </w:rPr>
        <w:t>财政事务中心2025年的预算</w:t>
      </w:r>
      <w:r>
        <w:rPr>
          <w:rFonts w:hint="default" w:ascii="仿宋_GB2312" w:hAnsi="微软雅黑" w:eastAsia="仿宋_GB2312" w:cs="仿宋_GB2312"/>
          <w:i w:val="0"/>
          <w:iCs w:val="0"/>
          <w:caps w:val="0"/>
          <w:color w:val="444444"/>
          <w:spacing w:val="10"/>
          <w:kern w:val="0"/>
          <w:sz w:val="32"/>
          <w:szCs w:val="32"/>
          <w:shd w:val="clear" w:fill="FFFFFF"/>
          <w:lang w:val="en-US" w:eastAsia="zh-CN" w:bidi="ar"/>
        </w:rPr>
        <w:t>为</w:t>
      </w:r>
      <w:r>
        <w:rPr>
          <w:rFonts w:hint="eastAsia" w:ascii="仿宋_GB2312" w:hAnsi="微软雅黑" w:eastAsia="仿宋_GB2312" w:cs="仿宋_GB2312"/>
          <w:i w:val="0"/>
          <w:iCs w:val="0"/>
          <w:caps w:val="0"/>
          <w:color w:val="444444"/>
          <w:spacing w:val="10"/>
          <w:kern w:val="0"/>
          <w:sz w:val="32"/>
          <w:szCs w:val="32"/>
          <w:shd w:val="clear" w:fill="FFFFFF"/>
          <w:lang w:val="en-US" w:eastAsia="zh-CN" w:bidi="ar"/>
        </w:rPr>
        <w:t>单位</w:t>
      </w:r>
      <w:r>
        <w:rPr>
          <w:rFonts w:hint="default" w:ascii="仿宋_GB2312" w:hAnsi="微软雅黑" w:eastAsia="仿宋_GB2312" w:cs="仿宋_GB2312"/>
          <w:i w:val="0"/>
          <w:iCs w:val="0"/>
          <w:caps w:val="0"/>
          <w:color w:val="444444"/>
          <w:spacing w:val="10"/>
          <w:kern w:val="0"/>
          <w:sz w:val="32"/>
          <w:szCs w:val="32"/>
          <w:shd w:val="clear" w:fill="FFFFFF"/>
          <w:lang w:val="en-US" w:eastAsia="zh-CN" w:bidi="ar"/>
        </w:rPr>
        <w:t>本级预算。</w:t>
      </w:r>
    </w:p>
    <w:p w14:paraId="03F9AD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黑体" w:hAnsi="宋体" w:eastAsia="黑体" w:cs="黑体"/>
          <w:i w:val="0"/>
          <w:iCs w:val="0"/>
          <w:caps w:val="0"/>
          <w:color w:val="444444"/>
          <w:spacing w:val="0"/>
          <w:kern w:val="0"/>
          <w:sz w:val="32"/>
          <w:szCs w:val="32"/>
          <w:shd w:val="clear" w:fill="FFFFFF"/>
          <w:lang w:val="en-US" w:eastAsia="zh-CN" w:bidi="ar"/>
        </w:rPr>
      </w:pPr>
    </w:p>
    <w:p w14:paraId="2E3D46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第二部分</w:t>
      </w:r>
    </w:p>
    <w:p w14:paraId="5D2806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渑池县财政事务中心2025年度部门预算情况说明</w:t>
      </w:r>
    </w:p>
    <w:p w14:paraId="7D7584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 </w:t>
      </w:r>
    </w:p>
    <w:p w14:paraId="60B1A6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一、收入支出预算总体情况说明</w:t>
      </w:r>
    </w:p>
    <w:p w14:paraId="2C742F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w:t>
      </w:r>
      <w:r>
        <w:rPr>
          <w:rFonts w:hint="eastAsia" w:ascii="仿宋_GB2312" w:hAnsi="微软雅黑" w:eastAsia="仿宋_GB2312" w:cs="仿宋_GB2312"/>
          <w:i w:val="0"/>
          <w:iCs w:val="0"/>
          <w:caps w:val="0"/>
          <w:color w:val="444444"/>
          <w:spacing w:val="10"/>
          <w:kern w:val="0"/>
          <w:sz w:val="32"/>
          <w:szCs w:val="32"/>
          <w:shd w:val="clear" w:fill="FFFFFF"/>
          <w:lang w:val="en-US" w:eastAsia="zh-CN" w:bidi="ar"/>
        </w:rPr>
        <w:t>财政事务中心</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年收入总计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163.69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万元，支出总计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163.69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万元，与</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年相比，</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收入增加38.57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增长30.83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Calibri" w:eastAsia="仿宋_GB2312" w:cs="Times New Roman"/>
          <w:snapToGrid/>
          <w:kern w:val="2"/>
          <w:sz w:val="32"/>
          <w:szCs w:val="32"/>
          <w:highlight w:val="none"/>
          <w:lang w:val="en-US" w:eastAsia="zh-CN" w:bidi="ar-SA"/>
        </w:rPr>
        <w:t>主要原因是：人员调整、社保公积金基数调整以及增加了劳务派遣人员工资；支出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增加38.57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增长30.83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Calibri" w:eastAsia="仿宋_GB2312" w:cs="Times New Roman"/>
          <w:snapToGrid/>
          <w:kern w:val="2"/>
          <w:sz w:val="32"/>
          <w:szCs w:val="32"/>
          <w:highlight w:val="none"/>
          <w:lang w:val="en-US" w:eastAsia="zh-CN" w:bidi="ar-SA"/>
        </w:rPr>
        <w:t>主要原因是：人员调整、社保公积金基数调整以及增加了劳务派遣人员工资</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607FD1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二、收入预算总体情况说明</w:t>
      </w:r>
    </w:p>
    <w:p w14:paraId="26C194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财政事务中心2025年</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收入预算合计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163.69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万元，其中：一般公共预算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163.69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 政府性基金收入0万元；财政专户管理资金0万元;其他收入0万元；上年结转结余0万元；上级转移支付0万元。</w:t>
      </w:r>
    </w:p>
    <w:p w14:paraId="64FBDD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三、支出预算总体情况说明</w:t>
      </w:r>
    </w:p>
    <w:p w14:paraId="1AFB3A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财政事务中心2025年</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支出预算合计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163.69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万元，其中：基本支出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111.45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68.09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%；项目支出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52.24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31.91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35D1C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四、财政拨款收入支出预算总体情况说明</w:t>
      </w:r>
    </w:p>
    <w:p w14:paraId="61698A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财政事务中心2025年</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一般公共预算收支预算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163.69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万元，政府性基金收支预算0万元</w:t>
      </w:r>
      <w:r>
        <w:rPr>
          <w:rFonts w:hint="eastAsia" w:ascii="仿宋_GB2312" w:hAnsi="Calibri" w:eastAsia="仿宋_GB2312" w:cs="Times New Roman"/>
          <w:snapToGrid/>
          <w:kern w:val="2"/>
          <w:sz w:val="32"/>
          <w:szCs w:val="32"/>
          <w:highlight w:val="none"/>
          <w:lang w:val="en-US" w:eastAsia="zh-CN" w:bidi="ar-SA"/>
        </w:rPr>
        <w:t>，国有资本经营预算收支预算0万元</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。与 </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相比，一般公共预算收支预算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增加38.57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增长30.83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Calibri" w:eastAsia="仿宋_GB2312" w:cs="Times New Roman"/>
          <w:snapToGrid/>
          <w:kern w:val="2"/>
          <w:sz w:val="32"/>
          <w:szCs w:val="32"/>
          <w:highlight w:val="none"/>
          <w:lang w:val="en-US" w:eastAsia="zh-CN" w:bidi="ar-SA"/>
        </w:rPr>
        <w:t>主要原因是：人员调整、社保公积金基数调整以及增加了劳务派遣人员工资；</w:t>
      </w:r>
      <w:r>
        <w:rPr>
          <w:rFonts w:hint="eastAsia" w:ascii="仿宋_GB2312" w:hAnsi="Calibri" w:eastAsia="仿宋_GB2312" w:cs="Times New Roman"/>
          <w:b w:val="0"/>
          <w:bCs w:val="0"/>
          <w:snapToGrid/>
          <w:kern w:val="2"/>
          <w:sz w:val="32"/>
          <w:szCs w:val="32"/>
          <w:highlight w:val="none"/>
          <w:lang w:val="en-US" w:eastAsia="zh-CN" w:bidi="ar-SA"/>
        </w:rPr>
        <w:t>政府性基金收支预算增加0万元，增长0%，</w:t>
      </w:r>
      <w:r>
        <w:rPr>
          <w:rFonts w:hint="eastAsia" w:ascii="仿宋_GB2312" w:hAnsi="Calibri" w:eastAsia="仿宋_GB2312" w:cs="Times New Roman"/>
          <w:snapToGrid/>
          <w:kern w:val="2"/>
          <w:sz w:val="32"/>
          <w:szCs w:val="32"/>
          <w:highlight w:val="none"/>
          <w:lang w:val="en-US" w:eastAsia="zh-CN" w:bidi="ar-SA"/>
        </w:rPr>
        <w:t>主要原因是：无此项预算；国有资本经营预算收支预算增加0万元，增长0%，主要原因是：无此项预算</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2DE260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五、一般公共预算支出预算情况说明</w:t>
      </w:r>
    </w:p>
    <w:p w14:paraId="77755F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财政事务中心2025年</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一般公共预算支出年初预算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163.69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其中：基本支出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111.45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68.09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%；项目支出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52.24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31.91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%。主要用于以下方面：社会保障和就业支出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10.74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6.56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金融支出145.29万元，占88.76%；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住房保障支出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7.66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4.68</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66431B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六、一般公共预算基本支出预算情况说明</w:t>
      </w:r>
    </w:p>
    <w:p w14:paraId="1C5D1FB6">
      <w:pPr>
        <w:keepNext w:val="0"/>
        <w:keepLines w:val="0"/>
        <w:pageBreakBefore w:val="0"/>
        <w:widowControl w:val="0"/>
        <w:numPr>
          <w:ilvl w:val="0"/>
          <w:numId w:val="0"/>
        </w:numPr>
        <w:kinsoku/>
        <w:wordWrap/>
        <w:topLinePunct w:val="0"/>
        <w:autoSpaceDE/>
        <w:autoSpaceDN/>
        <w:bidi w:val="0"/>
        <w:adjustRightInd/>
        <w:snapToGrid/>
        <w:spacing w:line="240" w:lineRule="auto"/>
        <w:ind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财政事务中心2025年</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一般公共预算基本支出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111.45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w:t>
      </w:r>
      <w:r>
        <w:rPr>
          <w:rFonts w:hint="default" w:ascii="仿宋_GB2312" w:hAnsi="微软雅黑" w:eastAsia="仿宋_GB2312" w:cs="仿宋_GB2312"/>
          <w:b/>
          <w:bCs/>
          <w:i w:val="0"/>
          <w:iCs w:val="0"/>
          <w:caps w:val="0"/>
          <w:color w:val="444444"/>
          <w:spacing w:val="-1"/>
          <w:kern w:val="0"/>
          <w:sz w:val="32"/>
          <w:szCs w:val="32"/>
          <w:shd w:val="clear" w:fill="FFFFFF"/>
          <w:lang w:val="en-US" w:eastAsia="zh-CN" w:bidi="ar"/>
        </w:rPr>
        <w:t>人员经费</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97.57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占87.55%；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主要包括：</w:t>
      </w:r>
      <w:r>
        <w:rPr>
          <w:rFonts w:hint="eastAsia" w:ascii="仿宋" w:hAnsi="仿宋" w:eastAsia="仿宋" w:cs="仿宋"/>
          <w:color w:val="auto"/>
          <w:sz w:val="32"/>
          <w:szCs w:val="32"/>
          <w:highlight w:val="none"/>
          <w:lang w:val="en-US" w:eastAsia="zh-CN"/>
        </w:rPr>
        <w:t>基本工资、津贴补贴、奖金、绩效工资、机关事业单位基本养老保险缴费、职业年金缴费、医疗保险缴费、其他社会保障缴费、住房公积金、其他工资福利支出、其他对个人和家庭的补助支出；</w:t>
      </w:r>
      <w:r>
        <w:rPr>
          <w:rFonts w:hint="default" w:ascii="仿宋_GB2312" w:hAnsi="微软雅黑" w:eastAsia="仿宋_GB2312" w:cs="仿宋_GB2312"/>
          <w:b/>
          <w:bCs/>
          <w:i w:val="0"/>
          <w:iCs w:val="0"/>
          <w:caps w:val="0"/>
          <w:color w:val="444444"/>
          <w:spacing w:val="-1"/>
          <w:kern w:val="0"/>
          <w:sz w:val="32"/>
          <w:szCs w:val="32"/>
          <w:shd w:val="clear" w:fill="FFFFFF"/>
          <w:lang w:val="en-US" w:eastAsia="zh-CN" w:bidi="ar"/>
        </w:rPr>
        <w:t>公用经费</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13.88</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占12.45%；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主要包括：办公费、印刷费、</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电费、水费、邮电费、</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差旅费、工会经费、福利费、公务用车运行维护费、其他交通费用</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、其他商品服务支出</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74D169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topLinePunct w:val="0"/>
        <w:bidi w:val="0"/>
        <w:spacing w:before="0" w:beforeAutospacing="0" w:after="0" w:afterAutospacing="0" w:line="240" w:lineRule="auto"/>
        <w:ind w:left="0" w:right="0" w:firstLine="620" w:firstLineChars="200"/>
        <w:jc w:val="both"/>
        <w:textAlignment w:val="auto"/>
        <w:rPr>
          <w:rFonts w:hint="eastAsia" w:ascii="微软雅黑" w:hAnsi="微软雅黑" w:eastAsia="微软雅黑" w:cs="微软雅黑"/>
          <w:i w:val="0"/>
          <w:iCs w:val="0"/>
          <w:caps w:val="0"/>
          <w:color w:val="444444"/>
          <w:spacing w:val="0"/>
          <w:sz w:val="24"/>
          <w:szCs w:val="24"/>
        </w:rPr>
      </w:pPr>
      <w:r>
        <w:rPr>
          <w:rFonts w:ascii="黑体" w:hAnsi="宋体" w:eastAsia="黑体" w:cs="黑体"/>
          <w:i w:val="0"/>
          <w:iCs w:val="0"/>
          <w:caps w:val="0"/>
          <w:color w:val="444444"/>
          <w:spacing w:val="0"/>
          <w:kern w:val="0"/>
          <w:sz w:val="31"/>
          <w:szCs w:val="31"/>
          <w:shd w:val="clear" w:color="auto" w:fill="FFFFFF"/>
          <w:lang w:val="en-US" w:eastAsia="zh-CN" w:bidi="ar"/>
        </w:rPr>
        <w:t>七、支出预算经济分类情况说明</w:t>
      </w:r>
    </w:p>
    <w:p w14:paraId="3F9C8B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topLinePunct w:val="0"/>
        <w:bidi w:val="0"/>
        <w:spacing w:before="0" w:beforeAutospacing="0" w:after="0" w:afterAutospacing="0" w:line="240" w:lineRule="auto"/>
        <w:ind w:left="0" w:right="0" w:firstLine="620" w:firstLineChars="200"/>
        <w:jc w:val="both"/>
        <w:textAlignment w:val="auto"/>
        <w:rPr>
          <w:rFonts w:hint="eastAsia" w:ascii="微软雅黑" w:hAnsi="微软雅黑" w:eastAsia="微软雅黑" w:cs="微软雅黑"/>
          <w:i w:val="0"/>
          <w:iCs w:val="0"/>
          <w:caps w:val="0"/>
          <w:color w:val="444444"/>
          <w:spacing w:val="0"/>
          <w:sz w:val="24"/>
          <w:szCs w:val="24"/>
        </w:rPr>
      </w:pPr>
      <w:r>
        <w:rPr>
          <w:rFonts w:ascii="仿宋_GB2312" w:hAnsi="微软雅黑" w:eastAsia="仿宋_GB2312" w:cs="仿宋_GB2312"/>
          <w:i w:val="0"/>
          <w:iCs w:val="0"/>
          <w:caps w:val="0"/>
          <w:color w:val="444444"/>
          <w:spacing w:val="0"/>
          <w:kern w:val="0"/>
          <w:sz w:val="31"/>
          <w:szCs w:val="31"/>
          <w:shd w:val="clear" w:color="auto" w:fill="FFFFFF"/>
          <w:lang w:val="en-US" w:eastAsia="zh-CN" w:bidi="ar"/>
        </w:rPr>
        <w:t>按照《财政部关于印发&lt;支出经济分类科目改革方案&gt; 的通知》(财预〔2017〕98 号)要求，从 2018 年起全面实施 支出经济分类科目改革，根据政府预算管理和部门预算管 理的不同特点，分设部门预算支出经济分类科目和政府预 算支出经济分类科目，两套科目之间保持对应关系。为适应改革要求，我单位《支出经济分类汇总表》按两套经济 分类科目分别反映不同资金来源的全部预算支出。</w:t>
      </w:r>
    </w:p>
    <w:p w14:paraId="46FFA5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八、“三公”经费支出预算情况说明</w:t>
      </w:r>
    </w:p>
    <w:p w14:paraId="41F962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财政事务中心2025年</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“三公”经费预算为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3.42</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2025年</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 xml:space="preserve">“三公”经费支出预算数比 </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减少</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0.18</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万元，下降</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2A647C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具体支出情况如下： </w:t>
      </w:r>
    </w:p>
    <w:p w14:paraId="54D55816">
      <w:pPr>
        <w:keepNext w:val="0"/>
        <w:keepLines w:val="0"/>
        <w:pageBreakBefore w:val="0"/>
        <w:numPr>
          <w:ilvl w:val="0"/>
          <w:numId w:val="0"/>
        </w:numPr>
        <w:wordWrap/>
        <w:topLinePunct w:val="0"/>
        <w:bidi w:val="0"/>
        <w:spacing w:line="240" w:lineRule="auto"/>
        <w:ind w:firstLine="636" w:firstLineChars="200"/>
        <w:jc w:val="both"/>
        <w:textAlignment w:val="auto"/>
        <w:rPr>
          <w:rFonts w:hint="eastAsia" w:ascii="仿宋_GB2312" w:hAnsi="宋体" w:eastAsia="仿宋_GB2312" w:cs="Courier New"/>
          <w:sz w:val="32"/>
          <w:szCs w:val="32"/>
          <w:lang w:val="en-US" w:eastAsia="zh-CN"/>
        </w:rPr>
      </w:pPr>
      <w:r>
        <w:rPr>
          <w:rFonts w:ascii="楷体" w:hAnsi="楷体" w:eastAsia="楷体" w:cs="楷体"/>
          <w:i w:val="0"/>
          <w:iCs w:val="0"/>
          <w:caps w:val="0"/>
          <w:color w:val="444444"/>
          <w:spacing w:val="-1"/>
          <w:kern w:val="0"/>
          <w:sz w:val="32"/>
          <w:szCs w:val="32"/>
          <w:shd w:val="clear" w:fill="FFFFFF"/>
          <w:lang w:val="en-US" w:eastAsia="zh-CN" w:bidi="ar"/>
        </w:rPr>
        <w:t>（一）</w:t>
      </w:r>
      <w:r>
        <w:rPr>
          <w:rFonts w:hint="eastAsia" w:ascii="楷体" w:hAnsi="楷体" w:eastAsia="楷体" w:cs="仿宋_GB2312"/>
          <w:spacing w:val="-1"/>
          <w:kern w:val="0"/>
          <w:sz w:val="32"/>
          <w:szCs w:val="32"/>
        </w:rPr>
        <w:t>因公出国（境）费</w:t>
      </w:r>
      <w:r>
        <w:rPr>
          <w:rFonts w:hint="eastAsia" w:ascii="楷体" w:hAnsi="楷体" w:eastAsia="楷体"/>
          <w:sz w:val="32"/>
          <w:szCs w:val="32"/>
          <w:lang w:val="en-US" w:eastAsia="zh-CN"/>
        </w:rPr>
        <w:t>0</w:t>
      </w:r>
      <w:r>
        <w:rPr>
          <w:rFonts w:hint="eastAsia" w:ascii="楷体" w:hAnsi="楷体" w:eastAsia="楷体" w:cs="仿宋_GB2312"/>
          <w:spacing w:val="-1"/>
          <w:kern w:val="0"/>
          <w:sz w:val="32"/>
          <w:szCs w:val="32"/>
        </w:rPr>
        <w:t>万元，</w:t>
      </w:r>
      <w:r>
        <w:rPr>
          <w:rFonts w:hint="eastAsia" w:ascii="仿宋_GB2312" w:hAnsi="宋体" w:eastAsia="仿宋_GB2312" w:cs="Courier New"/>
          <w:sz w:val="32"/>
          <w:szCs w:val="32"/>
        </w:rPr>
        <w:t>主要用于单位工作人员公务出国（境）的住宿费、旅费、伙食补助费、杂费、培训费等支出。预算数与</w:t>
      </w:r>
      <w:r>
        <w:rPr>
          <w:rFonts w:hint="eastAsia" w:ascii="仿宋_GB2312" w:hAnsi="宋体" w:eastAsia="仿宋_GB2312" w:cs="Courier New"/>
          <w:sz w:val="32"/>
          <w:szCs w:val="32"/>
          <w:lang w:eastAsia="zh-CN"/>
        </w:rPr>
        <w:t>2024年</w:t>
      </w:r>
      <w:r>
        <w:rPr>
          <w:rFonts w:hint="eastAsia" w:ascii="仿宋_GB2312" w:hAnsi="宋体" w:eastAsia="仿宋_GB2312" w:cs="Courier New"/>
          <w:sz w:val="32"/>
          <w:szCs w:val="32"/>
          <w:lang w:val="en-US" w:eastAsia="zh-CN"/>
        </w:rPr>
        <w:t>下降0万元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lang w:val="en-US" w:eastAsia="zh-CN"/>
        </w:rPr>
        <w:t>下降0%；主要原因是无出国境业务。</w:t>
      </w:r>
    </w:p>
    <w:p w14:paraId="32A14F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36"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1"/>
          <w:kern w:val="0"/>
          <w:sz w:val="32"/>
          <w:szCs w:val="32"/>
          <w:shd w:val="clear" w:fill="FFFFFF"/>
          <w:lang w:val="en-US" w:eastAsia="zh-CN" w:bidi="ar"/>
        </w:rPr>
        <w:t>（二）公务接待费1.52</w:t>
      </w:r>
      <w:r>
        <w:rPr>
          <w:rFonts w:hint="eastAsia" w:ascii="楷体" w:hAnsi="楷体" w:eastAsia="楷体" w:cs="楷体"/>
          <w:i w:val="0"/>
          <w:iCs w:val="0"/>
          <w:caps w:val="0"/>
          <w:color w:val="444444"/>
          <w:spacing w:val="0"/>
          <w:kern w:val="0"/>
          <w:sz w:val="32"/>
          <w:szCs w:val="32"/>
          <w:shd w:val="clear" w:fill="FFFFFF"/>
          <w:lang w:val="en-US" w:eastAsia="zh-CN" w:bidi="ar"/>
        </w:rPr>
        <w:t>万元，</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主要用于按规定开支的各类公务接待（含外宾接待）支出。预算数比</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减少</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0.08</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，下降5%；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原因：严格</w:t>
      </w:r>
      <w:r>
        <w:rPr>
          <w:rFonts w:hint="default" w:ascii="仿宋_GB2312" w:hAnsi="微软雅黑" w:eastAsia="仿宋_GB2312" w:cs="仿宋_GB2312"/>
          <w:i w:val="0"/>
          <w:iCs w:val="0"/>
          <w:caps w:val="0"/>
          <w:color w:val="444444"/>
          <w:spacing w:val="0"/>
          <w:kern w:val="0"/>
          <w:sz w:val="30"/>
          <w:szCs w:val="30"/>
          <w:shd w:val="clear" w:fill="FFFFFF"/>
          <w:lang w:val="en-US" w:eastAsia="zh-CN" w:bidi="ar"/>
        </w:rPr>
        <w:t>执行中央八项规定，减少不必要的接待</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，压减公务接待费。</w:t>
      </w:r>
    </w:p>
    <w:p w14:paraId="717F374C">
      <w:pPr>
        <w:keepNext w:val="0"/>
        <w:keepLines w:val="0"/>
        <w:pageBreakBefore w:val="0"/>
        <w:numPr>
          <w:ilvl w:val="0"/>
          <w:numId w:val="0"/>
        </w:numPr>
        <w:wordWrap/>
        <w:topLinePunct w:val="0"/>
        <w:bidi w:val="0"/>
        <w:spacing w:line="240" w:lineRule="auto"/>
        <w:ind w:firstLine="636"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1"/>
          <w:kern w:val="0"/>
          <w:sz w:val="32"/>
          <w:szCs w:val="32"/>
          <w:shd w:val="clear" w:fill="FFFFFF"/>
          <w:lang w:val="en-US" w:eastAsia="zh-CN" w:bidi="ar"/>
        </w:rPr>
        <w:t>（三）公务用车购置及运行费</w:t>
      </w:r>
      <w:r>
        <w:rPr>
          <w:rFonts w:hint="eastAsia" w:ascii="楷体" w:hAnsi="楷体" w:eastAsia="楷体" w:cs="楷体"/>
          <w:i w:val="0"/>
          <w:iCs w:val="0"/>
          <w:caps w:val="0"/>
          <w:color w:val="444444"/>
          <w:spacing w:val="0"/>
          <w:kern w:val="0"/>
          <w:sz w:val="32"/>
          <w:szCs w:val="32"/>
          <w:shd w:val="clear" w:fill="FFFFFF"/>
          <w:lang w:val="en-US" w:eastAsia="zh-CN" w:bidi="ar"/>
        </w:rPr>
        <w:t>1.9万元，</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其中，</w:t>
      </w:r>
      <w:r>
        <w:rPr>
          <w:rFonts w:hint="eastAsia" w:ascii="仿宋_GB2312" w:hAnsi="Calibri" w:eastAsia="仿宋_GB2312" w:cs="Times New Roman"/>
          <w:snapToGrid/>
          <w:kern w:val="2"/>
          <w:sz w:val="32"/>
          <w:szCs w:val="32"/>
          <w:highlight w:val="none"/>
          <w:lang w:val="en-US" w:eastAsia="zh-CN" w:bidi="ar-SA"/>
        </w:rPr>
        <w:t>公务用车购置费0万元，主要用于公务用车购置，比2024年减少0万元，下降0%，主要原因是：无购买车辆需求；</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公务用车运行维护费</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 xml:space="preserve">万元，主要用于开展工作所需公务用车的燃料费、维修费、过路过桥费、保险费、安全奖励费用等支出。公务用车运行维护费预算数比 </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减少</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下降5%；主要</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原因：</w:t>
      </w:r>
      <w:r>
        <w:rPr>
          <w:rFonts w:hint="default" w:ascii="仿宋_GB2312" w:hAnsi="微软雅黑" w:eastAsia="仿宋_GB2312" w:cs="仿宋_GB2312"/>
          <w:i w:val="0"/>
          <w:iCs w:val="0"/>
          <w:caps w:val="0"/>
          <w:color w:val="444444"/>
          <w:spacing w:val="0"/>
          <w:kern w:val="0"/>
          <w:sz w:val="30"/>
          <w:szCs w:val="30"/>
          <w:shd w:val="clear" w:fill="FFFFFF"/>
          <w:lang w:val="en-US" w:eastAsia="zh-CN" w:bidi="ar"/>
        </w:rPr>
        <w:t>严格执行八项规定，遵循逐年减少的原则，厉行节约，</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严格控制“三公”经费支出，压减公务用车购置及运行费。</w:t>
      </w:r>
    </w:p>
    <w:p w14:paraId="4553E2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九、政府性基金预算支出预算情况说明</w:t>
      </w:r>
    </w:p>
    <w:p w14:paraId="07166F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财政事务中心2025年</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政府性基金预算支出年初预算为0  万元。</w:t>
      </w:r>
    </w:p>
    <w:p w14:paraId="15B1A6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36"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1"/>
          <w:kern w:val="0"/>
          <w:sz w:val="32"/>
          <w:szCs w:val="32"/>
          <w:shd w:val="clear" w:fill="FFFFFF"/>
          <w:lang w:val="en-US" w:eastAsia="zh-CN" w:bidi="ar"/>
        </w:rPr>
        <w:t>十、其他重要事项的情况说明</w:t>
      </w:r>
    </w:p>
    <w:p w14:paraId="194922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b w:val="0"/>
          <w:bCs w:val="0"/>
          <w:i w:val="0"/>
          <w:iCs w:val="0"/>
          <w:caps w:val="0"/>
          <w:color w:val="444444"/>
          <w:spacing w:val="0"/>
          <w:sz w:val="24"/>
          <w:szCs w:val="24"/>
        </w:rPr>
      </w:pPr>
      <w:r>
        <w:rPr>
          <w:rFonts w:hint="eastAsia" w:ascii="楷体" w:hAnsi="楷体" w:eastAsia="楷体" w:cs="楷体"/>
          <w:b w:val="0"/>
          <w:bCs w:val="0"/>
          <w:i w:val="0"/>
          <w:iCs w:val="0"/>
          <w:caps w:val="0"/>
          <w:color w:val="444444"/>
          <w:spacing w:val="0"/>
          <w:kern w:val="0"/>
          <w:sz w:val="32"/>
          <w:szCs w:val="32"/>
          <w:shd w:val="clear" w:fill="FFFFFF"/>
          <w:lang w:val="en-US" w:eastAsia="zh-CN" w:bidi="ar"/>
        </w:rPr>
        <w:t>（一）机关运行经费支出情况</w:t>
      </w:r>
    </w:p>
    <w:p w14:paraId="050A02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财政事务中心2025年</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机关运行经费支出预算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13.88</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万元，主要保障</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单位</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正常运转及正常履职需要</w:t>
      </w:r>
      <w:r>
        <w:rPr>
          <w:rFonts w:hint="eastAsia" w:ascii="仿宋_GB2312" w:hAnsi="Calibri" w:eastAsia="仿宋_GB2312" w:cs="Times New Roman"/>
          <w:snapToGrid/>
          <w:kern w:val="2"/>
          <w:sz w:val="32"/>
          <w:szCs w:val="32"/>
          <w:highlight w:val="none"/>
          <w:lang w:val="en-US" w:eastAsia="zh-CN" w:bidi="ar-SA"/>
        </w:rPr>
        <w:t>，比2024年增加7.32万元，增长34.25%，主要原因：</w:t>
      </w:r>
      <w:r>
        <w:rPr>
          <w:rFonts w:hint="eastAsia" w:ascii="仿宋_GB2312" w:eastAsia="仿宋_GB2312" w:cs="Times New Roman"/>
          <w:snapToGrid/>
          <w:kern w:val="2"/>
          <w:sz w:val="32"/>
          <w:szCs w:val="32"/>
          <w:highlight w:val="none"/>
          <w:lang w:val="en-US" w:eastAsia="zh-CN" w:bidi="ar-SA"/>
        </w:rPr>
        <w:t>人员公用经费标准提高，</w:t>
      </w:r>
      <w:bookmarkStart w:id="0" w:name="_GoBack"/>
      <w:bookmarkEnd w:id="0"/>
      <w:r>
        <w:rPr>
          <w:rFonts w:hint="eastAsia" w:ascii="仿宋_GB2312" w:hAnsi="Calibri" w:eastAsia="仿宋_GB2312" w:cs="Times New Roman"/>
          <w:snapToGrid/>
          <w:kern w:val="2"/>
          <w:sz w:val="32"/>
          <w:szCs w:val="32"/>
          <w:highlight w:val="none"/>
          <w:lang w:val="en-US" w:eastAsia="zh-CN" w:bidi="ar-SA"/>
        </w:rPr>
        <w:t>人员调整</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68338C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楷体" w:hAnsi="楷体" w:eastAsia="楷体" w:cs="楷体"/>
          <w:b w:val="0"/>
          <w:bCs w:val="0"/>
          <w:i w:val="0"/>
          <w:iCs w:val="0"/>
          <w:caps w:val="0"/>
          <w:color w:val="444444"/>
          <w:spacing w:val="0"/>
          <w:kern w:val="0"/>
          <w:sz w:val="32"/>
          <w:szCs w:val="32"/>
          <w:shd w:val="clear" w:fill="FFFFFF"/>
          <w:lang w:val="en-US" w:eastAsia="zh-CN" w:bidi="ar"/>
        </w:rPr>
      </w:pPr>
      <w:r>
        <w:rPr>
          <w:rFonts w:hint="eastAsia" w:ascii="楷体" w:hAnsi="楷体" w:eastAsia="楷体" w:cs="楷体"/>
          <w:b w:val="0"/>
          <w:bCs w:val="0"/>
          <w:i w:val="0"/>
          <w:iCs w:val="0"/>
          <w:caps w:val="0"/>
          <w:color w:val="444444"/>
          <w:spacing w:val="0"/>
          <w:kern w:val="0"/>
          <w:sz w:val="32"/>
          <w:szCs w:val="32"/>
          <w:shd w:val="clear" w:fill="FFFFFF"/>
          <w:lang w:val="en-US" w:eastAsia="zh-CN" w:bidi="ar"/>
        </w:rPr>
        <w:t>（二）政府采购支出情况</w:t>
      </w:r>
    </w:p>
    <w:p w14:paraId="2D7AD0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2025年</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政府采购预算安排0万元。其中：政府采购货物预算0万元、政府采购工程预算0万元、政府采购服务预算0万元。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我部门（单位）2025年无重点评价项目。</w:t>
      </w:r>
    </w:p>
    <w:p w14:paraId="55B943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0"/>
          <w:kern w:val="0"/>
          <w:sz w:val="32"/>
          <w:szCs w:val="32"/>
          <w:shd w:val="clear" w:fill="FFFFFF"/>
          <w:lang w:val="en-US" w:eastAsia="zh-CN" w:bidi="ar"/>
        </w:rPr>
        <w:t>（三）关于预算绩效管理工作开展情况说明</w:t>
      </w:r>
    </w:p>
    <w:p w14:paraId="71F8B4DD">
      <w:pPr>
        <w:keepNext w:val="0"/>
        <w:keepLines w:val="0"/>
        <w:pageBreakBefore w:val="0"/>
        <w:widowControl w:val="0"/>
        <w:kinsoku/>
        <w:wordWrap/>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我部门2025年预算项目均按要求编制了绩效目标，从项目产出、项目效益、满意度等方面设置了绩效目标，综合反映项目预期完成的数量、实效、质量，预期达到的社会经济效益、可持续影响以及服务对象满意度等情况。</w:t>
      </w:r>
    </w:p>
    <w:p w14:paraId="0AF6AB95">
      <w:pPr>
        <w:keepNext w:val="0"/>
        <w:keepLines w:val="0"/>
        <w:pageBreakBefore w:val="0"/>
        <w:widowControl w:val="0"/>
        <w:kinsoku/>
        <w:wordWrap/>
        <w:topLinePunct w:val="0"/>
        <w:autoSpaceDE/>
        <w:autoSpaceDN/>
        <w:bidi w:val="0"/>
        <w:adjustRightInd/>
        <w:snapToGrid/>
        <w:spacing w:line="240" w:lineRule="auto"/>
        <w:ind w:firstLine="640" w:firstLineChars="200"/>
        <w:jc w:val="both"/>
        <w:textAlignment w:val="auto"/>
        <w:rPr>
          <w:rFonts w:hint="default"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2025年，我部门纳入预算绩效管理的支出总额为163.69万元，其中人员经费支出97.57万元，公用经费支出13.88万元，支出项目共2个，支出总额52.24万元，其中预算支出100万元及100万元以上项目0个，支出总额0万元。2025年我部门拟组织对1个项目进行预算绩效评价，涉及资金12万元。我部门2025年未开展重点项目预算的绩效目标。</w:t>
      </w:r>
    </w:p>
    <w:p w14:paraId="363F6A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right="0" w:firstLine="640" w:firstLineChars="200"/>
        <w:jc w:val="both"/>
        <w:textAlignment w:val="auto"/>
        <w:rPr>
          <w:rFonts w:hint="eastAsia" w:ascii="楷体" w:hAnsi="楷体" w:eastAsia="楷体" w:cs="楷体"/>
          <w:i w:val="0"/>
          <w:iCs w:val="0"/>
          <w:caps w:val="0"/>
          <w:color w:val="444444"/>
          <w:spacing w:val="0"/>
          <w:kern w:val="0"/>
          <w:sz w:val="32"/>
          <w:szCs w:val="32"/>
          <w:shd w:val="clear" w:fill="FFFFFF"/>
          <w:lang w:val="en-US" w:eastAsia="zh-CN" w:bidi="ar"/>
        </w:rPr>
      </w:pPr>
      <w:r>
        <w:rPr>
          <w:rFonts w:hint="eastAsia" w:ascii="楷体" w:hAnsi="楷体" w:eastAsia="楷体" w:cs="楷体"/>
          <w:i w:val="0"/>
          <w:iCs w:val="0"/>
          <w:caps w:val="0"/>
          <w:color w:val="444444"/>
          <w:spacing w:val="0"/>
          <w:kern w:val="0"/>
          <w:sz w:val="32"/>
          <w:szCs w:val="32"/>
          <w:shd w:val="clear" w:fill="FFFFFF"/>
          <w:lang w:val="en-US" w:eastAsia="zh-CN" w:bidi="ar"/>
        </w:rPr>
        <w:t>（四）国有资产占用情况说明</w:t>
      </w:r>
    </w:p>
    <w:p w14:paraId="666AC0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default" w:ascii="仿宋_GB2312" w:hAnsi="微软雅黑" w:eastAsia="仿宋_GB2312" w:cs="仿宋_GB2312"/>
          <w:i w:val="0"/>
          <w:iCs w:val="0"/>
          <w:caps w:val="0"/>
          <w:color w:val="444444"/>
          <w:spacing w:val="-1"/>
          <w:kern w:val="0"/>
          <w:sz w:val="32"/>
          <w:szCs w:val="32"/>
          <w:shd w:val="clear" w:fill="FFFFFF"/>
          <w:lang w:val="en-US" w:eastAsia="zh-CN" w:bidi="ar"/>
        </w:rPr>
      </w:pPr>
      <w:r>
        <w:rPr>
          <w:rFonts w:hint="eastAsia" w:ascii="仿宋_GB2312" w:hAnsi="Calibri" w:eastAsia="仿宋_GB2312" w:cs="Times New Roman"/>
          <w:snapToGrid/>
          <w:color w:val="auto"/>
          <w:kern w:val="2"/>
          <w:sz w:val="32"/>
          <w:szCs w:val="32"/>
          <w:highlight w:val="none"/>
          <w:lang w:val="en-US" w:eastAsia="zh-CN" w:bidi="ar-SA"/>
        </w:rPr>
        <w:t>2024年期末，我部门共有车辆</w:t>
      </w:r>
      <w:r>
        <w:rPr>
          <w:rFonts w:hint="eastAsia" w:ascii="仿宋_GB2312" w:eastAsia="仿宋_GB2312" w:cs="Times New Roman"/>
          <w:snapToGrid/>
          <w:color w:val="auto"/>
          <w:kern w:val="2"/>
          <w:sz w:val="32"/>
          <w:szCs w:val="32"/>
          <w:highlight w:val="none"/>
          <w:lang w:val="en-US" w:eastAsia="zh-CN" w:bidi="ar-SA"/>
        </w:rPr>
        <w:t>0</w:t>
      </w:r>
      <w:r>
        <w:rPr>
          <w:rFonts w:hint="eastAsia" w:ascii="仿宋_GB2312" w:hAnsi="Calibri" w:eastAsia="仿宋_GB2312" w:cs="Times New Roman"/>
          <w:snapToGrid/>
          <w:color w:val="auto"/>
          <w:kern w:val="2"/>
          <w:sz w:val="32"/>
          <w:szCs w:val="32"/>
          <w:highlight w:val="none"/>
          <w:lang w:val="en-US" w:eastAsia="zh-CN" w:bidi="ar-SA"/>
        </w:rPr>
        <w:t>辆，其中：一般公务用车</w:t>
      </w:r>
      <w:r>
        <w:rPr>
          <w:rFonts w:hint="eastAsia" w:ascii="仿宋_GB2312" w:eastAsia="仿宋_GB2312" w:cs="Times New Roman"/>
          <w:snapToGrid/>
          <w:color w:val="auto"/>
          <w:kern w:val="2"/>
          <w:sz w:val="32"/>
          <w:szCs w:val="32"/>
          <w:highlight w:val="none"/>
          <w:lang w:val="en-US" w:eastAsia="zh-CN" w:bidi="ar-SA"/>
        </w:rPr>
        <w:t>0</w:t>
      </w:r>
      <w:r>
        <w:rPr>
          <w:rFonts w:hint="eastAsia" w:ascii="仿宋_GB2312" w:hAnsi="Calibri" w:eastAsia="仿宋_GB2312" w:cs="Times New Roman"/>
          <w:snapToGrid/>
          <w:color w:val="auto"/>
          <w:kern w:val="2"/>
          <w:sz w:val="32"/>
          <w:szCs w:val="32"/>
          <w:highlight w:val="none"/>
          <w:lang w:val="en-US" w:eastAsia="zh-CN" w:bidi="ar-SA"/>
        </w:rPr>
        <w:t>辆、一般执法执勤用车</w:t>
      </w:r>
      <w:r>
        <w:rPr>
          <w:rFonts w:hint="eastAsia" w:ascii="仿宋_GB2312" w:eastAsia="仿宋_GB2312" w:cs="Times New Roman"/>
          <w:snapToGrid/>
          <w:color w:val="auto"/>
          <w:kern w:val="2"/>
          <w:sz w:val="32"/>
          <w:szCs w:val="32"/>
          <w:highlight w:val="none"/>
          <w:lang w:val="en-US" w:eastAsia="zh-CN" w:bidi="ar-SA"/>
        </w:rPr>
        <w:t>0</w:t>
      </w:r>
      <w:r>
        <w:rPr>
          <w:rFonts w:hint="eastAsia" w:ascii="仿宋_GB2312" w:hAnsi="Calibri" w:eastAsia="仿宋_GB2312" w:cs="Times New Roman"/>
          <w:snapToGrid/>
          <w:color w:val="auto"/>
          <w:kern w:val="2"/>
          <w:sz w:val="32"/>
          <w:szCs w:val="32"/>
          <w:highlight w:val="none"/>
          <w:lang w:val="en-US" w:eastAsia="zh-CN" w:bidi="ar-SA"/>
        </w:rPr>
        <w:t>辆、特种专业技术用车</w:t>
      </w:r>
      <w:r>
        <w:rPr>
          <w:rFonts w:hint="eastAsia" w:ascii="仿宋_GB2312" w:eastAsia="仿宋_GB2312" w:cs="Times New Roman"/>
          <w:snapToGrid/>
          <w:color w:val="auto"/>
          <w:kern w:val="2"/>
          <w:sz w:val="32"/>
          <w:szCs w:val="32"/>
          <w:highlight w:val="none"/>
          <w:lang w:val="en-US" w:eastAsia="zh-CN" w:bidi="ar-SA"/>
        </w:rPr>
        <w:t>0</w:t>
      </w:r>
      <w:r>
        <w:rPr>
          <w:rFonts w:hint="eastAsia" w:ascii="仿宋_GB2312" w:hAnsi="Calibri" w:eastAsia="仿宋_GB2312" w:cs="Times New Roman"/>
          <w:snapToGrid/>
          <w:color w:val="auto"/>
          <w:kern w:val="2"/>
          <w:sz w:val="32"/>
          <w:szCs w:val="32"/>
          <w:highlight w:val="none"/>
          <w:lang w:val="en-US" w:eastAsia="zh-CN" w:bidi="ar-SA"/>
        </w:rPr>
        <w:t>辆，其他用车</w:t>
      </w:r>
      <w:r>
        <w:rPr>
          <w:rFonts w:hint="eastAsia" w:ascii="仿宋_GB2312" w:eastAsia="仿宋_GB2312" w:cs="Times New Roman"/>
          <w:snapToGrid/>
          <w:color w:val="auto"/>
          <w:kern w:val="2"/>
          <w:sz w:val="32"/>
          <w:szCs w:val="32"/>
          <w:highlight w:val="none"/>
          <w:lang w:val="en-US" w:eastAsia="zh-CN" w:bidi="ar-SA"/>
        </w:rPr>
        <w:t>0</w:t>
      </w:r>
      <w:r>
        <w:rPr>
          <w:rFonts w:hint="eastAsia" w:ascii="仿宋_GB2312" w:hAnsi="Calibri" w:eastAsia="仿宋_GB2312" w:cs="Times New Roman"/>
          <w:snapToGrid/>
          <w:color w:val="auto"/>
          <w:kern w:val="2"/>
          <w:sz w:val="32"/>
          <w:szCs w:val="32"/>
          <w:highlight w:val="none"/>
          <w:lang w:val="en-US" w:eastAsia="zh-CN" w:bidi="ar-SA"/>
        </w:rPr>
        <w:t>辆；单价50万元以上通用设备</w:t>
      </w:r>
      <w:r>
        <w:rPr>
          <w:rFonts w:hint="eastAsia" w:ascii="仿宋_GB2312" w:eastAsia="仿宋_GB2312" w:cs="Times New Roman"/>
          <w:snapToGrid/>
          <w:color w:val="auto"/>
          <w:kern w:val="2"/>
          <w:sz w:val="32"/>
          <w:szCs w:val="32"/>
          <w:highlight w:val="none"/>
          <w:lang w:val="en-US" w:eastAsia="zh-CN" w:bidi="ar-SA"/>
        </w:rPr>
        <w:t>0</w:t>
      </w:r>
      <w:r>
        <w:rPr>
          <w:rFonts w:hint="eastAsia" w:ascii="仿宋_GB2312" w:hAnsi="Calibri" w:eastAsia="仿宋_GB2312" w:cs="Times New Roman"/>
          <w:snapToGrid/>
          <w:color w:val="auto"/>
          <w:kern w:val="2"/>
          <w:sz w:val="32"/>
          <w:szCs w:val="32"/>
          <w:highlight w:val="none"/>
          <w:lang w:val="en-US" w:eastAsia="zh-CN" w:bidi="ar-SA"/>
        </w:rPr>
        <w:t>套，单位价值100万元以上专用设备</w:t>
      </w:r>
      <w:r>
        <w:rPr>
          <w:rFonts w:hint="eastAsia" w:ascii="仿宋_GB2312" w:eastAsia="仿宋_GB2312" w:cs="Times New Roman"/>
          <w:snapToGrid/>
          <w:color w:val="auto"/>
          <w:kern w:val="2"/>
          <w:sz w:val="32"/>
          <w:szCs w:val="32"/>
          <w:highlight w:val="none"/>
          <w:lang w:val="en-US" w:eastAsia="zh-CN" w:bidi="ar-SA"/>
        </w:rPr>
        <w:t>0</w:t>
      </w:r>
      <w:r>
        <w:rPr>
          <w:rFonts w:hint="eastAsia" w:ascii="仿宋_GB2312" w:hAnsi="Calibri" w:eastAsia="仿宋_GB2312" w:cs="Times New Roman"/>
          <w:snapToGrid/>
          <w:color w:val="auto"/>
          <w:kern w:val="2"/>
          <w:sz w:val="32"/>
          <w:szCs w:val="32"/>
          <w:highlight w:val="none"/>
          <w:lang w:val="en-US" w:eastAsia="zh-CN" w:bidi="ar-SA"/>
        </w:rPr>
        <w:t>套。</w:t>
      </w:r>
    </w:p>
    <w:p w14:paraId="20CCBE2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0" w:beforeAutospacing="0" w:after="0" w:afterAutospacing="0" w:line="240" w:lineRule="auto"/>
        <w:ind w:left="0" w:right="0" w:firstLine="640" w:firstLineChars="200"/>
        <w:jc w:val="both"/>
        <w:textAlignment w:val="auto"/>
        <w:rPr>
          <w:rFonts w:hint="default" w:ascii="楷体" w:hAnsi="楷体" w:eastAsia="楷体" w:cs="楷体"/>
          <w:i w:val="0"/>
          <w:iCs w:val="0"/>
          <w:caps w:val="0"/>
          <w:color w:val="444444"/>
          <w:spacing w:val="0"/>
          <w:kern w:val="0"/>
          <w:sz w:val="32"/>
          <w:szCs w:val="32"/>
          <w:lang w:val="en-US" w:eastAsia="zh-CN" w:bidi="ar"/>
        </w:rPr>
      </w:pPr>
      <w:r>
        <w:rPr>
          <w:rFonts w:hint="default" w:ascii="楷体" w:hAnsi="楷体" w:eastAsia="楷体" w:cs="楷体"/>
          <w:i w:val="0"/>
          <w:iCs w:val="0"/>
          <w:caps w:val="0"/>
          <w:color w:val="444444"/>
          <w:spacing w:val="0"/>
          <w:kern w:val="0"/>
          <w:sz w:val="32"/>
          <w:szCs w:val="32"/>
          <w:lang w:val="en-US" w:eastAsia="zh-CN" w:bidi="ar"/>
        </w:rPr>
        <w:t>（五）专项转移支付项目情况</w:t>
      </w:r>
    </w:p>
    <w:p w14:paraId="3BC9F2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240" w:lineRule="auto"/>
        <w:ind w:left="0" w:right="0" w:firstLine="640" w:firstLineChars="200"/>
        <w:jc w:val="both"/>
        <w:textAlignment w:val="auto"/>
        <w:rPr>
          <w:rFonts w:hint="eastAsia" w:ascii="仿宋_GB2312" w:hAnsi="微软雅黑" w:eastAsia="仿宋_GB2312" w:cs="仿宋_GB2312"/>
          <w:i w:val="0"/>
          <w:iCs w:val="0"/>
          <w:caps w:val="0"/>
          <w:color w:val="444444"/>
          <w:spacing w:val="-1"/>
          <w:kern w:val="0"/>
          <w:sz w:val="32"/>
          <w:szCs w:val="32"/>
          <w:shd w:val="clear" w:fill="FFFFFF"/>
          <w:lang w:val="en-US" w:eastAsia="zh-CN" w:bidi="ar"/>
        </w:rPr>
      </w:pPr>
      <w:r>
        <w:rPr>
          <w:rFonts w:hint="eastAsia" w:ascii="仿宋_GB2312" w:hAnsi="仿宋_GB2312" w:eastAsia="仿宋_GB2312" w:cs="仿宋_GB2312"/>
          <w:i w:val="0"/>
          <w:iCs w:val="0"/>
          <w:caps w:val="0"/>
          <w:color w:val="444444"/>
          <w:spacing w:val="0"/>
          <w:kern w:val="0"/>
          <w:sz w:val="32"/>
          <w:szCs w:val="32"/>
          <w:lang w:val="en-US" w:eastAsia="zh-CN" w:bidi="ar"/>
        </w:rPr>
        <w:t>我单位2025年负责管理的专项转移支付项目共有0项。我单位将按照《预算法》等有关规定，积极做好项目分配前期准备工作，在规定的时间内向财政部门提出资金分配意见，根据有关要求做好项目申报公开等相关工作。</w:t>
      </w:r>
    </w:p>
    <w:p w14:paraId="206924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黑体" w:hAnsi="宋体" w:eastAsia="黑体" w:cs="黑体"/>
          <w:i w:val="0"/>
          <w:iCs w:val="0"/>
          <w:caps w:val="0"/>
          <w:color w:val="444444"/>
          <w:spacing w:val="0"/>
          <w:kern w:val="0"/>
          <w:sz w:val="32"/>
          <w:szCs w:val="32"/>
          <w:shd w:val="clear" w:fill="FFFFFF"/>
          <w:lang w:val="en-US" w:eastAsia="zh-CN" w:bidi="ar"/>
        </w:rPr>
      </w:pPr>
    </w:p>
    <w:p w14:paraId="1E8E02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第三部分</w:t>
      </w:r>
    </w:p>
    <w:p w14:paraId="67FBA8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名词解释</w:t>
      </w:r>
    </w:p>
    <w:p w14:paraId="360AD5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 </w:t>
      </w:r>
    </w:p>
    <w:p w14:paraId="4634E908">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一、财政拨款收入：是指县级财政当年拨付的资金；包括一般公共预算拨款、政府性基金预算拨款、国有资本经营预算拨款。</w:t>
      </w:r>
    </w:p>
    <w:p w14:paraId="02EAF9BD">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二、财政专户管理资金：是指缴入财政专户、实行专项管理的高中以上学费、住宿费、高校委托培养费、函大、电大、夜大及短训班培训费等教育收费。</w:t>
      </w:r>
    </w:p>
    <w:p w14:paraId="1D224406">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三、事业收入：是指事业单位开展专业活动及辅助活动所取得的收入，不包括教育收费。</w:t>
      </w:r>
    </w:p>
    <w:p w14:paraId="284C1386">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四、事业单位经营收入：是指事业单位在专业业务活动及其辅助活动之外开展非独立核算经营活动取得的收入。</w:t>
      </w:r>
    </w:p>
    <w:p w14:paraId="1D20780C">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五、其他收入：是指部门取得的除“财政拨款”、“事业收入”、“事业单位经营收入”等以外的收入。</w:t>
      </w:r>
    </w:p>
    <w:p w14:paraId="66E43272">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6C28C904">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七、基本支出：是指为保障机构正常运转、完成日常工作任务所必需的开支，其内容包括人员经费和日常公用经费两部分。</w:t>
      </w:r>
    </w:p>
    <w:p w14:paraId="008DABD6">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八、项目支出：是指在基本支出之外，为完成特定的行政工作任务或事业发展目标所发生的支出。</w:t>
      </w:r>
    </w:p>
    <w:p w14:paraId="1307C04D">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九、“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2E34429">
      <w:pPr>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148D7D5D">
      <w:pPr>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hint="default"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附件：渑池县财政事务中心2025年部门预算表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D1FBF"/>
    <w:multiLevelType w:val="singleLevel"/>
    <w:tmpl w:val="FF7D1FBF"/>
    <w:lvl w:ilvl="0" w:tentative="0">
      <w:start w:val="1"/>
      <w:numFmt w:val="chineseCounting"/>
      <w:suff w:val="nothing"/>
      <w:lvlText w:val="（%1）"/>
      <w:lvlJc w:val="left"/>
      <w:pPr>
        <w:ind w:left="640" w:firstLine="0"/>
      </w:pPr>
      <w:rPr>
        <w:rFonts w:hint="eastAsia"/>
      </w:rPr>
    </w:lvl>
  </w:abstractNum>
  <w:abstractNum w:abstractNumId="1">
    <w:nsid w:val="3D7888FC"/>
    <w:multiLevelType w:val="singleLevel"/>
    <w:tmpl w:val="3D7888FC"/>
    <w:lvl w:ilvl="0" w:tentative="0">
      <w:start w:val="1"/>
      <w:numFmt w:val="chineseCounting"/>
      <w:suff w:val="nothing"/>
      <w:lvlText w:val="%1、"/>
      <w:lvlJc w:val="left"/>
      <w:pPr>
        <w:ind w:left="-10"/>
      </w:pPr>
      <w:rPr>
        <w:rFonts w:hint="eastAsia" w:ascii="仿宋_GB2312" w:hAnsi="仿宋_GB2312" w:eastAsia="仿宋_GB2312" w:cs="仿宋_GB231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DU5N2U1ODhjZWE1MzcwOTYzY2E0ZGI4ZjIxMmYifQ=="/>
  </w:docVars>
  <w:rsids>
    <w:rsidRoot w:val="2FC235BD"/>
    <w:rsid w:val="00AB7A64"/>
    <w:rsid w:val="031E578A"/>
    <w:rsid w:val="042233A6"/>
    <w:rsid w:val="069D116C"/>
    <w:rsid w:val="1068327B"/>
    <w:rsid w:val="10DF5D04"/>
    <w:rsid w:val="17601CF4"/>
    <w:rsid w:val="281F6818"/>
    <w:rsid w:val="2A482EBC"/>
    <w:rsid w:val="2AD90912"/>
    <w:rsid w:val="2BE75544"/>
    <w:rsid w:val="2FC235BD"/>
    <w:rsid w:val="35AF70D3"/>
    <w:rsid w:val="37717729"/>
    <w:rsid w:val="409B69FE"/>
    <w:rsid w:val="4A805E82"/>
    <w:rsid w:val="4F295ADF"/>
    <w:rsid w:val="527D7892"/>
    <w:rsid w:val="5F2E6A0B"/>
    <w:rsid w:val="6BF84629"/>
    <w:rsid w:val="6D2E57E8"/>
    <w:rsid w:val="709D3E2C"/>
    <w:rsid w:val="79876DCD"/>
    <w:rsid w:val="7EE0135A"/>
    <w:rsid w:val="7FFD3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3645</Words>
  <Characters>3960</Characters>
  <Lines>0</Lines>
  <Paragraphs>0</Paragraphs>
  <TotalTime>0</TotalTime>
  <ScaleCrop>false</ScaleCrop>
  <LinksUpToDate>false</LinksUpToDate>
  <CharactersWithSpaces>3985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2023-03-28T15:42:00Z</dcterms:created>
  <dc:creator>李清华</dc:creator>
  <cp:lastModifiedBy>我想</cp:lastModifiedBy>
  <dcterms:modified xsi:type="dcterms:W3CDTF">2025-05-21T07:39:05Z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B74904B17F7E4EB9AD1CA73887E8CAC0</vt:lpwstr>
  </property>
  <property fmtid="{D5CDD505-2E9C-101B-9397-08002B2CF9AE}" pid="4" name="KSOTemplateDocerSaveRecord">
    <vt:lpwstr>eyJoZGlkIjoiZGZmMDU5N2U1ODhjZWE1MzcwOTYzY2E0ZGI4ZjIxMmYiLCJ1c2VySWQiOiI0NjIwODIzNjAifQ==</vt:lpwstr>
  </property>
</Properties>
</file>