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C7E7">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5B4D6118">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26CD106F">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05EBB8F0">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6F3B146F">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right="40"/>
        <w:jc w:val="both"/>
        <w:textAlignment w:val="auto"/>
        <w:rPr>
          <w:rFonts w:hint="eastAsia" w:ascii="黑体" w:hAnsi="Times New Roman" w:eastAsia="黑体" w:cs="黑体"/>
          <w:sz w:val="56"/>
          <w:szCs w:val="56"/>
          <w:lang w:val="en-US" w:eastAsia="zh-CN"/>
        </w:rPr>
      </w:pPr>
    </w:p>
    <w:p w14:paraId="1FE9FA54">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left="102" w:right="40" w:firstLine="1120" w:firstLineChars="200"/>
        <w:jc w:val="center"/>
        <w:textAlignment w:val="auto"/>
        <w:rPr>
          <w:rFonts w:hint="eastAsia" w:ascii="黑体" w:hAnsi="Times New Roman" w:eastAsia="黑体" w:cs="黑体"/>
          <w:sz w:val="56"/>
          <w:szCs w:val="56"/>
          <w:lang w:val="en-US" w:eastAsia="zh-CN"/>
        </w:rPr>
      </w:pPr>
    </w:p>
    <w:p w14:paraId="2765081F">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left="102" w:right="40" w:firstLine="1120" w:firstLineChars="200"/>
        <w:jc w:val="center"/>
        <w:textAlignment w:val="auto"/>
        <w:rPr>
          <w:rFonts w:hint="eastAsia" w:ascii="黑体" w:hAnsi="黑体" w:eastAsia="黑体"/>
          <w:sz w:val="56"/>
          <w:szCs w:val="56"/>
          <w:lang w:eastAsia="zh-CN"/>
        </w:rPr>
      </w:pPr>
      <w:r>
        <w:rPr>
          <w:rFonts w:hint="eastAsia" w:ascii="黑体" w:hAnsi="Times New Roman" w:eastAsia="黑体" w:cs="黑体"/>
          <w:sz w:val="56"/>
          <w:szCs w:val="56"/>
          <w:lang w:val="en-US" w:eastAsia="zh-CN"/>
        </w:rPr>
        <w:t>202</w:t>
      </w:r>
      <w:r>
        <w:rPr>
          <w:rFonts w:ascii="黑体" w:hAnsi="Times New Roman" w:eastAsia="黑体" w:cs="黑体"/>
          <w:sz w:val="56"/>
          <w:szCs w:val="56"/>
          <w:lang w:val="en-US" w:eastAsia="zh-CN"/>
        </w:rPr>
        <w:t>5</w:t>
      </w:r>
      <w:r>
        <w:rPr>
          <w:rFonts w:hint="eastAsia" w:ascii="黑体" w:hAnsi="Times New Roman" w:eastAsia="黑体" w:cs="黑体"/>
          <w:sz w:val="56"/>
          <w:szCs w:val="56"/>
        </w:rPr>
        <w:t>年度</w:t>
      </w:r>
      <w:r>
        <w:rPr>
          <w:rFonts w:hint="eastAsia" w:ascii="黑体" w:hAnsi="黑体" w:eastAsia="黑体"/>
          <w:sz w:val="56"/>
          <w:szCs w:val="56"/>
          <w:lang w:eastAsia="zh-CN"/>
        </w:rPr>
        <w:t>渑池县应急管理局</w:t>
      </w:r>
    </w:p>
    <w:p w14:paraId="3D1FC99C">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left="102" w:right="40" w:firstLine="1120" w:firstLineChars="200"/>
        <w:jc w:val="center"/>
        <w:textAlignment w:val="auto"/>
        <w:rPr>
          <w:rFonts w:ascii="仿宋_GB2312" w:hAnsi="Times New Roman" w:eastAsia="仿宋_GB2312"/>
          <w:sz w:val="56"/>
          <w:szCs w:val="56"/>
        </w:rPr>
      </w:pPr>
      <w:r>
        <w:rPr>
          <w:rFonts w:hint="eastAsia" w:ascii="黑体" w:hAnsi="Times New Roman" w:eastAsia="黑体" w:cs="黑体"/>
          <w:sz w:val="56"/>
          <w:szCs w:val="56"/>
        </w:rPr>
        <w:t>部门预算公开</w:t>
      </w:r>
    </w:p>
    <w:p w14:paraId="0BBA8510">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0243197D">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317853F3">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2CDBF1EC">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4A4FB1C1">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66336A99">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4C5353D4">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4B721163">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140D1034">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61D8956E">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281340E6">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76332EF2">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668216ED">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0E9B72B0">
      <w:pPr>
        <w:tabs>
          <w:tab w:val="left" w:pos="8364"/>
        </w:tabs>
        <w:kinsoku w:val="0"/>
        <w:overflowPunct w:val="0"/>
        <w:adjustRightInd w:val="0"/>
        <w:snapToGrid w:val="0"/>
        <w:spacing w:line="560" w:lineRule="exact"/>
        <w:ind w:left="101" w:right="42" w:firstLine="1040" w:firstLineChars="200"/>
        <w:jc w:val="center"/>
        <w:rPr>
          <w:rFonts w:hint="eastAsia" w:ascii="黑体" w:hAnsi="Times New Roman" w:eastAsia="黑体" w:cs="黑体"/>
          <w:sz w:val="52"/>
          <w:szCs w:val="52"/>
          <w:lang w:val="en-US" w:eastAsia="zh-CN"/>
        </w:rPr>
      </w:pPr>
    </w:p>
    <w:p w14:paraId="024CB3D5">
      <w:pPr>
        <w:tabs>
          <w:tab w:val="left" w:pos="8364"/>
        </w:tabs>
        <w:kinsoku w:val="0"/>
        <w:overflowPunct w:val="0"/>
        <w:adjustRightInd w:val="0"/>
        <w:snapToGrid w:val="0"/>
        <w:spacing w:line="560" w:lineRule="exact"/>
        <w:ind w:right="42"/>
        <w:jc w:val="both"/>
        <w:rPr>
          <w:rFonts w:hint="eastAsia" w:ascii="黑体" w:hAnsi="Times New Roman" w:eastAsia="黑体" w:cs="黑体"/>
          <w:sz w:val="52"/>
          <w:szCs w:val="52"/>
          <w:lang w:val="en-US" w:eastAsia="zh-CN"/>
        </w:rPr>
      </w:pPr>
    </w:p>
    <w:p w14:paraId="7B0718CE">
      <w:pPr>
        <w:tabs>
          <w:tab w:val="left" w:pos="8364"/>
        </w:tabs>
        <w:kinsoku w:val="0"/>
        <w:overflowPunct w:val="0"/>
        <w:adjustRightInd w:val="0"/>
        <w:snapToGrid w:val="0"/>
        <w:spacing w:line="560" w:lineRule="exact"/>
        <w:ind w:left="101" w:right="42" w:firstLine="1040" w:firstLineChars="200"/>
        <w:jc w:val="center"/>
        <w:rPr>
          <w:rFonts w:hint="eastAsia" w:ascii="黑体" w:hAnsi="黑体" w:eastAsia="黑体"/>
          <w:sz w:val="52"/>
          <w:szCs w:val="52"/>
          <w:lang w:eastAsia="zh-CN"/>
        </w:rPr>
      </w:pPr>
      <w:r>
        <w:rPr>
          <w:rFonts w:hint="eastAsia" w:ascii="黑体" w:hAnsi="Times New Roman" w:eastAsia="黑体" w:cs="黑体"/>
          <w:sz w:val="52"/>
          <w:szCs w:val="52"/>
          <w:lang w:val="en-US" w:eastAsia="zh-CN"/>
        </w:rPr>
        <w:t>202</w:t>
      </w:r>
      <w:r>
        <w:rPr>
          <w:rFonts w:ascii="黑体" w:hAnsi="Times New Roman" w:eastAsia="黑体" w:cs="黑体"/>
          <w:sz w:val="52"/>
          <w:szCs w:val="52"/>
          <w:lang w:val="en-US" w:eastAsia="zh-CN"/>
        </w:rPr>
        <w:t>5</w:t>
      </w:r>
      <w:r>
        <w:rPr>
          <w:rFonts w:hint="eastAsia" w:ascii="黑体" w:hAnsi="Times New Roman" w:eastAsia="黑体" w:cs="黑体"/>
          <w:sz w:val="52"/>
          <w:szCs w:val="52"/>
        </w:rPr>
        <w:t>年度</w:t>
      </w:r>
      <w:r>
        <w:rPr>
          <w:rFonts w:hint="eastAsia" w:ascii="黑体" w:hAnsi="黑体" w:eastAsia="黑体"/>
          <w:sz w:val="52"/>
          <w:szCs w:val="52"/>
          <w:lang w:eastAsia="zh-CN"/>
        </w:rPr>
        <w:t>渑池县应急管理局</w:t>
      </w:r>
    </w:p>
    <w:p w14:paraId="17FB61DA">
      <w:pPr>
        <w:tabs>
          <w:tab w:val="left" w:pos="8364"/>
        </w:tabs>
        <w:kinsoku w:val="0"/>
        <w:overflowPunct w:val="0"/>
        <w:adjustRightInd w:val="0"/>
        <w:snapToGrid w:val="0"/>
        <w:spacing w:line="560" w:lineRule="exact"/>
        <w:ind w:left="101" w:right="42" w:firstLine="1040" w:firstLineChars="200"/>
        <w:jc w:val="center"/>
        <w:rPr>
          <w:rFonts w:ascii="仿宋_GB2312" w:hAnsi="Times New Roman" w:eastAsia="仿宋_GB2312"/>
          <w:sz w:val="52"/>
          <w:szCs w:val="52"/>
        </w:rPr>
      </w:pPr>
      <w:r>
        <w:rPr>
          <w:rFonts w:hint="eastAsia" w:ascii="黑体" w:hAnsi="Times New Roman" w:eastAsia="黑体" w:cs="黑体"/>
          <w:sz w:val="52"/>
          <w:szCs w:val="52"/>
        </w:rPr>
        <w:t>部门预算公开</w:t>
      </w:r>
    </w:p>
    <w:p w14:paraId="133FFC22">
      <w:pPr>
        <w:kinsoku w:val="0"/>
        <w:overflowPunct w:val="0"/>
        <w:adjustRightInd w:val="0"/>
        <w:snapToGrid w:val="0"/>
        <w:spacing w:line="560" w:lineRule="exact"/>
        <w:ind w:left="-142" w:right="51" w:firstLine="39" w:firstLineChars="7"/>
        <w:jc w:val="center"/>
        <w:rPr>
          <w:rFonts w:hint="eastAsia" w:ascii="黑体" w:hAnsi="Times New Roman" w:eastAsia="黑体" w:cs="黑体"/>
          <w:sz w:val="56"/>
          <w:szCs w:val="56"/>
        </w:rPr>
      </w:pPr>
    </w:p>
    <w:p w14:paraId="776D45CA">
      <w:pPr>
        <w:kinsoku w:val="0"/>
        <w:overflowPunct w:val="0"/>
        <w:adjustRightInd w:val="0"/>
        <w:snapToGrid w:val="0"/>
        <w:spacing w:line="560" w:lineRule="exact"/>
        <w:ind w:right="51" w:firstLine="3920" w:firstLineChars="700"/>
        <w:rPr>
          <w:rFonts w:hint="eastAsia" w:ascii="黑体" w:hAnsi="Times New Roman" w:eastAsia="黑体" w:cs="黑体"/>
          <w:sz w:val="56"/>
          <w:szCs w:val="56"/>
        </w:rPr>
      </w:pPr>
      <w:r>
        <w:rPr>
          <w:rFonts w:hint="eastAsia" w:ascii="黑体" w:hAnsi="Times New Roman" w:eastAsia="黑体" w:cs="黑体"/>
          <w:sz w:val="56"/>
          <w:szCs w:val="56"/>
        </w:rPr>
        <w:t xml:space="preserve">目 </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14:paraId="4FFAFCE7">
      <w:pPr>
        <w:kinsoku w:val="0"/>
        <w:overflowPunct w:val="0"/>
        <w:adjustRightInd w:val="0"/>
        <w:snapToGrid w:val="0"/>
        <w:spacing w:line="560" w:lineRule="exact"/>
        <w:ind w:right="2550" w:firstLine="640" w:firstLineChars="200"/>
        <w:rPr>
          <w:rFonts w:hint="eastAsia" w:ascii="黑体" w:hAnsi="Times New Roman" w:eastAsia="黑体" w:cs="黑体"/>
          <w:sz w:val="32"/>
          <w:szCs w:val="32"/>
        </w:rPr>
      </w:pPr>
      <w:r>
        <w:rPr>
          <w:rFonts w:hint="eastAsia" w:ascii="黑体" w:hAnsi="Times New Roman" w:eastAsia="黑体" w:cs="黑体"/>
          <w:sz w:val="32"/>
          <w:szCs w:val="32"/>
        </w:rPr>
        <w:t>第一部分</w:t>
      </w: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lang w:eastAsia="zh-CN"/>
        </w:rPr>
        <w:t>渑池县应急管理局</w:t>
      </w:r>
      <w:r>
        <w:rPr>
          <w:rFonts w:hint="eastAsia" w:ascii="黑体" w:hAnsi="Times New Roman" w:eastAsia="黑体" w:cs="黑体"/>
          <w:sz w:val="32"/>
          <w:szCs w:val="32"/>
        </w:rPr>
        <w:t>概况</w:t>
      </w:r>
    </w:p>
    <w:p w14:paraId="152DBBAB">
      <w:pPr>
        <w:kinsoku w:val="0"/>
        <w:overflowPunct w:val="0"/>
        <w:adjustRightInd w:val="0"/>
        <w:snapToGrid w:val="0"/>
        <w:spacing w:line="560" w:lineRule="exact"/>
        <w:ind w:right="2550" w:firstLine="960" w:firstLineChars="3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617BF101">
      <w:pPr>
        <w:kinsoku w:val="0"/>
        <w:overflowPunct w:val="0"/>
        <w:adjustRightInd w:val="0"/>
        <w:snapToGrid w:val="0"/>
        <w:spacing w:line="560" w:lineRule="exact"/>
        <w:ind w:right="2550" w:firstLine="930" w:firstLineChars="300"/>
        <w:rPr>
          <w:rFonts w:ascii="仿宋_GB2312" w:hAnsi="宋体" w:eastAsia="仿宋_GB2312" w:cs="仿宋_GB2312"/>
          <w:i w:val="0"/>
          <w:iCs w:val="0"/>
          <w:caps w:val="0"/>
          <w:smallCaps w:val="0"/>
          <w:color w:val="444444"/>
          <w:spacing w:val="0"/>
          <w:sz w:val="31"/>
          <w:szCs w:val="31"/>
          <w:shd w:val="clear" w:color="auto" w:fill="FFFFFF"/>
        </w:rPr>
      </w:pPr>
      <w:r>
        <w:rPr>
          <w:rFonts w:hint="eastAsia" w:ascii="仿宋_GB2312" w:hAnsi="宋体" w:eastAsia="仿宋_GB2312" w:cs="仿宋_GB2312"/>
          <w:i w:val="0"/>
          <w:iCs w:val="0"/>
          <w:caps w:val="0"/>
          <w:smallCaps w:val="0"/>
          <w:color w:val="444444"/>
          <w:spacing w:val="0"/>
          <w:sz w:val="31"/>
          <w:szCs w:val="31"/>
          <w:shd w:val="clear" w:color="auto" w:fill="FFFFFF"/>
          <w:lang w:val="en-US" w:eastAsia="zh-CN"/>
        </w:rPr>
        <w:t>二、</w:t>
      </w:r>
      <w:r>
        <w:rPr>
          <w:rFonts w:ascii="仿宋_GB2312" w:hAnsi="宋体" w:eastAsia="仿宋_GB2312" w:cs="仿宋_GB2312"/>
          <w:i w:val="0"/>
          <w:iCs w:val="0"/>
          <w:caps w:val="0"/>
          <w:smallCaps w:val="0"/>
          <w:color w:val="444444"/>
          <w:spacing w:val="0"/>
          <w:sz w:val="31"/>
          <w:szCs w:val="31"/>
          <w:shd w:val="clear" w:color="auto" w:fill="FFFFFF"/>
        </w:rPr>
        <w:t>机构设置</w:t>
      </w:r>
    </w:p>
    <w:p w14:paraId="0685FC4F">
      <w:pPr>
        <w:kinsoku w:val="0"/>
        <w:overflowPunct w:val="0"/>
        <w:adjustRightInd w:val="0"/>
        <w:snapToGrid w:val="0"/>
        <w:spacing w:line="560" w:lineRule="exact"/>
        <w:ind w:right="2550" w:firstLine="930" w:firstLineChars="300"/>
        <w:rPr>
          <w:rFonts w:ascii="仿宋_GB2312" w:hAnsi="Times New Roman" w:eastAsia="仿宋_GB2312" w:cs="仿宋_GB2312"/>
          <w:sz w:val="32"/>
          <w:szCs w:val="32"/>
        </w:rPr>
      </w:pPr>
      <w:r>
        <w:rPr>
          <w:rFonts w:hint="eastAsia" w:ascii="仿宋_GB2312" w:hAnsi="宋体" w:eastAsia="仿宋_GB2312" w:cs="仿宋_GB2312"/>
          <w:i w:val="0"/>
          <w:iCs w:val="0"/>
          <w:caps w:val="0"/>
          <w:smallCaps w:val="0"/>
          <w:color w:val="444444"/>
          <w:spacing w:val="0"/>
          <w:sz w:val="31"/>
          <w:szCs w:val="31"/>
          <w:shd w:val="clear" w:color="auto" w:fill="FFFFFF"/>
          <w:lang w:val="en-US" w:eastAsia="zh-CN"/>
        </w:rPr>
        <w:t>三</w:t>
      </w:r>
      <w:r>
        <w:rPr>
          <w:rFonts w:hint="eastAsia" w:ascii="仿宋_GB2312" w:hAnsi="Times New Roman" w:eastAsia="仿宋_GB2312" w:cs="仿宋_GB2312"/>
          <w:sz w:val="32"/>
          <w:szCs w:val="32"/>
        </w:rPr>
        <w:t>、部门预算单位构成</w:t>
      </w:r>
    </w:p>
    <w:p w14:paraId="5C483B90">
      <w:pPr>
        <w:kinsoku w:val="0"/>
        <w:overflowPunct w:val="0"/>
        <w:adjustRightInd w:val="0"/>
        <w:snapToGrid w:val="0"/>
        <w:spacing w:line="560" w:lineRule="exact"/>
        <w:ind w:right="521" w:firstLine="640" w:firstLineChars="200"/>
        <w:rPr>
          <w:rFonts w:hint="eastAsia" w:ascii="黑体" w:hAnsi="Times New Roman" w:eastAsia="黑体" w:cs="黑体"/>
          <w:w w:val="99"/>
          <w:sz w:val="32"/>
          <w:szCs w:val="32"/>
        </w:rPr>
      </w:pPr>
      <w:r>
        <w:rPr>
          <w:rFonts w:hint="eastAsia" w:ascii="黑体" w:hAnsi="Times New Roman" w:eastAsia="黑体" w:cs="黑体"/>
          <w:sz w:val="32"/>
          <w:szCs w:val="32"/>
        </w:rPr>
        <w:t xml:space="preserve">第二部分 </w:t>
      </w:r>
      <w:r>
        <w:rPr>
          <w:rFonts w:hint="eastAsia" w:ascii="黑体" w:hAnsi="黑体" w:eastAsia="黑体"/>
          <w:sz w:val="32"/>
          <w:szCs w:val="32"/>
          <w:lang w:eastAsia="zh-CN"/>
        </w:rPr>
        <w:t>渑池县应急管理局</w:t>
      </w:r>
      <w:r>
        <w:rPr>
          <w:rFonts w:ascii="黑体" w:hAnsi="Times New Roman" w:eastAsia="黑体" w:cs="黑体"/>
          <w:spacing w:val="-119"/>
          <w:sz w:val="32"/>
          <w:szCs w:val="32"/>
        </w:rPr>
        <w:t xml:space="preserve"> </w:t>
      </w:r>
      <w:r>
        <w:rPr>
          <w:rFonts w:ascii="黑体" w:hAnsi="Times New Roman" w:eastAsia="黑体" w:cs="黑体"/>
          <w:sz w:val="32"/>
          <w:szCs w:val="32"/>
        </w:rPr>
        <w:t>202</w:t>
      </w:r>
      <w:r>
        <w:rPr>
          <w:rFonts w:ascii="黑体" w:hAnsi="Times New Roman" w:eastAsia="黑体" w:cs="黑体"/>
          <w:sz w:val="32"/>
          <w:szCs w:val="32"/>
          <w:lang w:val="en-US" w:eastAsia="zh-CN"/>
        </w:rPr>
        <w:t>5</w:t>
      </w:r>
      <w:r>
        <w:rPr>
          <w:rFonts w:hint="eastAsia" w:ascii="黑体" w:hAnsi="Times New Roman" w:eastAsia="黑体" w:cs="黑体"/>
          <w:sz w:val="32"/>
          <w:szCs w:val="32"/>
        </w:rPr>
        <w:t>年度部门预算情况说明</w:t>
      </w:r>
      <w:r>
        <w:rPr>
          <w:rFonts w:ascii="黑体" w:hAnsi="Times New Roman" w:eastAsia="黑体" w:cs="黑体"/>
          <w:w w:val="99"/>
          <w:sz w:val="32"/>
          <w:szCs w:val="32"/>
        </w:rPr>
        <w:t xml:space="preserve"> </w:t>
      </w:r>
    </w:p>
    <w:p w14:paraId="17D37116">
      <w:pPr>
        <w:kinsoku w:val="0"/>
        <w:overflowPunct w:val="0"/>
        <w:adjustRightInd w:val="0"/>
        <w:snapToGrid w:val="0"/>
        <w:spacing w:line="560" w:lineRule="exact"/>
        <w:ind w:right="521" w:firstLine="640" w:firstLineChars="200"/>
        <w:rPr>
          <w:rFonts w:hint="eastAsia"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14:paraId="0D04827D">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黑体" w:eastAsia="黑体"/>
          <w:sz w:val="32"/>
          <w:szCs w:val="32"/>
          <w:lang w:eastAsia="zh-CN"/>
        </w:rPr>
        <w:t>渑池县应急管理局</w:t>
      </w:r>
      <w:r>
        <w:rPr>
          <w:rFonts w:hint="eastAsia" w:ascii="黑体" w:hAnsi="Times New Roman" w:eastAsia="黑体" w:cs="黑体"/>
          <w:sz w:val="32"/>
          <w:szCs w:val="32"/>
        </w:rPr>
        <w:t>202</w:t>
      </w:r>
      <w:r>
        <w:rPr>
          <w:rFonts w:ascii="黑体" w:hAnsi="Times New Roman" w:eastAsia="黑体" w:cs="黑体"/>
          <w:sz w:val="32"/>
          <w:szCs w:val="32"/>
          <w:lang w:val="en-US" w:eastAsia="zh-CN"/>
        </w:rPr>
        <w:t>5</w:t>
      </w:r>
      <w:r>
        <w:rPr>
          <w:rFonts w:hint="eastAsia" w:ascii="黑体" w:hAnsi="Times New Roman" w:eastAsia="黑体" w:cs="黑体"/>
          <w:sz w:val="32"/>
          <w:szCs w:val="32"/>
        </w:rPr>
        <w:t>年度部门预算表</w:t>
      </w:r>
    </w:p>
    <w:p w14:paraId="592138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一、部门收支总体情况表</w:t>
      </w:r>
    </w:p>
    <w:p w14:paraId="68A5DB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二、部门收入总体情况表</w:t>
      </w:r>
    </w:p>
    <w:p w14:paraId="360BD3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三、部门支出总体情况表</w:t>
      </w:r>
    </w:p>
    <w:p w14:paraId="02EF16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四、财政拨款收支总体情况表</w:t>
      </w:r>
    </w:p>
    <w:p w14:paraId="3B1559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五、一般公共预算支出情况表</w:t>
      </w:r>
    </w:p>
    <w:p w14:paraId="7309F2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六、一般公共预算基本支出情况表</w:t>
      </w:r>
    </w:p>
    <w:p w14:paraId="2EF0C6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七、支出经济分类汇总表</w:t>
      </w:r>
    </w:p>
    <w:p w14:paraId="5439B7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八、一般公共预算“三公”经费支出情况表</w:t>
      </w:r>
    </w:p>
    <w:p w14:paraId="6783A5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九、政府性基金预算支出情况表</w:t>
      </w:r>
    </w:p>
    <w:p w14:paraId="15477A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十、项目支出预算表</w:t>
      </w:r>
    </w:p>
    <w:p w14:paraId="167965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smallCaps w:val="0"/>
          <w:color w:val="000000"/>
          <w:spacing w:val="0"/>
          <w:kern w:val="0"/>
          <w:sz w:val="32"/>
          <w:szCs w:val="32"/>
          <w:lang w:val="en-US" w:eastAsia="zh-CN"/>
        </w:rPr>
      </w:pPr>
      <w:r>
        <w:rPr>
          <w:rFonts w:hint="eastAsia" w:ascii="仿宋_GB2312" w:hAnsi="微软雅黑" w:eastAsia="仿宋_GB2312" w:cs="仿宋_GB2312"/>
          <w:b w:val="0"/>
          <w:i w:val="0"/>
          <w:caps w:val="0"/>
          <w:smallCaps w:val="0"/>
          <w:color w:val="000000"/>
          <w:spacing w:val="0"/>
          <w:kern w:val="0"/>
          <w:sz w:val="32"/>
          <w:szCs w:val="32"/>
          <w:lang w:val="en-US" w:eastAsia="zh-CN"/>
        </w:rPr>
        <w:t>十一、部门(单位)整体绩效目标表</w:t>
      </w:r>
    </w:p>
    <w:p w14:paraId="09B2D474">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smallCaps w:val="0"/>
          <w:color w:val="000000"/>
          <w:spacing w:val="0"/>
          <w:kern w:val="0"/>
          <w:sz w:val="32"/>
          <w:szCs w:val="32"/>
          <w:lang w:val="en-US" w:eastAsia="zh-CN"/>
        </w:rPr>
        <w:t>十二、部门预算项目绩效目标汇总表</w:t>
      </w:r>
    </w:p>
    <w:p w14:paraId="346BAD37">
      <w:pPr>
        <w:kinsoku w:val="0"/>
        <w:overflowPunct w:val="0"/>
        <w:adjustRightInd w:val="0"/>
        <w:snapToGrid w:val="0"/>
        <w:spacing w:line="560" w:lineRule="exact"/>
        <w:ind w:right="51"/>
        <w:jc w:val="both"/>
        <w:rPr>
          <w:rFonts w:ascii="黑体" w:hAnsi="Times New Roman" w:eastAsia="黑体" w:cs="黑体"/>
          <w:sz w:val="56"/>
          <w:szCs w:val="56"/>
        </w:rPr>
      </w:pPr>
    </w:p>
    <w:p w14:paraId="3B67A020">
      <w:pPr>
        <w:kinsoku w:val="0"/>
        <w:overflowPunct w:val="0"/>
        <w:adjustRightInd w:val="0"/>
        <w:snapToGrid w:val="0"/>
        <w:spacing w:line="360" w:lineRule="auto"/>
        <w:ind w:right="2550"/>
        <w:jc w:val="center"/>
        <w:rPr>
          <w:rFonts w:ascii="黑体" w:hAnsi="Times New Roman" w:eastAsia="黑体" w:cs="黑体"/>
          <w:sz w:val="32"/>
          <w:szCs w:val="32"/>
        </w:rPr>
      </w:pP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rPr>
        <w:t>第一部分</w:t>
      </w:r>
    </w:p>
    <w:p w14:paraId="6FF77DFB">
      <w:pPr>
        <w:kinsoku w:val="0"/>
        <w:overflowPunct w:val="0"/>
        <w:adjustRightInd w:val="0"/>
        <w:snapToGrid w:val="0"/>
        <w:spacing w:line="360" w:lineRule="auto"/>
        <w:ind w:right="2550"/>
        <w:jc w:val="center"/>
        <w:rPr>
          <w:rFonts w:hint="eastAsia" w:ascii="黑体" w:hAnsi="Times New Roman" w:eastAsia="黑体" w:cs="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渑池县应急管理局</w:t>
      </w:r>
      <w:r>
        <w:rPr>
          <w:rFonts w:hint="eastAsia" w:ascii="黑体" w:hAnsi="Times New Roman" w:eastAsia="黑体" w:cs="黑体"/>
          <w:sz w:val="32"/>
          <w:szCs w:val="32"/>
        </w:rPr>
        <w:t>概况</w:t>
      </w:r>
    </w:p>
    <w:p w14:paraId="3296832D">
      <w:pPr>
        <w:kinsoku w:val="0"/>
        <w:overflowPunct w:val="0"/>
        <w:adjustRightInd w:val="0"/>
        <w:snapToGrid w:val="0"/>
        <w:spacing w:line="360" w:lineRule="auto"/>
        <w:ind w:left="735" w:leftChars="350" w:right="2550" w:firstLine="160" w:firstLineChars="50"/>
        <w:rPr>
          <w:rFonts w:hint="eastAsia" w:ascii="黑体" w:hAnsi="黑体" w:eastAsia="黑体" w:cs="黑体"/>
          <w:sz w:val="32"/>
          <w:szCs w:val="32"/>
        </w:rPr>
      </w:pPr>
      <w:r>
        <w:rPr>
          <w:rFonts w:hint="eastAsia" w:ascii="黑体" w:hAnsi="黑体" w:eastAsia="黑体" w:cs="黑体"/>
          <w:sz w:val="32"/>
          <w:szCs w:val="32"/>
        </w:rPr>
        <w:t>一、主要职能</w:t>
      </w:r>
    </w:p>
    <w:p w14:paraId="0ED7DB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指导各</w:t>
      </w:r>
      <w:r>
        <w:rPr>
          <w:rFonts w:hint="eastAsia" w:ascii="仿宋_GB2312" w:hAnsi="仿宋_GB2312" w:eastAsia="仿宋_GB2312" w:cs="仿宋_GB2312"/>
          <w:sz w:val="32"/>
          <w:szCs w:val="32"/>
          <w:lang w:val="en-US" w:eastAsia="zh-CN"/>
        </w:rPr>
        <w:t>级各</w:t>
      </w:r>
      <w:r>
        <w:rPr>
          <w:rFonts w:hint="eastAsia" w:ascii="仿宋_GB2312" w:hAnsi="仿宋_GB2312" w:eastAsia="仿宋_GB2312" w:cs="仿宋_GB2312"/>
          <w:sz w:val="32"/>
          <w:szCs w:val="32"/>
        </w:rPr>
        <w:t>部门应对安全生产类、自然灾害类等突发事件和综合防灾减灾救灾工作。负责全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安全生产综合监督管理和工矿商贸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煤矿除外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行业安全生产监督管理工作。</w:t>
      </w:r>
    </w:p>
    <w:p w14:paraId="71CF91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auto"/>
          <w:sz w:val="32"/>
          <w:szCs w:val="32"/>
        </w:rPr>
        <w:t>拟订全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应急管理、安全生产</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安全生产应急救援资源综合管理工作，组织编制</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应急体系建设、安全生产和综合防灾减灾规划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组织制定相关</w:t>
      </w:r>
      <w:r>
        <w:rPr>
          <w:rFonts w:hint="eastAsia" w:ascii="仿宋_GB2312" w:hAnsi="仿宋_GB2312" w:eastAsia="仿宋_GB2312" w:cs="仿宋_GB2312"/>
          <w:sz w:val="32"/>
          <w:szCs w:val="32"/>
          <w:lang w:val="en-US" w:eastAsia="zh-CN"/>
        </w:rPr>
        <w:t>规范性文件</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实施。</w:t>
      </w:r>
    </w:p>
    <w:p w14:paraId="5ED0223A">
      <w:pPr>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(三)指导全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应急预案体系建设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建立完善事故灾难和自然灾害分级应对</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组织编制全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总体应急预案和安全生产类、自然灾害类专项预案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综合协调应急预</w:t>
      </w:r>
      <w:r>
        <w:rPr>
          <w:rFonts w:hint="eastAsia" w:ascii="仿宋_GB2312" w:hAnsi="仿宋_GB2312" w:eastAsia="仿宋_GB2312" w:cs="仿宋_GB2312"/>
          <w:sz w:val="32"/>
          <w:szCs w:val="32"/>
          <w:lang w:val="en-US" w:eastAsia="zh-CN"/>
        </w:rPr>
        <w:t>案衔接、管理工作，组织开展预案演练，组织推动应急避难设施建设</w:t>
      </w:r>
      <w:r>
        <w:rPr>
          <w:rFonts w:hint="eastAsia" w:ascii="仿宋_GB2312" w:hAnsi="仿宋_GB2312" w:eastAsia="仿宋_GB2312" w:cs="仿宋_GB2312"/>
          <w:sz w:val="32"/>
          <w:szCs w:val="32"/>
        </w:rPr>
        <w:t>。</w:t>
      </w:r>
    </w:p>
    <w:p w14:paraId="299D90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(四)牵头建立统一的全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负责信息传输和共享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建立监测预警和灾情报告制度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健全自然灾害信息资源获取和共享机制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依法统一发布灾情。</w:t>
      </w:r>
    </w:p>
    <w:p w14:paraId="300348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(五)组织指导协调安全生产类、自然灾害类等突发事件应急救援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应对重大灾害</w:t>
      </w:r>
      <w:r>
        <w:rPr>
          <w:rFonts w:hint="eastAsia" w:ascii="仿宋_GB2312" w:hAnsi="仿宋_GB2312" w:eastAsia="仿宋_GB2312" w:cs="仿宋_GB2312"/>
          <w:sz w:val="32"/>
          <w:szCs w:val="32"/>
        </w:rPr>
        <w:t>指挥部工作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综合研判突发事件发展态势并提出应对建议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政府指定的负责同志组织</w:t>
      </w:r>
      <w:r>
        <w:rPr>
          <w:rFonts w:hint="eastAsia" w:ascii="仿宋_GB2312" w:hAnsi="仿宋_GB2312" w:eastAsia="仿宋_GB2312" w:cs="仿宋_GB2312"/>
          <w:sz w:val="32"/>
          <w:szCs w:val="32"/>
          <w:lang w:val="en-US" w:eastAsia="zh-CN"/>
        </w:rPr>
        <w:t>事故灾难、自然</w:t>
      </w:r>
      <w:r>
        <w:rPr>
          <w:rFonts w:hint="eastAsia" w:ascii="仿宋_GB2312" w:hAnsi="仿宋_GB2312" w:eastAsia="仿宋_GB2312" w:cs="仿宋_GB2312"/>
          <w:sz w:val="32"/>
          <w:szCs w:val="32"/>
        </w:rPr>
        <w:t>灾害应急处置工作。</w:t>
      </w:r>
    </w:p>
    <w:p w14:paraId="1ABF23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(六)统一协调指挥各类应急专业队伍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建立应急协调联动机制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推进指挥平台对接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衔接驻</w:t>
      </w:r>
      <w:r>
        <w:rPr>
          <w:rFonts w:hint="eastAsia" w:ascii="仿宋_GB2312" w:hAnsi="仿宋_GB2312" w:eastAsia="仿宋_GB2312" w:cs="仿宋_GB2312"/>
          <w:sz w:val="32"/>
          <w:szCs w:val="32"/>
          <w:lang w:val="en-US" w:eastAsia="zh-CN"/>
        </w:rPr>
        <w:t>渑</w:t>
      </w:r>
      <w:r>
        <w:rPr>
          <w:rFonts w:hint="eastAsia" w:ascii="仿宋_GB2312" w:hAnsi="仿宋_GB2312" w:eastAsia="仿宋_GB2312" w:cs="仿宋_GB2312"/>
          <w:sz w:val="32"/>
          <w:szCs w:val="32"/>
        </w:rPr>
        <w:t>解放军和武警部队参与应急救援工作。</w:t>
      </w:r>
    </w:p>
    <w:p w14:paraId="2445E35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(七)统筹应急救援力量建设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负责森林火灾扑救、抗洪抢险、地震和地质灾害救援、生产安全事故救援(含煤矿)等专业应急救援力量建设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组织建立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综合性应急救援队伍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不含消防救援队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)及社会应急救援力量建设。</w:t>
      </w:r>
    </w:p>
    <w:p w14:paraId="4B4363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组织协调消防工作，指导各</w:t>
      </w:r>
      <w:r>
        <w:rPr>
          <w:rFonts w:hint="eastAsia" w:ascii="仿宋_GB2312" w:hAnsi="仿宋_GB2312" w:eastAsia="仿宋_GB2312" w:cs="仿宋_GB2312"/>
          <w:sz w:val="32"/>
          <w:szCs w:val="32"/>
          <w:lang w:val="en-US" w:eastAsia="zh-CN"/>
        </w:rPr>
        <w:t>级各单位的</w:t>
      </w:r>
      <w:r>
        <w:rPr>
          <w:rFonts w:hint="eastAsia" w:ascii="仿宋_GB2312" w:hAnsi="仿宋_GB2312" w:eastAsia="仿宋_GB2312" w:cs="仿宋_GB2312"/>
          <w:sz w:val="32"/>
          <w:szCs w:val="32"/>
        </w:rPr>
        <w:t>消防监督、火灾预防、火灾扑救等工作。</w:t>
      </w:r>
    </w:p>
    <w:p w14:paraId="54FF0E6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指导协调全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森林火灾、水旱灾害、地震和地质灾害等防治工作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负责自然灾害综合监测预警工作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指导开展自然灾害综合风险评估工作。</w:t>
      </w:r>
    </w:p>
    <w:p w14:paraId="52CEDA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)组织协调全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灾害救助工作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组织指导灾情核查、损失评估、救灾捐赠工作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按权限</w:t>
      </w:r>
      <w:r>
        <w:rPr>
          <w:rFonts w:hint="eastAsia" w:ascii="仿宋_GB2312" w:hAnsi="仿宋_GB2312" w:eastAsia="仿宋_GB2312" w:cs="仿宋_GB2312"/>
          <w:sz w:val="32"/>
          <w:szCs w:val="32"/>
        </w:rPr>
        <w:t>管理、分配救灾款物并监督使用。</w:t>
      </w:r>
    </w:p>
    <w:p w14:paraId="20384D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)依法行使安全生产综合监督管理职权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指导协调、监督检查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政府有关部门和各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)政府安全生产工作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督促、指导安全生产责任落实。组织开展安全生产巡查、考核工作。承担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安全生产委员会日常工作。</w:t>
      </w:r>
    </w:p>
    <w:p w14:paraId="7552B1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)按照分级、属地原则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依法监督检查工矿商贸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煤矿除外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生产经营单位贯彻执行安全生产法律法规情况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及其安全生产条件和有关</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设备(特种设备除外)、材料、劳动防护用品的安全生产管理工作。依法组织并指导监督实施安全生产准入制度。负责危险化学品安全监督管理综合工作和烟花爆竹经营企业安全生产监督管理工作。</w:t>
      </w:r>
    </w:p>
    <w:p w14:paraId="7CC323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)依法组织指导生产安全事故调查处理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监督事故查处和责任追究落实情况。组织开展自然灾害类突发事件的调查评估工作。协助国家、省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调查处理</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大以上事故。综合管理全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生产安全伤亡事故、事故隐患排查治理、安全生产统计分析工作。</w:t>
      </w:r>
    </w:p>
    <w:p w14:paraId="079C991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)制定应急物资储备和应急救援装备规划并组织实施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rPr>
        <w:t>等部门建立健全应急物资信息平台和调拨制度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在救灾时统一调度。</w:t>
      </w:r>
    </w:p>
    <w:p w14:paraId="7ED9357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)负责应急管理、安全生产宣传教育和培训工作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组织指导应急管理、安全生产的科学技术推广应用和信息化建设工作。依法组织、指导并监督特种作业(不含煤矿安全作业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特种设备操作</w:t>
      </w:r>
      <w:r>
        <w:rPr>
          <w:rFonts w:hint="eastAsia" w:ascii="仿宋_GB2312" w:hAnsi="仿宋_GB2312" w:eastAsia="仿宋_GB2312" w:cs="仿宋_GB2312"/>
          <w:sz w:val="32"/>
          <w:szCs w:val="32"/>
        </w:rPr>
        <w:t>)人员操作资格考核工作和工矿商贸生产经营单位(不含煤矿企业)主要负责人、安全生产管理人员安全生产知识和管理能力考核工作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监督检查工矿商贸生产经营单位安全培训工作。</w:t>
      </w:r>
    </w:p>
    <w:p w14:paraId="4AE4439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)负责监督指导和组织协调全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安全生产行政执法工作。</w:t>
      </w:r>
    </w:p>
    <w:p w14:paraId="0ACC3C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)开展应急管理方面的交流与合作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组织参与安全生产类、自然灾害类等突发事件的跨区域救援工作。</w:t>
      </w:r>
    </w:p>
    <w:p w14:paraId="51CDD5C4">
      <w:pPr>
        <w:kinsoku w:val="0"/>
        <w:overflowPunct w:val="0"/>
        <w:adjustRightInd w:val="0"/>
        <w:snapToGrid w:val="0"/>
        <w:spacing w:line="360" w:lineRule="auto"/>
        <w:ind w:right="2550"/>
        <w:rPr>
          <w:rFonts w:hint="eastAsia" w:ascii="仿宋_GB2312" w:hAnsi="Times New Roman"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政府交办的其他任务。</w:t>
      </w:r>
    </w:p>
    <w:p w14:paraId="2385EC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600" w:lineRule="exact"/>
        <w:ind w:left="0" w:right="0" w:firstLine="620" w:firstLineChars="200"/>
        <w:jc w:val="both"/>
        <w:textAlignment w:val="auto"/>
        <w:rPr>
          <w:rFonts w:hint="eastAsia" w:ascii="微软雅黑" w:hAnsi="微软雅黑" w:eastAsia="微软雅黑" w:cs="微软雅黑"/>
          <w:i w:val="0"/>
          <w:iCs w:val="0"/>
          <w:caps w:val="0"/>
          <w:smallCaps w:val="0"/>
          <w:color w:val="444444"/>
          <w:spacing w:val="0"/>
          <w:sz w:val="24"/>
          <w:szCs w:val="24"/>
        </w:rPr>
      </w:pPr>
      <w:r>
        <w:rPr>
          <w:rFonts w:ascii="黑体" w:hAnsi="宋体" w:eastAsia="黑体" w:cs="黑体"/>
          <w:i w:val="0"/>
          <w:iCs w:val="0"/>
          <w:caps w:val="0"/>
          <w:smallCaps w:val="0"/>
          <w:color w:val="000000"/>
          <w:spacing w:val="0"/>
          <w:kern w:val="0"/>
          <w:sz w:val="31"/>
          <w:szCs w:val="31"/>
          <w:shd w:val="clear" w:color="auto" w:fill="FFFFFF"/>
          <w:lang w:val="en-US" w:eastAsia="zh-CN"/>
        </w:rPr>
        <w:t>二、机构设置</w:t>
      </w:r>
    </w:p>
    <w:p w14:paraId="7CC5AABF">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eastAsia="zh-CN"/>
        </w:rPr>
        <w:t>渑池县应急管理局</w:t>
      </w:r>
      <w:r>
        <w:rPr>
          <w:rFonts w:hint="eastAsia" w:ascii="仿宋_GB2312" w:hAnsi="仿宋_GB2312" w:eastAsia="仿宋_GB2312" w:cs="仿宋_GB2312"/>
          <w:sz w:val="32"/>
          <w:szCs w:val="32"/>
        </w:rPr>
        <w:t>下设股室（队）1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分别是办公室、</w:t>
      </w:r>
      <w:r>
        <w:rPr>
          <w:rFonts w:hint="eastAsia" w:ascii="仿宋_GB2312" w:hAnsi="仿宋_GB2312" w:eastAsia="仿宋_GB2312" w:cs="仿宋_GB2312"/>
          <w:sz w:val="32"/>
          <w:szCs w:val="32"/>
          <w:lang w:val="en-US" w:eastAsia="zh-CN"/>
        </w:rPr>
        <w:t>应急指</w:t>
      </w:r>
      <w:r>
        <w:rPr>
          <w:rFonts w:hint="eastAsia" w:ascii="仿宋_GB2312" w:eastAsia="仿宋_GB2312"/>
          <w:sz w:val="32"/>
          <w:szCs w:val="32"/>
          <w:lang w:val="en-US" w:eastAsia="zh-CN"/>
        </w:rPr>
        <w:t>挥中心</w:t>
      </w:r>
      <w:r>
        <w:rPr>
          <w:rFonts w:hint="eastAsia"/>
          <w:sz w:val="32"/>
          <w:szCs w:val="32"/>
          <w:lang w:val="en-US" w:eastAsia="zh-CN"/>
        </w:rPr>
        <w:t>、</w:t>
      </w:r>
      <w:r>
        <w:rPr>
          <w:rFonts w:hint="eastAsia" w:ascii="仿宋_GB2312" w:eastAsia="仿宋_GB2312"/>
          <w:sz w:val="32"/>
          <w:szCs w:val="32"/>
          <w:lang w:val="en-US" w:eastAsia="zh-CN"/>
        </w:rPr>
        <w:t>工贸企业安全管理（综合防火）股、非煤矿山安全管理（地震地灾防汛抗旱）股、救灾保障股、科技法制（调查统计）股、</w:t>
      </w:r>
      <w:r>
        <w:rPr>
          <w:rFonts w:hint="eastAsia"/>
          <w:spacing w:val="2"/>
          <w:sz w:val="32"/>
          <w:szCs w:val="32"/>
        </w:rPr>
        <w:t>检</w:t>
      </w:r>
      <w:r>
        <w:rPr>
          <w:rFonts w:hint="eastAsia" w:ascii="仿宋_GB2312" w:eastAsia="仿宋_GB2312"/>
          <w:sz w:val="32"/>
          <w:szCs w:val="32"/>
          <w:lang w:val="en-US" w:eastAsia="zh-CN"/>
        </w:rPr>
        <w:t>查大队：一中队、二中队、三中队、宣传教育股、防震减灾中心。</w:t>
      </w:r>
    </w:p>
    <w:p w14:paraId="497B9E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utoSpaceDE/>
        <w:autoSpaceDN/>
        <w:bidi w:val="0"/>
        <w:spacing w:before="0" w:beforeAutospacing="0" w:after="0" w:afterAutospacing="0" w:line="600" w:lineRule="exact"/>
        <w:ind w:left="0" w:right="0" w:firstLine="620" w:firstLineChars="200"/>
        <w:jc w:val="both"/>
        <w:textAlignment w:val="auto"/>
        <w:rPr>
          <w:rFonts w:hint="eastAsia" w:ascii="黑体" w:hAnsi="宋体" w:eastAsia="黑体" w:cs="黑体"/>
          <w:i w:val="0"/>
          <w:iCs w:val="0"/>
          <w:caps w:val="0"/>
          <w:smallCaps w:val="0"/>
          <w:color w:val="000000"/>
          <w:spacing w:val="0"/>
          <w:kern w:val="0"/>
          <w:sz w:val="31"/>
          <w:szCs w:val="31"/>
          <w:shd w:val="clear" w:color="auto" w:fill="FFFFFF"/>
          <w:lang w:val="en-US" w:eastAsia="zh-CN"/>
        </w:rPr>
      </w:pPr>
      <w:r>
        <w:rPr>
          <w:rFonts w:hint="eastAsia" w:ascii="黑体" w:hAnsi="宋体" w:eastAsia="黑体" w:cs="黑体"/>
          <w:i w:val="0"/>
          <w:iCs w:val="0"/>
          <w:caps w:val="0"/>
          <w:smallCaps w:val="0"/>
          <w:color w:val="000000"/>
          <w:spacing w:val="0"/>
          <w:kern w:val="0"/>
          <w:sz w:val="31"/>
          <w:szCs w:val="31"/>
          <w:shd w:val="clear" w:color="auto" w:fill="FFFFFF"/>
          <w:lang w:val="en-US" w:eastAsia="zh-CN"/>
        </w:rPr>
        <w:t>三、部门预算单位构成</w:t>
      </w:r>
    </w:p>
    <w:p w14:paraId="5C9AC9F2">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ascii="仿宋_GB2312" w:eastAsia="仿宋_GB2312"/>
          <w:sz w:val="32"/>
          <w:szCs w:val="32"/>
          <w:lang w:val="en-US" w:eastAsia="zh-CN"/>
        </w:rPr>
      </w:pPr>
      <w:r>
        <w:rPr>
          <w:rFonts w:hint="eastAsia" w:ascii="仿宋_GB2312" w:hAnsi="仿宋_GB2312" w:eastAsia="仿宋_GB2312" w:cs="仿宋_GB2312"/>
          <w:sz w:val="32"/>
          <w:szCs w:val="32"/>
          <w:lang w:eastAsia="zh-CN"/>
        </w:rPr>
        <w:t>渑池县应急管理局</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val="en-US" w:eastAsia="zh-CN"/>
        </w:rPr>
        <w:t>为本级预算。</w:t>
      </w:r>
    </w:p>
    <w:p w14:paraId="5BA2C8BB">
      <w:pPr>
        <w:adjustRightInd w:val="0"/>
        <w:snapToGrid w:val="0"/>
        <w:spacing w:line="560" w:lineRule="exact"/>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14:paraId="39B17032">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lang w:eastAsia="zh-CN"/>
        </w:rPr>
        <w:t>渑池县应急管理局</w:t>
      </w:r>
      <w:r>
        <w:rPr>
          <w:rFonts w:ascii="黑体" w:hAnsi="Times New Roman" w:eastAsia="黑体" w:cs="黑体"/>
          <w:sz w:val="32"/>
          <w:szCs w:val="32"/>
        </w:rPr>
        <w:t>20</w:t>
      </w:r>
      <w:r>
        <w:rPr>
          <w:rFonts w:hint="eastAsia" w:ascii="黑体" w:hAnsi="Times New Roman" w:eastAsia="黑体" w:cs="黑体"/>
          <w:sz w:val="32"/>
          <w:szCs w:val="32"/>
          <w:lang w:val="en-US" w:eastAsia="zh-CN"/>
        </w:rPr>
        <w:t>2</w:t>
      </w:r>
      <w:r>
        <w:rPr>
          <w:rFonts w:ascii="黑体" w:hAnsi="Times New Roman" w:eastAsia="黑体" w:cs="黑体"/>
          <w:sz w:val="32"/>
          <w:szCs w:val="32"/>
          <w:lang w:val="en-US" w:eastAsia="zh-CN"/>
        </w:rPr>
        <w:t>5</w:t>
      </w:r>
      <w:r>
        <w:rPr>
          <w:rFonts w:hint="eastAsia" w:ascii="黑体" w:hAnsi="Times New Roman" w:eastAsia="黑体" w:cs="黑体"/>
          <w:sz w:val="32"/>
          <w:szCs w:val="32"/>
        </w:rPr>
        <w:t>年度部门预算情况说明</w:t>
      </w:r>
    </w:p>
    <w:p w14:paraId="016CC00B">
      <w:pPr>
        <w:adjustRightInd w:val="0"/>
        <w:snapToGrid w:val="0"/>
        <w:spacing w:line="560" w:lineRule="exact"/>
        <w:ind w:firstLine="640" w:firstLineChars="200"/>
        <w:rPr>
          <w:rFonts w:ascii="黑体" w:hAnsi="黑体" w:eastAsia="黑体"/>
          <w:sz w:val="32"/>
          <w:szCs w:val="32"/>
        </w:rPr>
      </w:pPr>
    </w:p>
    <w:p w14:paraId="0ACFDD92">
      <w:pPr>
        <w:keepNext w:val="0"/>
        <w:keepLines w:val="0"/>
        <w:pageBreakBefore w:val="0"/>
        <w:widowControl w:val="0"/>
        <w:wordWrap/>
        <w:topLinePunct w:val="0"/>
        <w:autoSpaceDE/>
        <w:autoSpaceDN/>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一、收入支出预算总体情况说明</w:t>
      </w:r>
    </w:p>
    <w:p w14:paraId="0DCA99A3">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渑池县应急管理局2025年收入总计</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万元，支出总计</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万元，与2024年相比，</w:t>
      </w:r>
      <w:r>
        <w:rPr>
          <w:rFonts w:hint="eastAsia" w:ascii="仿宋_GB2312" w:hAnsi="仿宋_GB2312" w:eastAsia="仿宋_GB2312" w:cs="仿宋_GB2312"/>
          <w:sz w:val="32"/>
          <w:szCs w:val="32"/>
          <w:lang w:val="en-US" w:eastAsia="zh-CN"/>
        </w:rPr>
        <w:t>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1667.27</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42.92</w:t>
      </w:r>
      <w:r>
        <w:rPr>
          <w:rFonts w:hint="eastAsia" w:ascii="仿宋_GB2312" w:hAnsi="仿宋_GB2312" w:eastAsia="仿宋_GB2312" w:cs="仿宋_GB2312"/>
          <w:sz w:val="32"/>
          <w:szCs w:val="32"/>
          <w:lang w:eastAsia="zh-CN"/>
        </w:rPr>
        <w:t>%。主要原因是基本支出增加</w:t>
      </w:r>
      <w:r>
        <w:rPr>
          <w:rFonts w:hint="eastAsia" w:ascii="仿宋_GB2312" w:hAnsi="仿宋_GB2312" w:eastAsia="仿宋_GB2312" w:cs="仿宋_GB2312"/>
          <w:sz w:val="32"/>
          <w:szCs w:val="32"/>
          <w:lang w:val="en-US" w:eastAsia="zh-CN"/>
        </w:rPr>
        <w:t>72.73万元，</w:t>
      </w:r>
      <w:r>
        <w:rPr>
          <w:rFonts w:hint="eastAsia" w:ascii="仿宋_GB2312" w:hAnsi="仿宋_GB2312" w:eastAsia="仿宋_GB2312" w:cs="仿宋_GB2312"/>
          <w:sz w:val="32"/>
          <w:szCs w:val="32"/>
          <w:lang w:eastAsia="zh-CN"/>
        </w:rPr>
        <w:t>项目支出较上年减少</w:t>
      </w:r>
      <w:r>
        <w:rPr>
          <w:rFonts w:hint="eastAsia" w:ascii="仿宋_GB2312" w:hAnsi="仿宋_GB2312" w:eastAsia="仿宋_GB2312" w:cs="仿宋_GB2312"/>
          <w:sz w:val="32"/>
          <w:szCs w:val="32"/>
          <w:lang w:val="en-US" w:eastAsia="zh-CN"/>
        </w:rPr>
        <w:t>1740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支出减少1667.27</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42.92</w:t>
      </w:r>
      <w:r>
        <w:rPr>
          <w:rFonts w:hint="eastAsia" w:ascii="仿宋_GB2312" w:hAnsi="仿宋_GB2312" w:eastAsia="仿宋_GB2312" w:cs="仿宋_GB2312"/>
          <w:sz w:val="32"/>
          <w:szCs w:val="32"/>
          <w:lang w:eastAsia="zh-CN"/>
        </w:rPr>
        <w:t>%。主要原因是基本支出增加</w:t>
      </w:r>
      <w:r>
        <w:rPr>
          <w:rFonts w:hint="eastAsia" w:ascii="仿宋_GB2312" w:hAnsi="仿宋_GB2312" w:eastAsia="仿宋_GB2312" w:cs="仿宋_GB2312"/>
          <w:sz w:val="32"/>
          <w:szCs w:val="32"/>
          <w:lang w:val="en-US" w:eastAsia="zh-CN"/>
        </w:rPr>
        <w:t>72.73万元，</w:t>
      </w:r>
      <w:r>
        <w:rPr>
          <w:rFonts w:hint="eastAsia" w:ascii="仿宋_GB2312" w:hAnsi="仿宋_GB2312" w:eastAsia="仿宋_GB2312" w:cs="仿宋_GB2312"/>
          <w:sz w:val="32"/>
          <w:szCs w:val="32"/>
          <w:lang w:eastAsia="zh-CN"/>
        </w:rPr>
        <w:t>项目支出较上年减少</w:t>
      </w:r>
      <w:r>
        <w:rPr>
          <w:rFonts w:hint="eastAsia" w:ascii="仿宋_GB2312" w:hAnsi="仿宋_GB2312" w:eastAsia="仿宋_GB2312" w:cs="仿宋_GB2312"/>
          <w:sz w:val="32"/>
          <w:szCs w:val="32"/>
          <w:lang w:val="en-US" w:eastAsia="zh-CN"/>
        </w:rPr>
        <w:t>1740</w:t>
      </w:r>
      <w:r>
        <w:rPr>
          <w:rFonts w:hint="eastAsia" w:ascii="仿宋_GB2312" w:hAnsi="仿宋_GB2312" w:eastAsia="仿宋_GB2312" w:cs="仿宋_GB2312"/>
          <w:sz w:val="32"/>
          <w:szCs w:val="32"/>
          <w:lang w:eastAsia="zh-CN"/>
        </w:rPr>
        <w:t>万元。</w:t>
      </w:r>
    </w:p>
    <w:p w14:paraId="46767EB0">
      <w:pPr>
        <w:keepNext w:val="0"/>
        <w:keepLines w:val="0"/>
        <w:pageBreakBefore w:val="0"/>
        <w:wordWrap/>
        <w:topLinePunct w:val="0"/>
        <w:bidi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二、收入预算总体情况说明</w:t>
      </w:r>
    </w:p>
    <w:p w14:paraId="23BDFC0E">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年收入预算合计</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万元，其中：一般公共</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lang w:eastAsia="zh-CN"/>
        </w:rPr>
        <w:t>算</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政府性基金预算收入0万元；国有资本经营预算收入0万元，专户管理的教育收费0万元，专户管理的教育收费结余(结转)0万元，单位结转0万元。</w:t>
      </w:r>
    </w:p>
    <w:p w14:paraId="0CF65C45">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三、支出预算总体情况说明</w:t>
      </w:r>
    </w:p>
    <w:p w14:paraId="79D1799E">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年支出预算合计</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万元，其中：基本支出</w:t>
      </w:r>
      <w:r>
        <w:rPr>
          <w:rFonts w:hint="eastAsia" w:ascii="仿宋_GB2312" w:hAnsi="仿宋_GB2312" w:eastAsia="仿宋_GB2312" w:cs="仿宋_GB2312"/>
          <w:sz w:val="32"/>
          <w:szCs w:val="32"/>
          <w:lang w:val="en-US" w:eastAsia="zh-CN"/>
        </w:rPr>
        <w:t>634.73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50.62</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619</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49.38</w:t>
      </w:r>
      <w:r>
        <w:rPr>
          <w:rFonts w:hint="eastAsia" w:ascii="仿宋_GB2312" w:hAnsi="仿宋_GB2312" w:eastAsia="仿宋_GB2312" w:cs="仿宋_GB2312"/>
          <w:sz w:val="32"/>
          <w:szCs w:val="32"/>
          <w:lang w:eastAsia="zh-CN"/>
        </w:rPr>
        <w:t>%。</w:t>
      </w:r>
    </w:p>
    <w:p w14:paraId="61EBF38A">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四、财政拨款收入支出预算总体情况说明</w:t>
      </w:r>
    </w:p>
    <w:p w14:paraId="47929798">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年一般公共预算收支预算</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，政府性基金收支预算0万元，国有资本经营预算收支预算0万元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与2024年相比，一般公共预算收支预算</w:t>
      </w:r>
      <w:r>
        <w:rPr>
          <w:rFonts w:hint="eastAsia" w:ascii="仿宋_GB2312" w:hAnsi="仿宋_GB2312" w:eastAsia="仿宋_GB2312" w:cs="仿宋_GB2312"/>
          <w:sz w:val="32"/>
          <w:szCs w:val="32"/>
          <w:lang w:eastAsia="zh-CN"/>
        </w:rPr>
        <w:t>减少1667.27万元，减少</w:t>
      </w:r>
      <w:r>
        <w:rPr>
          <w:rFonts w:hint="eastAsia" w:ascii="仿宋_GB2312" w:hAnsi="仿宋_GB2312" w:eastAsia="仿宋_GB2312" w:cs="仿宋_GB2312"/>
          <w:sz w:val="32"/>
          <w:szCs w:val="32"/>
          <w:lang w:val="en-US" w:eastAsia="zh-CN"/>
        </w:rPr>
        <w:t>42.92</w:t>
      </w:r>
      <w:r>
        <w:rPr>
          <w:rFonts w:hint="eastAsia" w:ascii="仿宋_GB2312" w:hAnsi="仿宋_GB2312" w:eastAsia="仿宋_GB2312" w:cs="仿宋_GB2312"/>
          <w:sz w:val="32"/>
          <w:szCs w:val="32"/>
          <w:lang w:eastAsia="zh-CN"/>
        </w:rPr>
        <w:t>%。主要原因是基本支出增加</w:t>
      </w:r>
      <w:r>
        <w:rPr>
          <w:rFonts w:hint="eastAsia" w:ascii="仿宋_GB2312" w:hAnsi="仿宋_GB2312" w:eastAsia="仿宋_GB2312" w:cs="仿宋_GB2312"/>
          <w:sz w:val="32"/>
          <w:szCs w:val="32"/>
          <w:lang w:val="en-US" w:eastAsia="zh-CN"/>
        </w:rPr>
        <w:t>72.73万元，</w:t>
      </w:r>
      <w:r>
        <w:rPr>
          <w:rFonts w:hint="eastAsia" w:ascii="仿宋_GB2312" w:hAnsi="仿宋_GB2312" w:eastAsia="仿宋_GB2312" w:cs="仿宋_GB2312"/>
          <w:sz w:val="32"/>
          <w:szCs w:val="32"/>
          <w:lang w:eastAsia="zh-CN"/>
        </w:rPr>
        <w:t>项目支出较上年减少</w:t>
      </w:r>
      <w:r>
        <w:rPr>
          <w:rFonts w:hint="eastAsia" w:ascii="仿宋_GB2312" w:hAnsi="仿宋_GB2312" w:eastAsia="仿宋_GB2312" w:cs="仿宋_GB2312"/>
          <w:sz w:val="32"/>
          <w:szCs w:val="32"/>
          <w:lang w:val="en-US" w:eastAsia="zh-CN"/>
        </w:rPr>
        <w:t>1740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；政府性基金收支预算增加0万元，增长0%，主要原因是：无此项预算；国有资本经营预算收支预算增加0万元，增长0%，主要原因是：无此项预算。</w:t>
      </w:r>
    </w:p>
    <w:p w14:paraId="09610A84">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b w:val="0"/>
          <w:bCs w:val="0"/>
          <w:color w:val="000000"/>
          <w:sz w:val="32"/>
          <w:szCs w:val="32"/>
        </w:rPr>
      </w:pPr>
      <w:r>
        <w:rPr>
          <w:rFonts w:hint="eastAsia" w:ascii="黑体" w:hAnsi="黑体" w:eastAsia="黑体"/>
          <w:b w:val="0"/>
          <w:bCs w:val="0"/>
          <w:color w:val="000000"/>
          <w:sz w:val="32"/>
          <w:szCs w:val="32"/>
        </w:rPr>
        <w:t>五、一般公共预算支出预算情况说明</w:t>
      </w:r>
    </w:p>
    <w:p w14:paraId="254DA6DD">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年支出预算合计</w:t>
      </w:r>
      <w:r>
        <w:rPr>
          <w:rFonts w:hint="eastAsia" w:ascii="仿宋_GB2312" w:hAnsi="仿宋_GB2312" w:eastAsia="仿宋_GB2312" w:cs="仿宋_GB2312"/>
          <w:sz w:val="32"/>
          <w:szCs w:val="32"/>
          <w:lang w:val="en-US" w:eastAsia="zh-CN"/>
        </w:rPr>
        <w:t>1253.73</w:t>
      </w:r>
      <w:r>
        <w:rPr>
          <w:rFonts w:hint="eastAsia" w:ascii="仿宋_GB2312" w:hAnsi="仿宋_GB2312" w:eastAsia="仿宋_GB2312" w:cs="仿宋_GB2312"/>
          <w:sz w:val="32"/>
          <w:szCs w:val="32"/>
          <w:lang w:eastAsia="zh-CN"/>
        </w:rPr>
        <w:t>万元，其中：基本支出</w:t>
      </w:r>
      <w:r>
        <w:rPr>
          <w:rFonts w:hint="eastAsia" w:ascii="仿宋_GB2312" w:hAnsi="仿宋_GB2312" w:eastAsia="仿宋_GB2312" w:cs="仿宋_GB2312"/>
          <w:sz w:val="32"/>
          <w:szCs w:val="32"/>
          <w:lang w:val="en-US" w:eastAsia="zh-CN"/>
        </w:rPr>
        <w:t>634.73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50.62</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619</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49.38</w:t>
      </w:r>
      <w:r>
        <w:rPr>
          <w:rFonts w:hint="eastAsia" w:ascii="仿宋_GB2312" w:hAnsi="仿宋_GB2312" w:eastAsia="仿宋_GB2312" w:cs="仿宋_GB2312"/>
          <w:sz w:val="32"/>
          <w:szCs w:val="32"/>
          <w:lang w:eastAsia="zh-CN"/>
        </w:rPr>
        <w:t>%。主要用于以下方面：社会保障和就业支出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42.1万元，占3.3%；灾害防治及应急管理支出1144.64万元，占91.4%；卫生健康支出0万元，占0%。</w:t>
      </w:r>
    </w:p>
    <w:p w14:paraId="2D1B7A99">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sz w:val="32"/>
          <w:szCs w:val="32"/>
        </w:rPr>
      </w:pPr>
      <w:r>
        <w:rPr>
          <w:rFonts w:hint="eastAsia" w:ascii="黑体" w:hAnsi="Times New Roman" w:eastAsia="黑体" w:cs="黑体"/>
          <w:kern w:val="0"/>
          <w:sz w:val="32"/>
          <w:szCs w:val="32"/>
        </w:rPr>
        <w:t>六、一般公共预算基本支出预算情况说明</w:t>
      </w:r>
    </w:p>
    <w:p w14:paraId="6C3C229B">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年一般公共预算基本支出</w:t>
      </w:r>
      <w:r>
        <w:rPr>
          <w:rFonts w:hint="eastAsia" w:ascii="仿宋_GB2312" w:hAnsi="仿宋_GB2312" w:eastAsia="仿宋_GB2312" w:cs="仿宋_GB2312"/>
          <w:sz w:val="32"/>
          <w:szCs w:val="32"/>
          <w:lang w:val="en-US" w:eastAsia="zh-CN"/>
        </w:rPr>
        <w:t>634.73</w:t>
      </w:r>
      <w:r>
        <w:rPr>
          <w:rFonts w:hint="eastAsia" w:ascii="仿宋_GB2312" w:hAnsi="仿宋_GB2312" w:eastAsia="仿宋_GB2312" w:cs="仿宋_GB2312"/>
          <w:sz w:val="32"/>
          <w:szCs w:val="32"/>
          <w:lang w:eastAsia="zh-CN"/>
        </w:rPr>
        <w:t>万元，人员经费</w:t>
      </w:r>
      <w:r>
        <w:rPr>
          <w:rFonts w:hint="eastAsia" w:ascii="仿宋_GB2312" w:hAnsi="仿宋_GB2312" w:eastAsia="仿宋_GB2312" w:cs="仿宋_GB2312"/>
          <w:sz w:val="32"/>
          <w:szCs w:val="32"/>
          <w:lang w:val="en-US" w:eastAsia="zh-CN"/>
        </w:rPr>
        <w:t>553.46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占87.2%；</w:t>
      </w:r>
      <w:r>
        <w:rPr>
          <w:rFonts w:hint="eastAsia" w:ascii="仿宋_GB2312" w:hAnsi="仿宋_GB2312" w:eastAsia="仿宋_GB2312" w:cs="仿宋_GB2312"/>
          <w:sz w:val="32"/>
          <w:szCs w:val="32"/>
          <w:lang w:eastAsia="zh-CN"/>
        </w:rPr>
        <w:t>主要包括：</w:t>
      </w:r>
      <w:r>
        <w:rPr>
          <w:rFonts w:hint="eastAsia" w:ascii="仿宋_GB2312" w:hAnsi="仿宋_GB2312" w:eastAsia="仿宋_GB2312" w:cs="仿宋_GB2312"/>
          <w:sz w:val="32"/>
          <w:szCs w:val="32"/>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仿宋_GB2312" w:eastAsia="仿宋_GB2312" w:cs="仿宋_GB2312"/>
          <w:sz w:val="32"/>
          <w:szCs w:val="32"/>
          <w:lang w:eastAsia="zh-CN"/>
        </w:rPr>
        <w:t>公用经费</w:t>
      </w:r>
      <w:r>
        <w:rPr>
          <w:rFonts w:hint="eastAsia" w:ascii="仿宋_GB2312" w:hAnsi="仿宋_GB2312" w:eastAsia="仿宋_GB2312" w:cs="仿宋_GB2312"/>
          <w:sz w:val="32"/>
          <w:szCs w:val="32"/>
          <w:lang w:val="en-US" w:eastAsia="zh-CN"/>
        </w:rPr>
        <w:t>81.27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占12.8%；</w:t>
      </w:r>
      <w:r>
        <w:rPr>
          <w:rFonts w:hint="eastAsia" w:ascii="仿宋_GB2312" w:hAnsi="仿宋_GB2312" w:eastAsia="仿宋_GB2312" w:cs="仿宋_GB2312"/>
          <w:sz w:val="32"/>
          <w:szCs w:val="32"/>
          <w:lang w:eastAsia="zh-CN"/>
        </w:rPr>
        <w:t>主要包括：办公费、印刷费、差旅费、工会经费、福利费、公务用车运行维护费、其他交通费用。</w:t>
      </w:r>
    </w:p>
    <w:p w14:paraId="41B67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pacing w:before="0" w:beforeAutospacing="0" w:after="0" w:afterAutospacing="0" w:line="600" w:lineRule="exact"/>
        <w:ind w:left="0" w:right="0" w:firstLine="620" w:firstLineChars="200"/>
        <w:jc w:val="both"/>
        <w:textAlignment w:val="auto"/>
        <w:rPr>
          <w:rFonts w:hint="eastAsia" w:ascii="微软雅黑" w:hAnsi="微软雅黑" w:eastAsia="微软雅黑" w:cs="微软雅黑"/>
          <w:i w:val="0"/>
          <w:iCs w:val="0"/>
          <w:caps w:val="0"/>
          <w:smallCaps w:val="0"/>
          <w:color w:val="444444"/>
          <w:spacing w:val="0"/>
          <w:sz w:val="24"/>
          <w:szCs w:val="24"/>
        </w:rPr>
      </w:pPr>
      <w:r>
        <w:rPr>
          <w:rFonts w:ascii="黑体" w:hAnsi="宋体" w:eastAsia="黑体" w:cs="黑体"/>
          <w:i w:val="0"/>
          <w:iCs w:val="0"/>
          <w:caps w:val="0"/>
          <w:smallCaps w:val="0"/>
          <w:color w:val="444444"/>
          <w:spacing w:val="0"/>
          <w:kern w:val="0"/>
          <w:sz w:val="31"/>
          <w:szCs w:val="31"/>
          <w:shd w:val="clear" w:color="auto" w:fill="FFFFFF"/>
          <w:lang w:val="en-US" w:eastAsia="zh-CN"/>
        </w:rPr>
        <w:t>七、支出预算经济分类情况说明</w:t>
      </w:r>
    </w:p>
    <w:p w14:paraId="3FF566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pacing w:before="0" w:beforeAutospacing="0" w:after="0" w:afterAutospacing="0" w:line="600" w:lineRule="exact"/>
        <w:ind w:left="0" w:right="0" w:firstLine="620" w:firstLineChars="200"/>
        <w:jc w:val="both"/>
        <w:textAlignment w:val="auto"/>
        <w:rPr>
          <w:rFonts w:hint="eastAsia" w:ascii="微软雅黑" w:hAnsi="微软雅黑" w:eastAsia="微软雅黑" w:cs="微软雅黑"/>
          <w:i w:val="0"/>
          <w:iCs w:val="0"/>
          <w:caps w:val="0"/>
          <w:smallCaps w:val="0"/>
          <w:color w:val="444444"/>
          <w:spacing w:val="0"/>
          <w:sz w:val="24"/>
          <w:szCs w:val="24"/>
        </w:rPr>
      </w:pPr>
      <w:r>
        <w:rPr>
          <w:rFonts w:ascii="仿宋_GB2312" w:hAnsi="微软雅黑" w:eastAsia="仿宋_GB2312" w:cs="仿宋_GB2312"/>
          <w:i w:val="0"/>
          <w:iCs w:val="0"/>
          <w:caps w:val="0"/>
          <w:smallCaps w:val="0"/>
          <w:color w:val="444444"/>
          <w:spacing w:val="0"/>
          <w:kern w:val="0"/>
          <w:sz w:val="31"/>
          <w:szCs w:val="31"/>
          <w:shd w:val="clear" w:color="auto" w:fill="FFFFFF"/>
          <w:lang w:val="en-US" w:eastAsia="zh-CN"/>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7C3BE696">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sz w:val="32"/>
          <w:szCs w:val="32"/>
        </w:rPr>
      </w:pPr>
      <w:r>
        <w:rPr>
          <w:rFonts w:hint="eastAsia" w:ascii="黑体" w:hAnsi="Times New Roman" w:eastAsia="黑体" w:cs="黑体"/>
          <w:kern w:val="0"/>
          <w:sz w:val="32"/>
          <w:szCs w:val="32"/>
        </w:rPr>
        <w:t>八、 “三公”经费支出预算情况说明</w:t>
      </w:r>
    </w:p>
    <w:p w14:paraId="1DFBBFCC">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年“三公”经费预算为</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lang w:eastAsia="zh-CN"/>
        </w:rPr>
        <w:t>万元。20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年“三公”经费支出预算数比 2024年增加</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增长96</w:t>
      </w:r>
      <w:bookmarkStart w:id="0" w:name="_GoBack"/>
      <w:bookmarkEnd w:id="0"/>
      <w:r>
        <w:rPr>
          <w:rFonts w:hint="eastAsia" w:ascii="仿宋_GB2312" w:hAnsi="仿宋_GB2312" w:eastAsia="仿宋_GB2312" w:cs="仿宋_GB2312"/>
          <w:sz w:val="32"/>
          <w:szCs w:val="32"/>
          <w:lang w:val="en-US" w:eastAsia="zh-CN"/>
        </w:rPr>
        <w:t>%。</w:t>
      </w:r>
    </w:p>
    <w:p w14:paraId="305E00CA">
      <w:pPr>
        <w:keepNext w:val="0"/>
        <w:keepLines w:val="0"/>
        <w:pageBreakBefore w:val="0"/>
        <w:kinsoku w:val="0"/>
        <w:wordWrap/>
        <w:overflowPunct w:val="0"/>
        <w:topLinePunct w:val="0"/>
        <w:autoSpaceDE w:val="0"/>
        <w:autoSpaceDN w:val="0"/>
        <w:bidi w:val="0"/>
        <w:adjustRightInd w:val="0"/>
        <w:snapToGrid w:val="0"/>
        <w:spacing w:line="600" w:lineRule="exact"/>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0AC5A92B">
      <w:pPr>
        <w:keepNext w:val="0"/>
        <w:keepLines w:val="0"/>
        <w:pageBreakBefore w:val="0"/>
        <w:numPr>
          <w:ilvl w:val="0"/>
          <w:numId w:val="1"/>
        </w:numPr>
        <w:kinsoku w:val="0"/>
        <w:wordWrap/>
        <w:overflowPunct w:val="0"/>
        <w:topLinePunct w:val="0"/>
        <w:autoSpaceDE w:val="0"/>
        <w:autoSpaceDN w:val="0"/>
        <w:bidi w:val="0"/>
        <w:adjustRightInd w:val="0"/>
        <w:snapToGrid w:val="0"/>
        <w:spacing w:line="600" w:lineRule="exact"/>
        <w:ind w:left="0" w:firstLine="636" w:firstLineChars="200"/>
        <w:jc w:val="both"/>
        <w:textAlignment w:val="auto"/>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6204F7F0">
      <w:pPr>
        <w:keepNext w:val="0"/>
        <w:keepLines w:val="0"/>
        <w:pageBreakBefore w:val="0"/>
        <w:kinsoku w:val="0"/>
        <w:wordWrap/>
        <w:overflowPunct w:val="0"/>
        <w:topLinePunct w:val="0"/>
        <w:autoSpaceDE w:val="0"/>
        <w:autoSpaceDN w:val="0"/>
        <w:bidi w:val="0"/>
        <w:adjustRightInd w:val="0"/>
        <w:snapToGrid w:val="0"/>
        <w:spacing w:line="600" w:lineRule="exact"/>
        <w:ind w:firstLine="636"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二</w:t>
      </w:r>
      <w:r>
        <w:rPr>
          <w:rFonts w:hint="eastAsia" w:ascii="楷体" w:hAnsi="楷体" w:eastAsia="楷体" w:cs="仿宋_GB2312"/>
          <w:spacing w:val="-1"/>
          <w:kern w:val="0"/>
          <w:sz w:val="32"/>
          <w:szCs w:val="32"/>
        </w:rPr>
        <w:t>）公务接待费</w:t>
      </w:r>
      <w:r>
        <w:rPr>
          <w:rFonts w:ascii="Lucida Sans" w:hAnsi="楷体" w:eastAsia="楷体" w:cs="仿宋_GB2312"/>
          <w:spacing w:val="-1"/>
          <w:kern w:val="0"/>
          <w:sz w:val="32"/>
          <w:szCs w:val="32"/>
          <w:lang w:val="en-US" w:eastAsia="zh-CN"/>
        </w:rPr>
        <w:t>10</w:t>
      </w:r>
      <w:r>
        <w:rPr>
          <w:rFonts w:hint="eastAsia" w:ascii="楷体" w:hAnsi="楷体" w:eastAsia="楷体" w:cs="Courier New"/>
          <w:sz w:val="32"/>
          <w:szCs w:val="32"/>
        </w:rPr>
        <w:t>万元，</w:t>
      </w:r>
      <w:r>
        <w:rPr>
          <w:rFonts w:hint="eastAsia" w:ascii="仿宋_GB2312" w:hAnsi="仿宋_GB2312" w:eastAsia="仿宋_GB2312" w:cs="仿宋_GB2312"/>
          <w:sz w:val="32"/>
          <w:szCs w:val="32"/>
          <w:lang w:eastAsia="zh-CN"/>
        </w:rPr>
        <w:t>主要用于按规定开支的各类公务接待（含外宾接待）支出。预算数比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年预算数减少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下降5%；</w:t>
      </w:r>
      <w:r>
        <w:rPr>
          <w:rFonts w:hint="eastAsia" w:ascii="仿宋_GB2312" w:hAnsi="仿宋_GB2312" w:eastAsia="仿宋_GB2312" w:cs="仿宋_GB2312"/>
          <w:sz w:val="32"/>
          <w:szCs w:val="32"/>
          <w:lang w:eastAsia="zh-CN"/>
        </w:rPr>
        <w:t>主要原因是严格执行中央“八项规定”，减少公务接待次数，控制公务接待标准。</w:t>
      </w:r>
    </w:p>
    <w:p w14:paraId="5595D54C">
      <w:pPr>
        <w:keepNext w:val="0"/>
        <w:keepLines w:val="0"/>
        <w:pageBreakBefore w:val="0"/>
        <w:wordWrap/>
        <w:topLinePunct w:val="0"/>
        <w:bidi w:val="0"/>
        <w:spacing w:line="600" w:lineRule="exact"/>
        <w:ind w:left="0" w:firstLine="636"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三</w:t>
      </w:r>
      <w:r>
        <w:rPr>
          <w:rFonts w:hint="eastAsia" w:ascii="楷体" w:hAnsi="楷体" w:eastAsia="楷体" w:cs="仿宋_GB2312"/>
          <w:spacing w:val="-1"/>
          <w:kern w:val="0"/>
          <w:sz w:val="32"/>
          <w:szCs w:val="32"/>
        </w:rPr>
        <w:t>）</w:t>
      </w:r>
      <w:r>
        <w:rPr>
          <w:rFonts w:hint="eastAsia" w:ascii="仿宋_GB2312" w:hAnsi="仿宋_GB2312" w:eastAsia="仿宋_GB2312" w:cs="仿宋_GB2312"/>
          <w:sz w:val="32"/>
          <w:szCs w:val="32"/>
          <w:lang w:eastAsia="zh-CN"/>
        </w:rPr>
        <w:t>公务用车购置及运行费</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其中，公务用车购置费275万元，主要用于公务用车购置，比2024年增加275万元，增长100%；主要原因是：2025年需购置应急抢险车辆；</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万元，主要用于开展工作所需公务用车的燃料费、维修费、过路过桥费、保险费、安全奖励费用等支出。公务用车运行维护费预算数比20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年减少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下降6%，</w:t>
      </w:r>
      <w:r>
        <w:rPr>
          <w:rFonts w:hint="eastAsia" w:ascii="仿宋_GB2312" w:hAnsi="仿宋_GB2312" w:eastAsia="仿宋_GB2312" w:cs="仿宋_GB2312"/>
          <w:sz w:val="32"/>
          <w:szCs w:val="32"/>
          <w:lang w:eastAsia="zh-CN"/>
        </w:rPr>
        <w:t>主要原因是提倡厉行节约，公务用车的维修费等减少。</w:t>
      </w:r>
    </w:p>
    <w:p w14:paraId="3576A711">
      <w:pPr>
        <w:keepNext w:val="0"/>
        <w:keepLines w:val="0"/>
        <w:pageBreakBefore w:val="0"/>
        <w:wordWrap/>
        <w:topLinePunct w:val="0"/>
        <w:bidi w:val="0"/>
        <w:spacing w:line="600" w:lineRule="exact"/>
        <w:ind w:firstLine="640" w:firstLineChars="200"/>
        <w:jc w:val="both"/>
        <w:textAlignment w:val="auto"/>
        <w:rPr>
          <w:rFonts w:hint="eastAsia" w:ascii="仿宋_GB2312" w:eastAsia="仿宋_GB2312"/>
          <w:sz w:val="32"/>
          <w:szCs w:val="32"/>
        </w:rPr>
      </w:pPr>
      <w:r>
        <w:rPr>
          <w:rFonts w:hint="eastAsia" w:ascii="黑体" w:hAnsi="Times New Roman" w:eastAsia="黑体" w:cs="黑体"/>
          <w:kern w:val="0"/>
          <w:sz w:val="32"/>
          <w:szCs w:val="32"/>
          <w:lang w:val="en-US" w:eastAsia="zh-CN"/>
        </w:rPr>
        <w:t>九</w:t>
      </w:r>
      <w:r>
        <w:rPr>
          <w:rFonts w:hint="eastAsia" w:ascii="黑体" w:hAnsi="Times New Roman" w:eastAsia="黑体" w:cs="黑体"/>
          <w:kern w:val="0"/>
          <w:sz w:val="32"/>
          <w:szCs w:val="32"/>
        </w:rPr>
        <w:t>、政府性基金预算支</w:t>
      </w:r>
      <w:r>
        <w:rPr>
          <w:rFonts w:hint="eastAsia" w:ascii="黑体" w:hAnsi="Times New Roman" w:eastAsia="黑体" w:cs="黑体"/>
          <w:kern w:val="0"/>
          <w:sz w:val="32"/>
          <w:szCs w:val="32"/>
          <w:lang w:val="en-US" w:eastAsia="zh-CN"/>
        </w:rPr>
        <w:t>出预</w:t>
      </w:r>
      <w:r>
        <w:rPr>
          <w:rFonts w:hint="eastAsia" w:ascii="黑体" w:hAnsi="Times New Roman" w:eastAsia="黑体" w:cs="黑体"/>
          <w:kern w:val="0"/>
          <w:sz w:val="32"/>
          <w:szCs w:val="32"/>
        </w:rPr>
        <w:t>算情况说明</w:t>
      </w:r>
    </w:p>
    <w:p w14:paraId="7A50EEFC">
      <w:pPr>
        <w:keepNext w:val="0"/>
        <w:keepLines w:val="0"/>
        <w:pageBreakBefore w:val="0"/>
        <w:kinsoku w:val="0"/>
        <w:wordWrap/>
        <w:overflowPunct w:val="0"/>
        <w:topLinePunct w:val="0"/>
        <w:autoSpaceDE w:val="0"/>
        <w:autoSpaceDN w:val="0"/>
        <w:bidi w:val="0"/>
        <w:adjustRightInd w:val="0"/>
        <w:snapToGrid w:val="0"/>
        <w:spacing w:line="600" w:lineRule="exact"/>
        <w:ind w:left="638" w:leftChars="304" w:firstLine="640" w:firstLineChars="200"/>
        <w:jc w:val="both"/>
        <w:textAlignment w:val="auto"/>
        <w:rPr>
          <w:rFonts w:hint="eastAsia" w:ascii="仿宋_GB2312" w:hAnsi="宋体" w:eastAsia="仿宋_GB2312" w:cs="Courier New"/>
          <w:sz w:val="32"/>
          <w:szCs w:val="32"/>
          <w:lang w:eastAsia="zh-CN"/>
        </w:rPr>
      </w:pPr>
      <w:r>
        <w:rPr>
          <w:rFonts w:hint="eastAsia" w:ascii="仿宋_GB2312" w:eastAsia="仿宋_GB2312"/>
          <w:sz w:val="32"/>
          <w:szCs w:val="32"/>
          <w:lang w:eastAsia="zh-CN"/>
        </w:rPr>
        <w:t>渑池县应急管理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2025年度</w:t>
      </w:r>
      <w:r>
        <w:rPr>
          <w:rFonts w:hint="eastAsia" w:ascii="仿宋_GB2312" w:eastAsia="仿宋_GB2312"/>
          <w:sz w:val="32"/>
          <w:szCs w:val="32"/>
          <w:lang w:val="en-US" w:eastAsia="zh-CN"/>
        </w:rPr>
        <w:t>预算</w:t>
      </w:r>
      <w:r>
        <w:rPr>
          <w:rFonts w:hint="eastAsia" w:ascii="仿宋_GB2312" w:hAnsi="宋体" w:eastAsia="仿宋_GB2312" w:cs="Courier New"/>
          <w:sz w:val="32"/>
          <w:szCs w:val="32"/>
        </w:rPr>
        <w:t>无政府性基金收支安排</w:t>
      </w:r>
      <w:r>
        <w:rPr>
          <w:rFonts w:hint="eastAsia" w:ascii="仿宋_GB2312" w:hAnsi="宋体" w:eastAsia="仿宋_GB2312" w:cs="Courier New"/>
          <w:sz w:val="32"/>
          <w:szCs w:val="32"/>
          <w:lang w:eastAsia="zh-CN"/>
        </w:rPr>
        <w:t>。</w:t>
      </w:r>
    </w:p>
    <w:p w14:paraId="0014C7A3">
      <w:pPr>
        <w:keepNext w:val="0"/>
        <w:keepLines w:val="0"/>
        <w:pageBreakBefore w:val="0"/>
        <w:kinsoku w:val="0"/>
        <w:wordWrap/>
        <w:overflowPunct w:val="0"/>
        <w:topLinePunct w:val="0"/>
        <w:autoSpaceDE w:val="0"/>
        <w:autoSpaceDN w:val="0"/>
        <w:bidi w:val="0"/>
        <w:adjustRightInd w:val="0"/>
        <w:snapToGrid w:val="0"/>
        <w:spacing w:line="600" w:lineRule="exact"/>
        <w:ind w:firstLine="636" w:firstLineChars="200"/>
        <w:jc w:val="both"/>
        <w:textAlignment w:val="auto"/>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十、其他重要事项的情况说明</w:t>
      </w:r>
    </w:p>
    <w:p w14:paraId="3B4A5E3A">
      <w:pPr>
        <w:keepNext w:val="0"/>
        <w:keepLines w:val="0"/>
        <w:pageBreakBefore w:val="0"/>
        <w:kinsoku w:val="0"/>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Courier New"/>
          <w:sz w:val="32"/>
          <w:szCs w:val="32"/>
        </w:rPr>
      </w:pPr>
      <w:r>
        <w:rPr>
          <w:rFonts w:hint="eastAsia" w:ascii="楷体" w:hAnsi="楷体" w:eastAsia="楷体" w:cs="仿宋_GB2312"/>
          <w:kern w:val="0"/>
          <w:sz w:val="32"/>
          <w:szCs w:val="32"/>
        </w:rPr>
        <w:t>（一）机关运行经费支出情况</w:t>
      </w:r>
    </w:p>
    <w:p w14:paraId="7D90E182">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渑池县应急管理局20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年机关运行经费支出预算</w:t>
      </w:r>
      <w:r>
        <w:rPr>
          <w:rFonts w:hint="eastAsia" w:ascii="仿宋_GB2312" w:hAnsi="仿宋_GB2312" w:eastAsia="仿宋_GB2312" w:cs="仿宋_GB2312"/>
          <w:sz w:val="32"/>
          <w:szCs w:val="32"/>
          <w:lang w:val="en-US" w:eastAsia="zh-CN"/>
        </w:rPr>
        <w:t>81.27</w:t>
      </w:r>
      <w:r>
        <w:rPr>
          <w:rFonts w:hint="eastAsia" w:ascii="仿宋_GB2312" w:hAnsi="仿宋_GB2312" w:eastAsia="仿宋_GB2312" w:cs="仿宋_GB2312"/>
          <w:sz w:val="32"/>
          <w:szCs w:val="32"/>
          <w:lang w:eastAsia="zh-CN"/>
        </w:rPr>
        <w:t>万元，主要保障局机关正常运转及正常履职需要</w:t>
      </w:r>
      <w:r>
        <w:rPr>
          <w:rFonts w:hint="eastAsia" w:ascii="仿宋_GB2312" w:hAnsi="仿宋_GB2312" w:eastAsia="仿宋_GB2312" w:cs="仿宋_GB2312"/>
          <w:sz w:val="32"/>
          <w:szCs w:val="32"/>
          <w:lang w:val="en-US" w:eastAsia="zh-CN"/>
        </w:rPr>
        <w:t>，比2024年增加11.27万元，增长27%，主要原因：人员公用标准提高，合理安排机关运行支出费用</w:t>
      </w:r>
      <w:r>
        <w:rPr>
          <w:rFonts w:hint="eastAsia" w:ascii="仿宋_GB2312" w:hAnsi="仿宋_GB2312" w:eastAsia="仿宋_GB2312" w:cs="仿宋_GB2312"/>
          <w:sz w:val="32"/>
          <w:szCs w:val="32"/>
          <w:lang w:eastAsia="zh-CN"/>
        </w:rPr>
        <w:t>。</w:t>
      </w:r>
    </w:p>
    <w:p w14:paraId="42AB3CAD">
      <w:pPr>
        <w:keepNext w:val="0"/>
        <w:keepLines w:val="0"/>
        <w:pageBreakBefore w:val="0"/>
        <w:kinsoku w:val="0"/>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仿宋_GB2312"/>
          <w:kern w:val="0"/>
          <w:sz w:val="32"/>
          <w:szCs w:val="32"/>
        </w:rPr>
      </w:pPr>
      <w:r>
        <w:rPr>
          <w:rFonts w:hint="eastAsia" w:ascii="楷体" w:hAnsi="楷体" w:eastAsia="楷体" w:cs="仿宋_GB2312"/>
          <w:kern w:val="0"/>
          <w:sz w:val="32"/>
          <w:szCs w:val="32"/>
        </w:rPr>
        <w:t>（二）政府采购支出情况</w:t>
      </w:r>
    </w:p>
    <w:p w14:paraId="2D6546EB">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年政府采购预算安排</w:t>
      </w:r>
      <w:r>
        <w:rPr>
          <w:rFonts w:hint="eastAsia" w:ascii="仿宋_GB2312" w:hAnsi="仿宋_GB2312" w:eastAsia="仿宋_GB2312" w:cs="仿宋_GB2312"/>
          <w:sz w:val="32"/>
          <w:szCs w:val="32"/>
          <w:lang w:val="en-US" w:eastAsia="zh-CN"/>
        </w:rPr>
        <w:t>619</w:t>
      </w:r>
      <w:r>
        <w:rPr>
          <w:rFonts w:hint="eastAsia" w:ascii="仿宋_GB2312" w:hAnsi="仿宋_GB2312" w:eastAsia="仿宋_GB2312" w:cs="仿宋_GB2312"/>
          <w:sz w:val="32"/>
          <w:szCs w:val="32"/>
          <w:lang w:eastAsia="zh-CN"/>
        </w:rPr>
        <w:t>万元，其中：政府采购货物预算</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万元、政府采购工程预算</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lang w:eastAsia="zh-CN"/>
        </w:rPr>
        <w:t>万元、政府采购服务预算</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万元。</w:t>
      </w:r>
    </w:p>
    <w:p w14:paraId="4E14626B">
      <w:pPr>
        <w:keepNext w:val="0"/>
        <w:keepLines w:val="0"/>
        <w:pageBreakBefore w:val="0"/>
        <w:kinsoku w:val="0"/>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仿宋_GB2312"/>
          <w:kern w:val="0"/>
          <w:sz w:val="32"/>
          <w:szCs w:val="32"/>
        </w:rPr>
      </w:pPr>
      <w:r>
        <w:rPr>
          <w:rFonts w:hint="eastAsia" w:ascii="楷体" w:hAnsi="楷体" w:eastAsia="楷体" w:cs="仿宋_GB2312"/>
          <w:kern w:val="0"/>
          <w:sz w:val="32"/>
          <w:szCs w:val="32"/>
        </w:rPr>
        <w:t>（三）关于预算绩效管理工作开展情况说明</w:t>
      </w:r>
    </w:p>
    <w:p w14:paraId="744E08B0">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75172C44">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我部门纳入预算绩效管理的支出总额为1253.73万元，其中人员经费支出553.72万元，公用经费支出81.27万元;支出项目共16个，支出总额619万元，其中预算支出100万元及100万元以上项目2个，支出总额335万元。2025年我部门拟组织对16个项目进行预算绩效评价，涉及资金619万元。我部门2025年开展重点项目预算的绩效目标2个。</w:t>
      </w:r>
    </w:p>
    <w:p w14:paraId="52949076">
      <w:pPr>
        <w:keepNext w:val="0"/>
        <w:keepLines w:val="0"/>
        <w:pageBreakBefore w:val="0"/>
        <w:kinsoku w:val="0"/>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仿宋_GB2312"/>
          <w:kern w:val="0"/>
          <w:sz w:val="32"/>
          <w:szCs w:val="32"/>
        </w:rPr>
      </w:pPr>
      <w:r>
        <w:rPr>
          <w:rFonts w:hint="eastAsia" w:ascii="楷体" w:hAnsi="楷体" w:eastAsia="楷体" w:cs="仿宋_GB2312"/>
          <w:kern w:val="0"/>
          <w:sz w:val="32"/>
          <w:szCs w:val="32"/>
          <w:lang w:eastAsia="zh-CN"/>
        </w:rPr>
        <w:t>（</w:t>
      </w:r>
      <w:r>
        <w:rPr>
          <w:rFonts w:hint="eastAsia" w:ascii="楷体" w:hAnsi="楷体" w:eastAsia="楷体" w:cs="仿宋_GB2312"/>
          <w:kern w:val="0"/>
          <w:sz w:val="32"/>
          <w:szCs w:val="32"/>
          <w:lang w:val="en-US" w:eastAsia="zh-CN"/>
        </w:rPr>
        <w:t>四）</w:t>
      </w:r>
      <w:r>
        <w:rPr>
          <w:rFonts w:hint="eastAsia" w:ascii="楷体" w:hAnsi="楷体" w:eastAsia="楷体" w:cs="仿宋_GB2312"/>
          <w:kern w:val="0"/>
          <w:sz w:val="32"/>
          <w:szCs w:val="32"/>
        </w:rPr>
        <w:t>国有资产占用情况说明</w:t>
      </w:r>
    </w:p>
    <w:p w14:paraId="4FD498D2">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2024年期末，我部门共有车辆12辆，其中：一般公务用车0辆、一般执法执勤用车4辆、特种专业技术用车8辆，其他用车0辆；单价50万元以上通用设备0套，单位价值100万元以上专用设备1套。</w:t>
      </w:r>
    </w:p>
    <w:p w14:paraId="0685F32E">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600" w:lineRule="exact"/>
        <w:ind w:left="0" w:right="0" w:firstLine="640" w:firstLineChars="200"/>
        <w:jc w:val="both"/>
        <w:textAlignment w:val="auto"/>
        <w:rPr>
          <w:rFonts w:ascii="楷体" w:hAnsi="楷体" w:eastAsia="楷体" w:cs="楷体"/>
          <w:i w:val="0"/>
          <w:iCs w:val="0"/>
          <w:caps w:val="0"/>
          <w:smallCaps w:val="0"/>
          <w:color w:val="444444"/>
          <w:spacing w:val="0"/>
          <w:kern w:val="0"/>
          <w:sz w:val="32"/>
          <w:szCs w:val="32"/>
          <w:lang w:val="en-US" w:eastAsia="zh-CN"/>
        </w:rPr>
      </w:pPr>
      <w:r>
        <w:rPr>
          <w:rFonts w:ascii="楷体" w:hAnsi="楷体" w:eastAsia="楷体" w:cs="楷体"/>
          <w:i w:val="0"/>
          <w:iCs w:val="0"/>
          <w:caps w:val="0"/>
          <w:smallCaps w:val="0"/>
          <w:color w:val="444444"/>
          <w:spacing w:val="0"/>
          <w:kern w:val="0"/>
          <w:sz w:val="32"/>
          <w:szCs w:val="32"/>
          <w:lang w:val="en-US" w:eastAsia="zh-CN"/>
        </w:rPr>
        <w:t>（五）专项转移支付项目情况</w:t>
      </w:r>
    </w:p>
    <w:p w14:paraId="143EF55F">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7427EB7A">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14:paraId="74C85277">
      <w:pPr>
        <w:keepNext w:val="0"/>
        <w:keepLines w:val="0"/>
        <w:pageBreakBefore w:val="0"/>
        <w:widowControl w:val="0"/>
        <w:kinsoku w:val="0"/>
        <w:wordWrap/>
        <w:overflowPunct w:val="0"/>
        <w:topLinePunct w:val="0"/>
        <w:autoSpaceDE/>
        <w:autoSpaceDN/>
        <w:bidi w:val="0"/>
        <w:adjustRightInd w:val="0"/>
        <w:snapToGrid w:val="0"/>
        <w:spacing w:line="360" w:lineRule="auto"/>
        <w:ind w:left="0" w:right="0" w:firstLine="640" w:firstLineChars="200"/>
        <w:textAlignment w:val="auto"/>
        <w:rPr>
          <w:rFonts w:hint="eastAsia" w:ascii="仿宋_GB2312" w:hAnsi="仿宋_GB2312" w:eastAsia="仿宋_GB2312" w:cs="仿宋_GB2312"/>
          <w:sz w:val="32"/>
          <w:szCs w:val="32"/>
        </w:rPr>
      </w:pPr>
    </w:p>
    <w:p w14:paraId="5BFD3FDE">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w:t>
      </w:r>
    </w:p>
    <w:p w14:paraId="345F84E6">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名词解释</w:t>
      </w:r>
    </w:p>
    <w:p w14:paraId="6C3931B7">
      <w:pPr>
        <w:adjustRightInd w:val="0"/>
        <w:snapToGrid w:val="0"/>
        <w:spacing w:line="560" w:lineRule="exact"/>
        <w:jc w:val="center"/>
        <w:rPr>
          <w:rFonts w:hint="eastAsia" w:ascii="黑体" w:hAnsi="黑体" w:eastAsia="黑体"/>
          <w:sz w:val="32"/>
          <w:szCs w:val="32"/>
        </w:rPr>
      </w:pPr>
    </w:p>
    <w:p w14:paraId="5E9C867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4E33CF9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0480645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286CF0D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54EF7DB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7EC0A6C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1F876E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3E73BCC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404A362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F6E6A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554E406">
      <w:pPr>
        <w:kinsoku w:val="0"/>
        <w:overflowPunct w:val="0"/>
        <w:adjustRightInd w:val="0"/>
        <w:snapToGrid w:val="0"/>
        <w:spacing w:line="360" w:lineRule="auto"/>
        <w:ind w:firstLine="640" w:firstLineChars="200"/>
        <w:rPr>
          <w:rFonts w:hint="eastAsia" w:ascii="黑体" w:hAnsi="Times New Roman" w:eastAsia="黑体" w:cs="黑体"/>
          <w:sz w:val="32"/>
          <w:szCs w:val="32"/>
        </w:rPr>
      </w:pPr>
    </w:p>
    <w:p w14:paraId="6F12B12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附件：</w:t>
      </w:r>
      <w:r>
        <w:rPr>
          <w:rFonts w:hint="eastAsia" w:ascii="仿宋_GB2312" w:hAnsi="仿宋_GB2312" w:eastAsia="仿宋_GB2312" w:cs="仿宋_GB2312"/>
          <w:sz w:val="32"/>
          <w:szCs w:val="32"/>
          <w:lang w:eastAsia="zh-CN"/>
        </w:rPr>
        <w:t>渑池县应急管理局</w:t>
      </w:r>
      <w:r>
        <w:rPr>
          <w:rFonts w:hint="eastAsia" w:ascii="仿宋_GB2312" w:hAnsi="Calibri" w:eastAsia="仿宋_GB2312" w:cs="Times New Roman"/>
          <w:snapToGrid/>
          <w:color w:val="auto"/>
          <w:kern w:val="2"/>
          <w:sz w:val="32"/>
          <w:szCs w:val="32"/>
          <w:highlight w:val="none"/>
          <w:lang w:val="en-US" w:eastAsia="zh-CN" w:bidi="ar-SA"/>
        </w:rPr>
        <w:t>2025年部门预算表</w:t>
      </w:r>
    </w:p>
    <w:p w14:paraId="653F6A7F">
      <w:pPr>
        <w:kinsoku w:val="0"/>
        <w:overflowPunct w:val="0"/>
        <w:adjustRightInd w:val="0"/>
        <w:snapToGrid w:val="0"/>
        <w:spacing w:line="560" w:lineRule="exact"/>
        <w:ind w:right="51"/>
        <w:jc w:val="left"/>
        <w:rPr>
          <w:rFonts w:hint="eastAsia" w:ascii="仿宋_GB2312" w:hAnsi="Times New Roman" w:eastAsia="仿宋_GB2312" w:cs="仿宋_GB2312"/>
          <w:sz w:val="32"/>
          <w:szCs w:val="32"/>
        </w:rPr>
      </w:pPr>
    </w:p>
    <w:sectPr>
      <w:pgSz w:w="11906" w:h="16838"/>
      <w:pgMar w:top="1440" w:right="1700"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文泉驿微米黑">
    <w:altName w:val="黑体"/>
    <w:panose1 w:val="020B0606030804020204"/>
    <w:charset w:val="86"/>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51053"/>
    <w:multiLevelType w:val="singleLevel"/>
    <w:tmpl w:val="6945105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GZmMDU5N2U1ODhjZWE1MzcwOTYzY2E0ZGI4ZjIxMmYifQ=="/>
  </w:docVars>
  <w:rsids>
    <w:rsidRoot w:val="00000000"/>
    <w:rsid w:val="0C0F69F6"/>
    <w:rsid w:val="175D4A13"/>
    <w:rsid w:val="373E7E7C"/>
    <w:rsid w:val="3E281F2B"/>
    <w:rsid w:val="461F397C"/>
    <w:rsid w:val="573938D6"/>
    <w:rsid w:val="58F37969"/>
    <w:rsid w:val="5BA00AE1"/>
    <w:rsid w:val="693E3C15"/>
    <w:rsid w:val="7D407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ind w:left="761"/>
      <w:jc w:val="left"/>
    </w:pPr>
    <w:rPr>
      <w:rFonts w:ascii="仿宋_GB2312" w:hAnsi="Times New Roman" w:eastAsia="仿宋_GB2312" w:cs="Times New Roman"/>
      <w:kern w:val="0"/>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A14055E-B6C2-4398-B6EC-1E765934D97B}">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12</Pages>
  <Words>4865</Words>
  <Characters>5223</Characters>
  <Lines>0</Lines>
  <Paragraphs>124</Paragraphs>
  <TotalTime>3</TotalTime>
  <ScaleCrop>false</ScaleCrop>
  <LinksUpToDate>false</LinksUpToDate>
  <CharactersWithSpaces>5303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2017-02-15T03:37:00Z</dcterms:created>
  <dc:creator>谢斐</dc:creator>
  <cp:lastModifiedBy>我想</cp:lastModifiedBy>
  <cp:lastPrinted>2017-02-23T01:31:00Z</cp:lastPrinted>
  <dcterms:modified xsi:type="dcterms:W3CDTF">2025-05-22T08:32:13Z</dcterms:modified>
  <dc:title>2017年度省级部门预算公开参考格式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752D3F4768AA42D1851986A453466F2C_13</vt:lpwstr>
  </property>
  <property fmtid="{D5CDD505-2E9C-101B-9397-08002B2CF9AE}" pid="4" name="KSOTemplateDocerSaveRecord">
    <vt:lpwstr>eyJoZGlkIjoiZGZmMDU5N2U1ODhjZWE1MzcwOTYzY2E0ZGI4ZjIxMmYiLCJ1c2VySWQiOiI0NjIwODIzNjAifQ==</vt:lpwstr>
  </property>
</Properties>
</file>