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CEC5B1">
      <w:pPr>
        <w:jc w:val="center"/>
        <w:rPr>
          <w:rFonts w:hint="eastAsia" w:ascii="方正小标宋_GBK" w:eastAsia="方正小标宋_GBK"/>
          <w:bCs/>
          <w:color w:val="000000" w:themeColor="text1"/>
          <w:sz w:val="72"/>
          <w:szCs w:val="72"/>
          <w:highlight w:val="none"/>
          <w14:textFill>
            <w14:solidFill>
              <w14:schemeClr w14:val="tx1"/>
            </w14:solidFill>
          </w14:textFill>
        </w:rPr>
      </w:pPr>
      <w:bookmarkStart w:id="3" w:name="_GoBack"/>
      <w:bookmarkEnd w:id="3"/>
      <w:r>
        <w:rPr>
          <w:rFonts w:hint="eastAsia" w:eastAsia="仿宋"/>
          <w:color w:val="000000" w:themeColor="text1"/>
          <w:sz w:val="52"/>
          <w:szCs w:val="52"/>
          <w:highlight w:val="none"/>
          <w:lang w:eastAsia="zh-CN"/>
          <w14:textFill>
            <w14:solidFill>
              <w14:schemeClr w14:val="tx1"/>
            </w14:solidFill>
          </w14:textFill>
        </w:rPr>
        <w:drawing>
          <wp:anchor distT="0" distB="0" distL="114300" distR="114300" simplePos="0" relativeHeight="251693056" behindDoc="0" locked="0" layoutInCell="1" allowOverlap="1">
            <wp:simplePos x="0" y="0"/>
            <wp:positionH relativeFrom="column">
              <wp:posOffset>-933450</wp:posOffset>
            </wp:positionH>
            <wp:positionV relativeFrom="paragraph">
              <wp:posOffset>-914400</wp:posOffset>
            </wp:positionV>
            <wp:extent cx="7535545" cy="10366375"/>
            <wp:effectExtent l="0" t="0" r="8255" b="15875"/>
            <wp:wrapNone/>
            <wp:docPr id="60" name="图片 60"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009"/>
                    <pic:cNvPicPr>
                      <a:picLocks noChangeAspect="1"/>
                    </pic:cNvPicPr>
                  </pic:nvPicPr>
                  <pic:blipFill>
                    <a:blip r:embed="rId13"/>
                    <a:stretch>
                      <a:fillRect/>
                    </a:stretch>
                  </pic:blipFill>
                  <pic:spPr>
                    <a:xfrm>
                      <a:off x="0" y="0"/>
                      <a:ext cx="7535545" cy="10366375"/>
                    </a:xfrm>
                    <a:prstGeom prst="rect">
                      <a:avLst/>
                    </a:prstGeom>
                  </pic:spPr>
                </pic:pic>
              </a:graphicData>
            </a:graphic>
          </wp:anchor>
        </w:drawing>
      </w:r>
    </w:p>
    <w:p w14:paraId="530F4CB7">
      <w:pPr>
        <w:jc w:val="center"/>
        <w:rPr>
          <w:rFonts w:hint="eastAsia" w:ascii="方正小标宋_GBK" w:eastAsia="方正小标宋_GBK"/>
          <w:bCs/>
          <w:color w:val="000000" w:themeColor="text1"/>
          <w:sz w:val="72"/>
          <w:szCs w:val="72"/>
          <w:highlight w:val="none"/>
          <w14:textFill>
            <w14:solidFill>
              <w14:schemeClr w14:val="tx1"/>
            </w14:solidFill>
          </w14:textFill>
        </w:rPr>
      </w:pPr>
      <w:r>
        <w:rPr>
          <w:rFonts w:hint="eastAsia" w:ascii="方正小标宋_GBK" w:eastAsia="方正小标宋_GBK"/>
          <w:bCs/>
          <w:color w:val="000000" w:themeColor="text1"/>
          <w:sz w:val="72"/>
          <w:szCs w:val="72"/>
          <w:highlight w:val="none"/>
          <w14:textFill>
            <w14:solidFill>
              <w14:schemeClr w14:val="tx1"/>
            </w14:solidFill>
          </w14:textFill>
        </w:rPr>
        <w:t>建设项目环境影响报告表</w:t>
      </w:r>
    </w:p>
    <w:p w14:paraId="2FF01D19">
      <w:pPr>
        <w:adjustRightInd w:val="0"/>
        <w:snapToGrid w:val="0"/>
        <w:spacing w:before="192" w:beforeLines="80"/>
        <w:jc w:val="center"/>
        <w:rPr>
          <w:rFonts w:hint="eastAsia" w:ascii="楷体_GB2312" w:eastAsia="楷体_GB2312"/>
          <w:bCs/>
          <w:color w:val="000000" w:themeColor="text1"/>
          <w:sz w:val="48"/>
          <w:szCs w:val="48"/>
          <w:highlight w:val="none"/>
          <w14:textFill>
            <w14:solidFill>
              <w14:schemeClr w14:val="tx1"/>
            </w14:solidFill>
          </w14:textFill>
        </w:rPr>
      </w:pPr>
      <w:r>
        <w:rPr>
          <w:rFonts w:hint="eastAsia" w:ascii="楷体_GB2312" w:eastAsia="楷体_GB2312"/>
          <w:bCs/>
          <w:color w:val="000000" w:themeColor="text1"/>
          <w:sz w:val="48"/>
          <w:szCs w:val="48"/>
          <w:highlight w:val="none"/>
          <w14:textFill>
            <w14:solidFill>
              <w14:schemeClr w14:val="tx1"/>
            </w14:solidFill>
          </w14:textFill>
        </w:rPr>
        <w:t>（污染影响类）</w:t>
      </w:r>
    </w:p>
    <w:p w14:paraId="206E535A">
      <w:pPr>
        <w:adjustRightInd w:val="0"/>
        <w:snapToGrid w:val="0"/>
        <w:spacing w:line="288" w:lineRule="auto"/>
        <w:jc w:val="center"/>
        <w:rPr>
          <w:rFonts w:ascii="华文仿宋" w:hAnsi="华文仿宋" w:eastAsia="华文仿宋" w:cs="华文仿宋"/>
          <w:color w:val="000000" w:themeColor="text1"/>
          <w:kern w:val="44"/>
          <w:sz w:val="44"/>
          <w:szCs w:val="44"/>
          <w:highlight w:val="none"/>
          <w14:textFill>
            <w14:solidFill>
              <w14:schemeClr w14:val="tx1"/>
            </w14:solidFill>
          </w14:textFill>
        </w:rPr>
      </w:pPr>
    </w:p>
    <w:p w14:paraId="70091D11">
      <w:pPr>
        <w:jc w:val="center"/>
        <w:rPr>
          <w:rFonts w:hint="eastAsia" w:eastAsia="仿宋"/>
          <w:color w:val="000000" w:themeColor="text1"/>
          <w:sz w:val="52"/>
          <w:szCs w:val="52"/>
          <w:highlight w:val="none"/>
          <w:lang w:eastAsia="zh-CN"/>
          <w14:textFill>
            <w14:solidFill>
              <w14:schemeClr w14:val="tx1"/>
            </w14:solidFill>
          </w14:textFill>
        </w:rPr>
      </w:pPr>
    </w:p>
    <w:p w14:paraId="0FF5198A">
      <w:pPr>
        <w:ind w:firstLine="1040"/>
        <w:rPr>
          <w:rFonts w:hint="eastAsia" w:eastAsia="仿宋"/>
          <w:color w:val="000000" w:themeColor="text1"/>
          <w:sz w:val="44"/>
          <w:szCs w:val="44"/>
          <w:highlight w:val="none"/>
          <w14:textFill>
            <w14:solidFill>
              <w14:schemeClr w14:val="tx1"/>
            </w14:solidFill>
          </w14:textFill>
        </w:rPr>
      </w:pPr>
    </w:p>
    <w:p w14:paraId="2679380C">
      <w:pPr>
        <w:tabs>
          <w:tab w:val="left" w:pos="6872"/>
        </w:tabs>
        <w:ind w:firstLine="1040"/>
        <w:rPr>
          <w:rFonts w:hint="eastAsia" w:eastAsia="仿宋"/>
          <w:color w:val="000000" w:themeColor="text1"/>
          <w:sz w:val="44"/>
          <w:szCs w:val="44"/>
          <w:highlight w:val="none"/>
          <w:lang w:eastAsia="zh-CN"/>
          <w14:textFill>
            <w14:solidFill>
              <w14:schemeClr w14:val="tx1"/>
            </w14:solidFill>
          </w14:textFill>
        </w:rPr>
      </w:pPr>
      <w:r>
        <w:rPr>
          <w:rFonts w:hint="eastAsia" w:eastAsia="仿宋"/>
          <w:color w:val="000000" w:themeColor="text1"/>
          <w:sz w:val="44"/>
          <w:szCs w:val="44"/>
          <w:highlight w:val="none"/>
          <w:lang w:eastAsia="zh-CN"/>
          <w14:textFill>
            <w14:solidFill>
              <w14:schemeClr w14:val="tx1"/>
            </w14:solidFill>
          </w14:textFill>
        </w:rPr>
        <w:tab/>
      </w:r>
    </w:p>
    <w:p w14:paraId="6D998515">
      <w:pPr>
        <w:ind w:firstLine="1040"/>
        <w:rPr>
          <w:rFonts w:eastAsia="仿宋"/>
          <w:color w:val="000000" w:themeColor="text1"/>
          <w:sz w:val="44"/>
          <w:szCs w:val="44"/>
          <w:highlight w:val="none"/>
          <w14:textFill>
            <w14:solidFill>
              <w14:schemeClr w14:val="tx1"/>
            </w14:solidFill>
          </w14:textFill>
        </w:rPr>
      </w:pPr>
    </w:p>
    <w:p w14:paraId="2BC7D950">
      <w:pPr>
        <w:ind w:firstLine="1040"/>
        <w:rPr>
          <w:rFonts w:eastAsia="仿宋"/>
          <w:color w:val="000000" w:themeColor="text1"/>
          <w:sz w:val="44"/>
          <w:szCs w:val="44"/>
          <w:highlight w:val="none"/>
          <w14:textFill>
            <w14:solidFill>
              <w14:schemeClr w14:val="tx1"/>
            </w14:solidFill>
          </w14:textFill>
        </w:rPr>
      </w:pPr>
    </w:p>
    <w:p w14:paraId="17CBA7BE">
      <w:pPr>
        <w:adjustRightInd w:val="0"/>
        <w:snapToGrid w:val="0"/>
        <w:spacing w:line="288" w:lineRule="auto"/>
        <w:rPr>
          <w:rFonts w:hint="eastAsia" w:eastAsia="仿宋"/>
          <w:color w:val="000000" w:themeColor="text1"/>
          <w:sz w:val="44"/>
          <w:szCs w:val="44"/>
          <w:highlight w:val="none"/>
          <w14:textFill>
            <w14:solidFill>
              <w14:schemeClr w14:val="tx1"/>
            </w14:solidFill>
          </w14:textFill>
        </w:rPr>
      </w:pPr>
    </w:p>
    <w:p w14:paraId="6483B34D">
      <w:pPr>
        <w:adjustRightInd w:val="0"/>
        <w:snapToGrid w:val="0"/>
        <w:spacing w:line="288" w:lineRule="auto"/>
        <w:ind w:firstLine="300" w:firstLineChars="100"/>
        <w:jc w:val="both"/>
        <w:rPr>
          <w:rFonts w:hint="default" w:ascii="仿宋_GB2312" w:eastAsia="仿宋_GB2312"/>
          <w:color w:val="000000" w:themeColor="text1"/>
          <w:sz w:val="30"/>
          <w:szCs w:val="30"/>
          <w:highlight w:val="none"/>
          <w:u w:val="single"/>
          <w:lang w:val="en-US"/>
          <w14:textFill>
            <w14:solidFill>
              <w14:schemeClr w14:val="tx1"/>
            </w14:solidFill>
          </w14:textFill>
        </w:rPr>
      </w:pPr>
      <w:bookmarkStart w:id="0" w:name="_Hlk57884087"/>
      <w:r>
        <w:rPr>
          <w:rFonts w:hint="eastAsia" w:ascii="仿宋_GB2312" w:eastAsia="仿宋_GB2312"/>
          <w:color w:val="000000" w:themeColor="text1"/>
          <w:sz w:val="30"/>
          <w:szCs w:val="30"/>
          <w:highlight w:val="none"/>
          <w14:textFill>
            <w14:solidFill>
              <w14:schemeClr w14:val="tx1"/>
            </w14:solidFill>
          </w14:textFill>
        </w:rPr>
        <w:t>项目名称：</w:t>
      </w:r>
      <w:r>
        <w:rPr>
          <w:rFonts w:hint="eastAsia" w:ascii="仿宋_GB2312" w:eastAsia="仿宋_GB2312"/>
          <w:color w:val="000000" w:themeColor="text1"/>
          <w:sz w:val="30"/>
          <w:szCs w:val="30"/>
          <w:highlight w:val="none"/>
          <w:u w:val="single"/>
          <w:lang w:val="en-US" w:eastAsia="zh-CN"/>
          <w14:textFill>
            <w14:solidFill>
              <w14:schemeClr w14:val="tx1"/>
            </w14:solidFill>
          </w14:textFill>
        </w:rPr>
        <w:t>渑池县中医院精神卫生和心理健康防治中心项目</w:t>
      </w:r>
    </w:p>
    <w:p w14:paraId="4036CA04">
      <w:pPr>
        <w:adjustRightInd w:val="0"/>
        <w:snapToGrid w:val="0"/>
        <w:spacing w:line="288" w:lineRule="auto"/>
        <w:ind w:firstLine="300" w:firstLineChars="100"/>
        <w:jc w:val="both"/>
        <w:rPr>
          <w:rFonts w:hint="eastAsia" w:ascii="仿宋_GB2312" w:eastAsia="仿宋_GB2312"/>
          <w:color w:val="000000" w:themeColor="text1"/>
          <w:sz w:val="30"/>
          <w:szCs w:val="30"/>
          <w:highlight w:val="none"/>
          <w:u w:val="single"/>
          <w:lang w:val="en-US" w:eastAsia="zh-CN"/>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建设单位（盖章）：</w:t>
      </w:r>
      <w:r>
        <w:rPr>
          <w:rFonts w:hint="eastAsia" w:ascii="仿宋_GB2312" w:eastAsia="仿宋_GB2312"/>
          <w:color w:val="000000" w:themeColor="text1"/>
          <w:sz w:val="30"/>
          <w:szCs w:val="30"/>
          <w:highlight w:val="none"/>
          <w:u w:val="single"/>
          <w:lang w:val="en-US" w:eastAsia="zh-CN"/>
          <w14:textFill>
            <w14:solidFill>
              <w14:schemeClr w14:val="tx1"/>
            </w14:solidFill>
          </w14:textFill>
        </w:rPr>
        <w:t xml:space="preserve">          渑池县中医院            </w:t>
      </w:r>
    </w:p>
    <w:p w14:paraId="7357D984">
      <w:pPr>
        <w:adjustRightInd w:val="0"/>
        <w:snapToGrid w:val="0"/>
        <w:spacing w:line="288" w:lineRule="auto"/>
        <w:ind w:firstLine="300" w:firstLineChars="100"/>
        <w:rPr>
          <w:rFonts w:ascii="仿宋_GB2312" w:eastAsia="仿宋_GB2312"/>
          <w:color w:val="000000" w:themeColor="text1"/>
          <w:sz w:val="36"/>
          <w:szCs w:val="36"/>
          <w:highlight w:val="none"/>
          <w:u w:val="singl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编制日期：</w:t>
      </w:r>
      <w:r>
        <w:rPr>
          <w:rFonts w:hint="eastAsia" w:ascii="仿宋_GB2312" w:eastAsia="仿宋_GB2312"/>
          <w:color w:val="000000" w:themeColor="text1"/>
          <w:sz w:val="30"/>
          <w:szCs w:val="30"/>
          <w:highlight w:val="none"/>
          <w:u w:val="single"/>
          <w14:textFill>
            <w14:solidFill>
              <w14:schemeClr w14:val="tx1"/>
            </w14:solidFill>
          </w14:textFill>
        </w:rPr>
        <w:t xml:space="preserve"> </w:t>
      </w:r>
      <w:r>
        <w:rPr>
          <w:rFonts w:ascii="仿宋_GB2312" w:eastAsia="仿宋_GB2312"/>
          <w:color w:val="000000" w:themeColor="text1"/>
          <w:sz w:val="30"/>
          <w:szCs w:val="30"/>
          <w:highlight w:val="none"/>
          <w:u w:val="single"/>
          <w14:textFill>
            <w14:solidFill>
              <w14:schemeClr w14:val="tx1"/>
            </w14:solidFill>
          </w14:textFill>
        </w:rPr>
        <w:t xml:space="preserve">  </w:t>
      </w:r>
      <w:r>
        <w:rPr>
          <w:rFonts w:hint="eastAsia" w:ascii="仿宋_GB2312" w:eastAsia="仿宋_GB2312"/>
          <w:color w:val="000000" w:themeColor="text1"/>
          <w:sz w:val="30"/>
          <w:szCs w:val="30"/>
          <w:highlight w:val="none"/>
          <w:u w:val="single"/>
          <w:lang w:val="en-US" w:eastAsia="zh-CN"/>
          <w14:textFill>
            <w14:solidFill>
              <w14:schemeClr w14:val="tx1"/>
            </w14:solidFill>
          </w14:textFill>
        </w:rPr>
        <w:t xml:space="preserve">               </w:t>
      </w:r>
      <w:r>
        <w:rPr>
          <w:rFonts w:hint="eastAsia" w:ascii="仿宋_GB2312" w:eastAsia="仿宋_GB2312"/>
          <w:color w:val="000000" w:themeColor="text1"/>
          <w:sz w:val="30"/>
          <w:szCs w:val="30"/>
          <w:highlight w:val="none"/>
          <w:u w:val="single"/>
          <w14:textFill>
            <w14:solidFill>
              <w14:schemeClr w14:val="tx1"/>
            </w14:solidFill>
          </w14:textFill>
        </w:rPr>
        <w:t>202</w:t>
      </w:r>
      <w:r>
        <w:rPr>
          <w:rFonts w:hint="eastAsia" w:ascii="仿宋_GB2312" w:eastAsia="仿宋_GB2312"/>
          <w:color w:val="000000" w:themeColor="text1"/>
          <w:sz w:val="30"/>
          <w:szCs w:val="30"/>
          <w:highlight w:val="none"/>
          <w:u w:val="single"/>
          <w:lang w:val="en-US" w:eastAsia="zh-CN"/>
          <w14:textFill>
            <w14:solidFill>
              <w14:schemeClr w14:val="tx1"/>
            </w14:solidFill>
          </w14:textFill>
        </w:rPr>
        <w:t>3</w:t>
      </w:r>
      <w:r>
        <w:rPr>
          <w:rFonts w:hint="eastAsia" w:ascii="仿宋_GB2312" w:eastAsia="仿宋_GB2312"/>
          <w:color w:val="000000" w:themeColor="text1"/>
          <w:sz w:val="30"/>
          <w:szCs w:val="30"/>
          <w:highlight w:val="none"/>
          <w:u w:val="single"/>
          <w14:textFill>
            <w14:solidFill>
              <w14:schemeClr w14:val="tx1"/>
            </w14:solidFill>
          </w14:textFill>
        </w:rPr>
        <w:t>年</w:t>
      </w:r>
      <w:r>
        <w:rPr>
          <w:rFonts w:hint="eastAsia" w:ascii="仿宋_GB2312" w:eastAsia="仿宋_GB2312"/>
          <w:color w:val="000000" w:themeColor="text1"/>
          <w:sz w:val="30"/>
          <w:szCs w:val="30"/>
          <w:highlight w:val="none"/>
          <w:u w:val="single"/>
          <w:lang w:val="en-US" w:eastAsia="zh-CN"/>
          <w14:textFill>
            <w14:solidFill>
              <w14:schemeClr w14:val="tx1"/>
            </w14:solidFill>
          </w14:textFill>
        </w:rPr>
        <w:t>12</w:t>
      </w:r>
      <w:r>
        <w:rPr>
          <w:rFonts w:hint="eastAsia" w:ascii="仿宋_GB2312" w:eastAsia="仿宋_GB2312"/>
          <w:color w:val="000000" w:themeColor="text1"/>
          <w:sz w:val="30"/>
          <w:szCs w:val="30"/>
          <w:highlight w:val="none"/>
          <w:u w:val="single"/>
          <w14:textFill>
            <w14:solidFill>
              <w14:schemeClr w14:val="tx1"/>
            </w14:solidFill>
          </w14:textFill>
        </w:rPr>
        <w:t>月</w:t>
      </w:r>
      <w:r>
        <w:rPr>
          <w:rFonts w:ascii="仿宋_GB2312" w:eastAsia="仿宋_GB2312"/>
          <w:color w:val="000000" w:themeColor="text1"/>
          <w:sz w:val="30"/>
          <w:szCs w:val="30"/>
          <w:highlight w:val="none"/>
          <w:u w:val="single"/>
          <w14:textFill>
            <w14:solidFill>
              <w14:schemeClr w14:val="tx1"/>
            </w14:solidFill>
          </w14:textFill>
        </w:rPr>
        <w:t xml:space="preserve"> </w:t>
      </w:r>
      <w:r>
        <w:rPr>
          <w:rFonts w:hint="eastAsia" w:ascii="仿宋_GB2312" w:eastAsia="仿宋_GB2312"/>
          <w:color w:val="000000" w:themeColor="text1"/>
          <w:sz w:val="30"/>
          <w:szCs w:val="30"/>
          <w:highlight w:val="none"/>
          <w:u w:val="single"/>
          <w:lang w:val="en-US" w:eastAsia="zh-CN"/>
          <w14:textFill>
            <w14:solidFill>
              <w14:schemeClr w14:val="tx1"/>
            </w14:solidFill>
          </w14:textFill>
        </w:rPr>
        <w:t xml:space="preserve"> </w:t>
      </w:r>
      <w:r>
        <w:rPr>
          <w:rFonts w:ascii="仿宋_GB2312" w:eastAsia="仿宋_GB2312"/>
          <w:color w:val="000000" w:themeColor="text1"/>
          <w:sz w:val="30"/>
          <w:szCs w:val="30"/>
          <w:highlight w:val="none"/>
          <w:u w:val="single"/>
          <w14:textFill>
            <w14:solidFill>
              <w14:schemeClr w14:val="tx1"/>
            </w14:solidFill>
          </w14:textFill>
        </w:rPr>
        <w:t xml:space="preserve"> </w:t>
      </w:r>
      <w:r>
        <w:rPr>
          <w:rFonts w:hint="eastAsia" w:ascii="仿宋_GB2312" w:eastAsia="仿宋_GB2312"/>
          <w:color w:val="000000" w:themeColor="text1"/>
          <w:sz w:val="30"/>
          <w:szCs w:val="30"/>
          <w:highlight w:val="none"/>
          <w:u w:val="single"/>
          <w:lang w:val="en-US" w:eastAsia="zh-CN"/>
          <w14:textFill>
            <w14:solidFill>
              <w14:schemeClr w14:val="tx1"/>
            </w14:solidFill>
          </w14:textFill>
        </w:rPr>
        <w:t xml:space="preserve">         </w:t>
      </w:r>
      <w:r>
        <w:rPr>
          <w:rFonts w:ascii="仿宋_GB2312" w:eastAsia="仿宋_GB2312"/>
          <w:color w:val="000000" w:themeColor="text1"/>
          <w:sz w:val="30"/>
          <w:szCs w:val="30"/>
          <w:highlight w:val="none"/>
          <w:u w:val="single"/>
          <w14:textFill>
            <w14:solidFill>
              <w14:schemeClr w14:val="tx1"/>
            </w14:solidFill>
          </w14:textFill>
        </w:rPr>
        <w:t xml:space="preserve"> </w:t>
      </w:r>
    </w:p>
    <w:p w14:paraId="2437CB52">
      <w:pP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pPr>
    </w:p>
    <w:p w14:paraId="1E8661EE">
      <w:pP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pPr>
    </w:p>
    <w:p w14:paraId="64E3384B">
      <w:pPr>
        <w:adjustRightInd w:val="0"/>
        <w:snapToGrid w:val="0"/>
        <w:spacing w:line="288" w:lineRule="auto"/>
        <w:ind w:firstLine="1040"/>
        <w:rPr>
          <w:rFonts w:hint="eastAsia" w:ascii="仿宋_GB2312" w:eastAsia="仿宋_GB2312"/>
          <w:color w:val="000000" w:themeColor="text1"/>
          <w:sz w:val="36"/>
          <w:szCs w:val="36"/>
          <w:highlight w:val="none"/>
          <w14:textFill>
            <w14:solidFill>
              <w14:schemeClr w14:val="tx1"/>
            </w14:solidFill>
          </w14:textFill>
        </w:rPr>
      </w:pPr>
    </w:p>
    <w:bookmarkEnd w:id="0"/>
    <w:p w14:paraId="796C8766">
      <w:pPr>
        <w:adjustRightInd w:val="0"/>
        <w:snapToGrid w:val="0"/>
        <w:spacing w:line="288" w:lineRule="auto"/>
        <w:jc w:val="center"/>
        <w:rPr>
          <w:rFonts w:hint="eastAsia" w:ascii="楷体_GB2312" w:eastAsia="楷体_GB2312"/>
          <w:color w:val="000000" w:themeColor="text1"/>
          <w:sz w:val="36"/>
          <w:szCs w:val="36"/>
          <w:highlight w:val="none"/>
          <w14:textFill>
            <w14:solidFill>
              <w14:schemeClr w14:val="tx1"/>
            </w14:solidFill>
          </w14:textFill>
        </w:rPr>
      </w:pPr>
      <w:r>
        <w:rPr>
          <w:rFonts w:hint="eastAsia" w:ascii="楷体_GB2312" w:eastAsia="楷体_GB2312"/>
          <w:color w:val="000000" w:themeColor="text1"/>
          <w:sz w:val="36"/>
          <w:szCs w:val="36"/>
          <w:highlight w:val="none"/>
          <w14:textFill>
            <w14:solidFill>
              <w14:schemeClr w14:val="tx1"/>
            </w14:solidFill>
          </w14:textFill>
        </w:rPr>
        <w:t>中华人民共和国生态环境部制</w:t>
      </w:r>
    </w:p>
    <w:p w14:paraId="3BD1320A">
      <w:pPr>
        <w:rPr>
          <w:rFonts w:ascii="仿宋_GB2312" w:eastAsia="仿宋_GB2312"/>
          <w:color w:val="000000" w:themeColor="text1"/>
          <w:sz w:val="36"/>
          <w:szCs w:val="36"/>
          <w:highlight w:val="none"/>
          <w14:textFill>
            <w14:solidFill>
              <w14:schemeClr w14:val="tx1"/>
            </w14:solidFill>
          </w14:textFill>
        </w:rPr>
      </w:pPr>
      <w:r>
        <w:rPr>
          <w:rFonts w:ascii="仿宋_GB2312" w:eastAsia="仿宋_GB2312"/>
          <w:color w:val="000000" w:themeColor="text1"/>
          <w:sz w:val="36"/>
          <w:szCs w:val="36"/>
          <w:highlight w:val="none"/>
          <w14:textFill>
            <w14:solidFill>
              <w14:schemeClr w14:val="tx1"/>
            </w14:solidFill>
          </w14:textFill>
        </w:rPr>
        <w:br w:type="page"/>
      </w:r>
    </w:p>
    <w:p w14:paraId="1D9E1C91">
      <w:pPr>
        <w:rPr>
          <w:rFonts w:hint="eastAsia" w:eastAsia="宋体"/>
          <w:lang w:eastAsia="zh-CN"/>
        </w:rPr>
      </w:pPr>
      <w:r>
        <w:rPr>
          <w:rFonts w:hint="eastAsia" w:eastAsia="宋体"/>
          <w:lang w:eastAsia="zh-CN"/>
        </w:rPr>
        <w:drawing>
          <wp:anchor distT="0" distB="0" distL="114300" distR="114300" simplePos="0" relativeHeight="251694080" behindDoc="0" locked="0" layoutInCell="1" allowOverlap="1">
            <wp:simplePos x="0" y="0"/>
            <wp:positionH relativeFrom="column">
              <wp:posOffset>-676275</wp:posOffset>
            </wp:positionH>
            <wp:positionV relativeFrom="paragraph">
              <wp:posOffset>-866775</wp:posOffset>
            </wp:positionV>
            <wp:extent cx="7182485" cy="9880600"/>
            <wp:effectExtent l="0" t="0" r="18415" b="6350"/>
            <wp:wrapNone/>
            <wp:docPr id="62" name="图片 6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001"/>
                    <pic:cNvPicPr>
                      <a:picLocks noChangeAspect="1"/>
                    </pic:cNvPicPr>
                  </pic:nvPicPr>
                  <pic:blipFill>
                    <a:blip r:embed="rId14"/>
                    <a:stretch>
                      <a:fillRect/>
                    </a:stretch>
                  </pic:blipFill>
                  <pic:spPr>
                    <a:xfrm>
                      <a:off x="0" y="0"/>
                      <a:ext cx="7182485" cy="9880600"/>
                    </a:xfrm>
                    <a:prstGeom prst="rect">
                      <a:avLst/>
                    </a:prstGeom>
                  </pic:spPr>
                </pic:pic>
              </a:graphicData>
            </a:graphic>
          </wp:anchor>
        </w:drawing>
      </w:r>
      <w:r>
        <w:br w:type="page"/>
      </w:r>
    </w:p>
    <w:p w14:paraId="7C92FE8C">
      <w:pPr>
        <w:rPr>
          <w:rFonts w:hint="eastAsia" w:eastAsia="宋体"/>
          <w:lang w:eastAsia="zh-CN"/>
        </w:rPr>
      </w:pPr>
      <w:r>
        <w:rPr>
          <w:rFonts w:hint="eastAsia" w:eastAsia="宋体"/>
          <w:lang w:eastAsia="zh-CN"/>
        </w:rPr>
        <w:drawing>
          <wp:anchor distT="0" distB="0" distL="114300" distR="114300" simplePos="0" relativeHeight="251695104" behindDoc="0" locked="0" layoutInCell="1" allowOverlap="1">
            <wp:simplePos x="0" y="0"/>
            <wp:positionH relativeFrom="column">
              <wp:posOffset>-828675</wp:posOffset>
            </wp:positionH>
            <wp:positionV relativeFrom="paragraph">
              <wp:posOffset>-876300</wp:posOffset>
            </wp:positionV>
            <wp:extent cx="7392670" cy="10170160"/>
            <wp:effectExtent l="0" t="0" r="17780" b="2540"/>
            <wp:wrapNone/>
            <wp:docPr id="63" name="图片 6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02"/>
                    <pic:cNvPicPr>
                      <a:picLocks noChangeAspect="1"/>
                    </pic:cNvPicPr>
                  </pic:nvPicPr>
                  <pic:blipFill>
                    <a:blip r:embed="rId15"/>
                    <a:stretch>
                      <a:fillRect/>
                    </a:stretch>
                  </pic:blipFill>
                  <pic:spPr>
                    <a:xfrm>
                      <a:off x="0" y="0"/>
                      <a:ext cx="7392670" cy="10170160"/>
                    </a:xfrm>
                    <a:prstGeom prst="rect">
                      <a:avLst/>
                    </a:prstGeom>
                  </pic:spPr>
                </pic:pic>
              </a:graphicData>
            </a:graphic>
          </wp:anchor>
        </w:drawing>
      </w:r>
    </w:p>
    <w:p w14:paraId="0CB34224">
      <w:pPr>
        <w:rPr>
          <w:rFonts w:hint="eastAsia" w:eastAsia="宋体"/>
          <w:lang w:eastAsia="zh-CN"/>
        </w:rPr>
      </w:pPr>
      <w:r>
        <w:rPr>
          <w:rFonts w:hint="eastAsia" w:eastAsia="宋体"/>
          <w:lang w:eastAsia="zh-CN"/>
        </w:rPr>
        <w:br w:type="page"/>
      </w:r>
    </w:p>
    <w:p w14:paraId="604DACDB">
      <w:pPr>
        <w:rPr>
          <w:rFonts w:hint="eastAsia"/>
          <w:lang w:eastAsia="zh-CN"/>
        </w:rPr>
      </w:pPr>
      <w:r>
        <w:rPr>
          <w:rFonts w:hint="eastAsia"/>
          <w:lang w:eastAsia="zh-CN"/>
        </w:rPr>
        <w:drawing>
          <wp:anchor distT="0" distB="0" distL="114300" distR="114300" simplePos="0" relativeHeight="251696128" behindDoc="0" locked="0" layoutInCell="1" allowOverlap="1">
            <wp:simplePos x="0" y="0"/>
            <wp:positionH relativeFrom="column">
              <wp:posOffset>-619125</wp:posOffset>
            </wp:positionH>
            <wp:positionV relativeFrom="paragraph">
              <wp:posOffset>-781050</wp:posOffset>
            </wp:positionV>
            <wp:extent cx="7106285" cy="9775825"/>
            <wp:effectExtent l="0" t="0" r="18415" b="15875"/>
            <wp:wrapNone/>
            <wp:docPr id="64" name="图片 6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03"/>
                    <pic:cNvPicPr>
                      <a:picLocks noChangeAspect="1"/>
                    </pic:cNvPicPr>
                  </pic:nvPicPr>
                  <pic:blipFill>
                    <a:blip r:embed="rId16"/>
                    <a:stretch>
                      <a:fillRect/>
                    </a:stretch>
                  </pic:blipFill>
                  <pic:spPr>
                    <a:xfrm>
                      <a:off x="0" y="0"/>
                      <a:ext cx="7106285" cy="9775825"/>
                    </a:xfrm>
                    <a:prstGeom prst="rect">
                      <a:avLst/>
                    </a:prstGeom>
                  </pic:spPr>
                </pic:pic>
              </a:graphicData>
            </a:graphic>
          </wp:anchor>
        </w:drawing>
      </w:r>
      <w:r>
        <w:rPr>
          <w:rFonts w:hint="eastAsia"/>
          <w:lang w:eastAsia="zh-CN"/>
        </w:rPr>
        <w:br w:type="page"/>
      </w:r>
    </w:p>
    <w:p w14:paraId="65ABB661">
      <w:pPr>
        <w:rPr>
          <w:rFonts w:hint="eastAsia"/>
          <w:lang w:eastAsia="zh-CN"/>
        </w:rPr>
      </w:pPr>
      <w:r>
        <w:rPr>
          <w:rFonts w:hint="eastAsia"/>
          <w:lang w:eastAsia="zh-CN"/>
        </w:rPr>
        <w:drawing>
          <wp:anchor distT="0" distB="0" distL="114300" distR="114300" simplePos="0" relativeHeight="251697152" behindDoc="0" locked="0" layoutInCell="1" allowOverlap="1">
            <wp:simplePos x="0" y="0"/>
            <wp:positionH relativeFrom="column">
              <wp:posOffset>-819150</wp:posOffset>
            </wp:positionH>
            <wp:positionV relativeFrom="paragraph">
              <wp:posOffset>-866775</wp:posOffset>
            </wp:positionV>
            <wp:extent cx="7153910" cy="9841865"/>
            <wp:effectExtent l="0" t="0" r="8890" b="6985"/>
            <wp:wrapNone/>
            <wp:docPr id="65" name="图片 6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004"/>
                    <pic:cNvPicPr>
                      <a:picLocks noChangeAspect="1"/>
                    </pic:cNvPicPr>
                  </pic:nvPicPr>
                  <pic:blipFill>
                    <a:blip r:embed="rId17"/>
                    <a:stretch>
                      <a:fillRect/>
                    </a:stretch>
                  </pic:blipFill>
                  <pic:spPr>
                    <a:xfrm>
                      <a:off x="0" y="0"/>
                      <a:ext cx="7153910" cy="9841865"/>
                    </a:xfrm>
                    <a:prstGeom prst="rect">
                      <a:avLst/>
                    </a:prstGeom>
                  </pic:spPr>
                </pic:pic>
              </a:graphicData>
            </a:graphic>
          </wp:anchor>
        </w:drawing>
      </w:r>
      <w:r>
        <w:rPr>
          <w:rFonts w:hint="eastAsia"/>
          <w:lang w:eastAsia="zh-CN"/>
        </w:rPr>
        <w:br w:type="page"/>
      </w:r>
    </w:p>
    <w:p w14:paraId="76BD9F69">
      <w:pPr>
        <w:rPr>
          <w:rFonts w:hint="eastAsia"/>
          <w:lang w:eastAsia="zh-CN"/>
        </w:rPr>
      </w:pPr>
      <w:r>
        <w:rPr>
          <w:rFonts w:hint="eastAsia"/>
          <w:lang w:eastAsia="zh-CN"/>
        </w:rPr>
        <w:drawing>
          <wp:anchor distT="0" distB="0" distL="114300" distR="114300" simplePos="0" relativeHeight="251698176" behindDoc="0" locked="0" layoutInCell="1" allowOverlap="1">
            <wp:simplePos x="0" y="0"/>
            <wp:positionH relativeFrom="column">
              <wp:posOffset>-666750</wp:posOffset>
            </wp:positionH>
            <wp:positionV relativeFrom="paragraph">
              <wp:posOffset>-752475</wp:posOffset>
            </wp:positionV>
            <wp:extent cx="7039610" cy="9684385"/>
            <wp:effectExtent l="0" t="0" r="8890" b="12065"/>
            <wp:wrapNone/>
            <wp:docPr id="66" name="图片 66"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005"/>
                    <pic:cNvPicPr>
                      <a:picLocks noChangeAspect="1"/>
                    </pic:cNvPicPr>
                  </pic:nvPicPr>
                  <pic:blipFill>
                    <a:blip r:embed="rId18"/>
                    <a:stretch>
                      <a:fillRect/>
                    </a:stretch>
                  </pic:blipFill>
                  <pic:spPr>
                    <a:xfrm>
                      <a:off x="0" y="0"/>
                      <a:ext cx="7039610" cy="9684385"/>
                    </a:xfrm>
                    <a:prstGeom prst="rect">
                      <a:avLst/>
                    </a:prstGeom>
                  </pic:spPr>
                </pic:pic>
              </a:graphicData>
            </a:graphic>
          </wp:anchor>
        </w:drawing>
      </w:r>
      <w:r>
        <w:rPr>
          <w:rFonts w:hint="eastAsia"/>
          <w:lang w:eastAsia="zh-CN"/>
        </w:rPr>
        <w:br w:type="page"/>
      </w:r>
    </w:p>
    <w:p w14:paraId="7BD32DE7">
      <w:pPr>
        <w:rPr>
          <w:rFonts w:hint="eastAsia"/>
          <w:lang w:eastAsia="zh-CN"/>
        </w:rPr>
      </w:pPr>
      <w:r>
        <w:rPr>
          <w:rFonts w:hint="eastAsia"/>
          <w:lang w:eastAsia="zh-CN"/>
        </w:rPr>
        <w:drawing>
          <wp:anchor distT="0" distB="0" distL="114300" distR="114300" simplePos="0" relativeHeight="251699200" behindDoc="0" locked="0" layoutInCell="1" allowOverlap="1">
            <wp:simplePos x="0" y="0"/>
            <wp:positionH relativeFrom="column">
              <wp:posOffset>-790575</wp:posOffset>
            </wp:positionH>
            <wp:positionV relativeFrom="paragraph">
              <wp:posOffset>-866775</wp:posOffset>
            </wp:positionV>
            <wp:extent cx="7224395" cy="9939020"/>
            <wp:effectExtent l="0" t="0" r="14605" b="5080"/>
            <wp:wrapNone/>
            <wp:docPr id="67" name="图片 67"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006"/>
                    <pic:cNvPicPr>
                      <a:picLocks noChangeAspect="1"/>
                    </pic:cNvPicPr>
                  </pic:nvPicPr>
                  <pic:blipFill>
                    <a:blip r:embed="rId19"/>
                    <a:stretch>
                      <a:fillRect/>
                    </a:stretch>
                  </pic:blipFill>
                  <pic:spPr>
                    <a:xfrm>
                      <a:off x="0" y="0"/>
                      <a:ext cx="7224395" cy="9939020"/>
                    </a:xfrm>
                    <a:prstGeom prst="rect">
                      <a:avLst/>
                    </a:prstGeom>
                  </pic:spPr>
                </pic:pic>
              </a:graphicData>
            </a:graphic>
          </wp:anchor>
        </w:drawing>
      </w:r>
      <w:r>
        <w:rPr>
          <w:rFonts w:hint="eastAsia"/>
          <w:lang w:eastAsia="zh-CN"/>
        </w:rPr>
        <w:br w:type="page"/>
      </w:r>
    </w:p>
    <w:p w14:paraId="18204E8B">
      <w:pPr>
        <w:rPr>
          <w:rFonts w:hint="eastAsia"/>
          <w:lang w:eastAsia="zh-CN"/>
        </w:rPr>
      </w:pPr>
      <w:r>
        <w:rPr>
          <w:rFonts w:hint="eastAsia"/>
          <w:lang w:eastAsia="zh-CN"/>
        </w:rPr>
        <w:drawing>
          <wp:anchor distT="0" distB="0" distL="114300" distR="114300" simplePos="0" relativeHeight="251700224" behindDoc="0" locked="0" layoutInCell="1" allowOverlap="1">
            <wp:simplePos x="0" y="0"/>
            <wp:positionH relativeFrom="column">
              <wp:posOffset>-581025</wp:posOffset>
            </wp:positionH>
            <wp:positionV relativeFrom="paragraph">
              <wp:posOffset>-628650</wp:posOffset>
            </wp:positionV>
            <wp:extent cx="6975475" cy="9596120"/>
            <wp:effectExtent l="0" t="0" r="15875" b="5080"/>
            <wp:wrapNone/>
            <wp:docPr id="68" name="图片 68"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007"/>
                    <pic:cNvPicPr>
                      <a:picLocks noChangeAspect="1"/>
                    </pic:cNvPicPr>
                  </pic:nvPicPr>
                  <pic:blipFill>
                    <a:blip r:embed="rId20"/>
                    <a:stretch>
                      <a:fillRect/>
                    </a:stretch>
                  </pic:blipFill>
                  <pic:spPr>
                    <a:xfrm>
                      <a:off x="0" y="0"/>
                      <a:ext cx="6975475" cy="9596120"/>
                    </a:xfrm>
                    <a:prstGeom prst="rect">
                      <a:avLst/>
                    </a:prstGeom>
                  </pic:spPr>
                </pic:pic>
              </a:graphicData>
            </a:graphic>
          </wp:anchor>
        </w:drawing>
      </w:r>
      <w:r>
        <w:rPr>
          <w:rFonts w:hint="eastAsia"/>
          <w:lang w:eastAsia="zh-CN"/>
        </w:rPr>
        <w:br w:type="page"/>
      </w:r>
    </w:p>
    <w:p w14:paraId="780F9C73">
      <w:pPr>
        <w:pStyle w:val="2"/>
        <w:rPr>
          <w:rFonts w:hint="eastAsia"/>
          <w:lang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037CEFF7">
      <w:pPr>
        <w:pStyle w:val="30"/>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一、建设项目基本情况</w:t>
      </w:r>
    </w:p>
    <w:tbl>
      <w:tblPr>
        <w:tblStyle w:val="3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81"/>
        <w:gridCol w:w="1738"/>
        <w:gridCol w:w="2212"/>
        <w:gridCol w:w="2639"/>
      </w:tblGrid>
      <w:tr w14:paraId="48B576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noWrap w:val="0"/>
            <w:tcMar>
              <w:top w:w="16" w:type="dxa"/>
              <w:left w:w="16" w:type="dxa"/>
              <w:right w:w="16" w:type="dxa"/>
            </w:tcMar>
            <w:vAlign w:val="center"/>
          </w:tcPr>
          <w:p w14:paraId="6F88802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建设项目名称</w:t>
            </w:r>
          </w:p>
        </w:tc>
        <w:tc>
          <w:tcPr>
            <w:tcW w:w="6589" w:type="dxa"/>
            <w:gridSpan w:val="3"/>
            <w:noWrap w:val="0"/>
            <w:vAlign w:val="center"/>
          </w:tcPr>
          <w:p w14:paraId="453B2E5A">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渑池县中医院精神卫生和心理健康防治中心项目</w:t>
            </w:r>
          </w:p>
        </w:tc>
      </w:tr>
      <w:tr w14:paraId="3999C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noWrap w:val="0"/>
            <w:tcMar>
              <w:top w:w="16" w:type="dxa"/>
              <w:left w:w="16" w:type="dxa"/>
              <w:right w:w="16" w:type="dxa"/>
            </w:tcMar>
            <w:vAlign w:val="center"/>
          </w:tcPr>
          <w:p w14:paraId="55562B76">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项目代码</w:t>
            </w:r>
          </w:p>
        </w:tc>
        <w:tc>
          <w:tcPr>
            <w:tcW w:w="6589" w:type="dxa"/>
            <w:gridSpan w:val="3"/>
            <w:noWrap w:val="0"/>
            <w:vAlign w:val="center"/>
          </w:tcPr>
          <w:p w14:paraId="607F2BE1">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渑发改社会[2020]239号</w:t>
            </w:r>
          </w:p>
        </w:tc>
      </w:tr>
      <w:tr w14:paraId="52771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noWrap w:val="0"/>
            <w:tcMar>
              <w:top w:w="16" w:type="dxa"/>
              <w:left w:w="16" w:type="dxa"/>
              <w:right w:w="16" w:type="dxa"/>
            </w:tcMar>
            <w:vAlign w:val="center"/>
          </w:tcPr>
          <w:p w14:paraId="463EFEDA">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建设单位联系人</w:t>
            </w:r>
          </w:p>
        </w:tc>
        <w:tc>
          <w:tcPr>
            <w:tcW w:w="1738" w:type="dxa"/>
            <w:noWrap w:val="0"/>
            <w:vAlign w:val="center"/>
          </w:tcPr>
          <w:p w14:paraId="35F212D0">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杨冬晓</w:t>
            </w:r>
          </w:p>
        </w:tc>
        <w:tc>
          <w:tcPr>
            <w:tcW w:w="2212" w:type="dxa"/>
            <w:noWrap w:val="0"/>
            <w:vAlign w:val="center"/>
          </w:tcPr>
          <w:p w14:paraId="623303A3">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联系方式</w:t>
            </w:r>
          </w:p>
        </w:tc>
        <w:tc>
          <w:tcPr>
            <w:tcW w:w="2639" w:type="dxa"/>
            <w:noWrap w:val="0"/>
            <w:vAlign w:val="center"/>
          </w:tcPr>
          <w:p w14:paraId="2A633377">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15238958891</w:t>
            </w:r>
          </w:p>
        </w:tc>
      </w:tr>
      <w:tr w14:paraId="727AD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noWrap w:val="0"/>
            <w:tcMar>
              <w:top w:w="16" w:type="dxa"/>
              <w:left w:w="16" w:type="dxa"/>
              <w:right w:w="16" w:type="dxa"/>
            </w:tcMar>
            <w:vAlign w:val="center"/>
          </w:tcPr>
          <w:p w14:paraId="1F665480">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建设地点</w:t>
            </w:r>
          </w:p>
        </w:tc>
        <w:tc>
          <w:tcPr>
            <w:tcW w:w="6589" w:type="dxa"/>
            <w:gridSpan w:val="3"/>
            <w:noWrap w:val="0"/>
            <w:vAlign w:val="center"/>
          </w:tcPr>
          <w:p w14:paraId="55F14831">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渑池县城关镇孟岭村韶州路东段、县中医院东侧感染病房楼院内</w:t>
            </w:r>
          </w:p>
        </w:tc>
      </w:tr>
      <w:tr w14:paraId="7EC698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noWrap w:val="0"/>
            <w:tcMar>
              <w:top w:w="16" w:type="dxa"/>
              <w:left w:w="16" w:type="dxa"/>
              <w:right w:w="16" w:type="dxa"/>
            </w:tcMar>
            <w:vAlign w:val="center"/>
          </w:tcPr>
          <w:p w14:paraId="19BABC7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地理坐标</w:t>
            </w:r>
          </w:p>
        </w:tc>
        <w:tc>
          <w:tcPr>
            <w:tcW w:w="6589" w:type="dxa"/>
            <w:gridSpan w:val="3"/>
            <w:noWrap w:val="0"/>
            <w:vAlign w:val="center"/>
          </w:tcPr>
          <w:p w14:paraId="54558995">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（东经</w:t>
            </w:r>
            <w:r>
              <w:rPr>
                <w:rFonts w:hint="default" w:ascii="Times New Roman" w:hAnsi="Times New Roman" w:cs="Times New Roman"/>
                <w:color w:val="000000" w:themeColor="text1"/>
                <w:szCs w:val="21"/>
                <w:highlight w:val="none"/>
                <w:u w:val="single"/>
                <w14:textFill>
                  <w14:solidFill>
                    <w14:schemeClr w14:val="tx1"/>
                  </w14:solidFill>
                </w14:textFill>
              </w:rPr>
              <w:t xml:space="preserve"> 11</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1</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度</w:t>
            </w:r>
            <w:r>
              <w:rPr>
                <w:rFonts w:hint="default" w:ascii="Times New Roman" w:hAnsi="Times New Roman" w:cs="Times New Roman"/>
                <w:color w:val="000000" w:themeColor="text1"/>
                <w:szCs w:val="21"/>
                <w:highlight w:val="none"/>
                <w:u w:val="single"/>
                <w14:textFill>
                  <w14:solidFill>
                    <w14:schemeClr w14:val="tx1"/>
                  </w14:solidFill>
                </w14:textFill>
              </w:rPr>
              <w:t xml:space="preserve">  4</w:t>
            </w:r>
            <w:r>
              <w:rPr>
                <w:rFonts w:hint="eastAsia" w:ascii="Times New Roman" w:hAnsi="Times New Roman" w:cs="Times New Roman"/>
                <w:color w:val="000000" w:themeColor="text1"/>
                <w:szCs w:val="21"/>
                <w:highlight w:val="none"/>
                <w:u w:val="single"/>
                <w:lang w:val="en-US" w:eastAsia="zh-CN"/>
                <w14:textFill>
                  <w14:solidFill>
                    <w14:schemeClr w14:val="tx1"/>
                  </w14:solidFill>
                </w14:textFill>
              </w:rPr>
              <w:t>7</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分</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eastAsia" w:ascii="Times New Roman" w:hAnsi="Times New Roman" w:cs="Times New Roman"/>
                <w:color w:val="000000" w:themeColor="text1"/>
                <w:szCs w:val="21"/>
                <w:highlight w:val="none"/>
                <w:u w:val="single"/>
                <w:lang w:val="en-US" w:eastAsia="zh-CN"/>
                <w14:textFill>
                  <w14:solidFill>
                    <w14:schemeClr w14:val="tx1"/>
                  </w14:solidFill>
                </w14:textFill>
              </w:rPr>
              <w:t>13.985</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秒，北纬</w:t>
            </w:r>
            <w:r>
              <w:rPr>
                <w:rFonts w:hint="default" w:ascii="Times New Roman" w:hAnsi="Times New Roman" w:cs="Times New Roman"/>
                <w:color w:val="000000" w:themeColor="text1"/>
                <w:szCs w:val="21"/>
                <w:highlight w:val="none"/>
                <w:u w:val="single"/>
                <w14:textFill>
                  <w14:solidFill>
                    <w14:schemeClr w14:val="tx1"/>
                  </w14:solidFill>
                </w14:textFill>
              </w:rPr>
              <w:t xml:space="preserve"> 34 </w:t>
            </w:r>
            <w:r>
              <w:rPr>
                <w:rFonts w:hint="default" w:ascii="Times New Roman" w:hAnsi="Times New Roman" w:cs="Times New Roman"/>
                <w:color w:val="000000" w:themeColor="text1"/>
                <w:szCs w:val="21"/>
                <w:highlight w:val="none"/>
                <w14:textFill>
                  <w14:solidFill>
                    <w14:schemeClr w14:val="tx1"/>
                  </w14:solidFill>
                </w14:textFill>
              </w:rPr>
              <w:t>度</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4</w:t>
            </w:r>
            <w:r>
              <w:rPr>
                <w:rFonts w:hint="eastAsia" w:ascii="Times New Roman" w:hAnsi="Times New Roman" w:cs="Times New Roman"/>
                <w:color w:val="000000" w:themeColor="text1"/>
                <w:szCs w:val="21"/>
                <w:highlight w:val="none"/>
                <w:u w:val="single"/>
                <w:lang w:val="en-US" w:eastAsia="zh-CN"/>
                <w14:textFill>
                  <w14:solidFill>
                    <w14:schemeClr w14:val="tx1"/>
                  </w14:solidFill>
                </w14:textFill>
              </w:rPr>
              <w:t>6</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分</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eastAsia" w:ascii="Times New Roman" w:hAnsi="Times New Roman" w:cs="Times New Roman"/>
                <w:color w:val="000000" w:themeColor="text1"/>
                <w:szCs w:val="21"/>
                <w:highlight w:val="none"/>
                <w:u w:val="single"/>
                <w:lang w:val="en-US" w:eastAsia="zh-CN"/>
                <w14:textFill>
                  <w14:solidFill>
                    <w14:schemeClr w14:val="tx1"/>
                  </w14:solidFill>
                </w14:textFill>
              </w:rPr>
              <w:t>17.274</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秒）</w:t>
            </w:r>
          </w:p>
        </w:tc>
      </w:tr>
      <w:tr w14:paraId="6B044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281" w:type="dxa"/>
            <w:noWrap w:val="0"/>
            <w:tcMar>
              <w:top w:w="16" w:type="dxa"/>
              <w:left w:w="16" w:type="dxa"/>
              <w:right w:w="16" w:type="dxa"/>
            </w:tcMar>
            <w:vAlign w:val="center"/>
          </w:tcPr>
          <w:p w14:paraId="028F5844">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国民经济</w:t>
            </w:r>
          </w:p>
          <w:p w14:paraId="679E44D1">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行业类别</w:t>
            </w:r>
          </w:p>
        </w:tc>
        <w:tc>
          <w:tcPr>
            <w:tcW w:w="1738" w:type="dxa"/>
            <w:noWrap w:val="0"/>
            <w:vAlign w:val="center"/>
          </w:tcPr>
          <w:p w14:paraId="3EF78516">
            <w:pPr>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Q8432 专科疾病</w:t>
            </w:r>
          </w:p>
          <w:p w14:paraId="5F8C41B3">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防治院(所、站)</w:t>
            </w:r>
          </w:p>
        </w:tc>
        <w:tc>
          <w:tcPr>
            <w:tcW w:w="2212" w:type="dxa"/>
            <w:noWrap w:val="0"/>
            <w:vAlign w:val="center"/>
          </w:tcPr>
          <w:p w14:paraId="7716A6CA">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bookmarkStart w:id="1" w:name="_Hlk49843745"/>
            <w:r>
              <w:rPr>
                <w:rFonts w:hint="default" w:ascii="Times New Roman" w:hAnsi="Times New Roman" w:cs="Times New Roman"/>
                <w:color w:val="000000" w:themeColor="text1"/>
                <w:szCs w:val="21"/>
                <w:highlight w:val="none"/>
                <w14:textFill>
                  <w14:solidFill>
                    <w14:schemeClr w14:val="tx1"/>
                  </w14:solidFill>
                </w14:textFill>
              </w:rPr>
              <w:t>建设项目</w:t>
            </w:r>
          </w:p>
          <w:p w14:paraId="66CEE3C7">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行业类别</w:t>
            </w:r>
            <w:bookmarkEnd w:id="1"/>
          </w:p>
        </w:tc>
        <w:tc>
          <w:tcPr>
            <w:tcW w:w="2639" w:type="dxa"/>
            <w:noWrap w:val="0"/>
            <w:vAlign w:val="center"/>
          </w:tcPr>
          <w:p w14:paraId="4B47F61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49-108、医院841；专科疾病防治院(所、站)8432；妇幼保健院(所、站)8433；急救中心(站)服务8434；采供血机构服务8435；基层医疗卫生服务842</w:t>
            </w:r>
          </w:p>
        </w:tc>
      </w:tr>
      <w:tr w14:paraId="4CEC6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281" w:type="dxa"/>
            <w:noWrap w:val="0"/>
            <w:tcMar>
              <w:top w:w="16" w:type="dxa"/>
              <w:left w:w="16" w:type="dxa"/>
              <w:right w:w="16" w:type="dxa"/>
            </w:tcMar>
            <w:vAlign w:val="center"/>
          </w:tcPr>
          <w:p w14:paraId="160B0926">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建设性质</w:t>
            </w:r>
          </w:p>
        </w:tc>
        <w:tc>
          <w:tcPr>
            <w:tcW w:w="1738" w:type="dxa"/>
            <w:noWrap w:val="0"/>
            <w:vAlign w:val="center"/>
          </w:tcPr>
          <w:p w14:paraId="6521FEB4">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sym w:font="Wingdings 2" w:char="00A3"/>
            </w:r>
            <w:r>
              <w:rPr>
                <w:rFonts w:hint="eastAsia" w:ascii="宋体" w:hAnsi="宋体" w:cs="宋体"/>
                <w:color w:val="000000" w:themeColor="text1"/>
                <w:szCs w:val="21"/>
                <w:highlight w:val="none"/>
                <w14:textFill>
                  <w14:solidFill>
                    <w14:schemeClr w14:val="tx1"/>
                  </w14:solidFill>
                </w14:textFill>
              </w:rPr>
              <w:t>新建（迁建）</w:t>
            </w:r>
          </w:p>
          <w:p w14:paraId="50ABA763">
            <w:pPr>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□改建</w:t>
            </w:r>
          </w:p>
          <w:p w14:paraId="1CBE1A23">
            <w:pPr>
              <w:jc w:val="left"/>
              <w:rPr>
                <w:rFonts w:hint="eastAsia" w:ascii="宋体" w:hAnsi="宋体" w:cs="宋体"/>
                <w:color w:val="000000" w:themeColor="text1"/>
                <w:szCs w:val="21"/>
                <w:highlight w:val="none"/>
                <w14:textFill>
                  <w14:solidFill>
                    <w14:schemeClr w14:val="tx1"/>
                  </w14:solidFill>
                </w14:textFill>
              </w:rPr>
            </w:pPr>
            <w:r>
              <w:rPr>
                <w:rFonts w:ascii="Segoe UI Emoji" w:hAnsi="Segoe UI Emoji" w:cs="Segoe UI Emoji"/>
                <w:color w:val="000000" w:themeColor="text1"/>
                <w:szCs w:val="21"/>
                <w:highlight w:val="none"/>
                <w14:textFill>
                  <w14:solidFill>
                    <w14:schemeClr w14:val="tx1"/>
                  </w14:solidFill>
                </w14:textFill>
              </w:rPr>
              <w:sym w:font="Wingdings 2" w:char="0052"/>
            </w:r>
            <w:r>
              <w:rPr>
                <w:rFonts w:hint="eastAsia" w:ascii="宋体" w:hAnsi="宋体" w:cs="宋体"/>
                <w:color w:val="000000" w:themeColor="text1"/>
                <w:szCs w:val="21"/>
                <w:highlight w:val="none"/>
                <w14:textFill>
                  <w14:solidFill>
                    <w14:schemeClr w14:val="tx1"/>
                  </w14:solidFill>
                </w14:textFill>
              </w:rPr>
              <w:t>扩建</w:t>
            </w:r>
          </w:p>
          <w:p w14:paraId="4CEEF1B7">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□技术改造</w:t>
            </w:r>
          </w:p>
        </w:tc>
        <w:tc>
          <w:tcPr>
            <w:tcW w:w="2212" w:type="dxa"/>
            <w:noWrap w:val="0"/>
            <w:vAlign w:val="center"/>
          </w:tcPr>
          <w:p w14:paraId="5D1B1065">
            <w:pPr>
              <w:adjustRightInd w:val="0"/>
              <w:snapToGrid w:val="0"/>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建设项目</w:t>
            </w:r>
          </w:p>
          <w:p w14:paraId="7271F921">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申报情形</w:t>
            </w:r>
          </w:p>
        </w:tc>
        <w:tc>
          <w:tcPr>
            <w:tcW w:w="2639" w:type="dxa"/>
            <w:noWrap w:val="0"/>
            <w:vAlign w:val="center"/>
          </w:tcPr>
          <w:p w14:paraId="55938A09">
            <w:pPr>
              <w:jc w:val="left"/>
              <w:rPr>
                <w:rFonts w:ascii="宋体" w:hAnsi="宋体" w:cs="宋体"/>
                <w:color w:val="000000" w:themeColor="text1"/>
                <w:szCs w:val="21"/>
                <w:highlight w:val="none"/>
                <w14:textFill>
                  <w14:solidFill>
                    <w14:schemeClr w14:val="tx1"/>
                  </w14:solidFill>
                </w14:textFill>
              </w:rPr>
            </w:pPr>
            <w:r>
              <w:rPr>
                <w:rFonts w:ascii="Segoe UI Emoji" w:hAnsi="Segoe UI Emoji" w:cs="Segoe UI Emoji"/>
                <w:color w:val="000000" w:themeColor="text1"/>
                <w:szCs w:val="21"/>
                <w:highlight w:val="none"/>
                <w14:textFill>
                  <w14:solidFill>
                    <w14:schemeClr w14:val="tx1"/>
                  </w14:solidFill>
                </w14:textFill>
              </w:rPr>
              <w:sym w:font="Wingdings 2" w:char="F052"/>
            </w:r>
            <w:r>
              <w:rPr>
                <w:rFonts w:hint="eastAsia" w:ascii="宋体" w:hAnsi="宋体" w:cs="宋体"/>
                <w:color w:val="000000" w:themeColor="text1"/>
                <w:szCs w:val="21"/>
                <w:highlight w:val="none"/>
                <w14:textFill>
                  <w14:solidFill>
                    <w14:schemeClr w14:val="tx1"/>
                  </w14:solidFill>
                </w14:textFill>
              </w:rPr>
              <w:t>首次申报项目</w:t>
            </w:r>
            <w:r>
              <w:rPr>
                <w:rFonts w:ascii="宋体" w:hAnsi="宋体" w:cs="宋体"/>
                <w:color w:val="000000" w:themeColor="text1"/>
                <w:szCs w:val="21"/>
                <w:highlight w:val="none"/>
                <w14:textFill>
                  <w14:solidFill>
                    <w14:schemeClr w14:val="tx1"/>
                  </w14:solidFill>
                </w14:textFill>
              </w:rPr>
              <w:t xml:space="preserve">             </w:t>
            </w:r>
          </w:p>
          <w:p w14:paraId="73559041">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□不予批准后再次申报项目</w:t>
            </w:r>
          </w:p>
          <w:p w14:paraId="6A378BDA">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□超五年重新审核项目</w:t>
            </w:r>
            <w:r>
              <w:rPr>
                <w:rFonts w:ascii="宋体" w:hAnsi="宋体" w:cs="宋体"/>
                <w:color w:val="000000" w:themeColor="text1"/>
                <w:szCs w:val="21"/>
                <w:highlight w:val="none"/>
                <w14:textFill>
                  <w14:solidFill>
                    <w14:schemeClr w14:val="tx1"/>
                  </w14:solidFill>
                </w14:textFill>
              </w:rPr>
              <w:t xml:space="preserve">     </w:t>
            </w:r>
          </w:p>
          <w:p w14:paraId="0D737D46">
            <w:pPr>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□重大变动重新报批项目</w:t>
            </w:r>
          </w:p>
        </w:tc>
      </w:tr>
      <w:tr w14:paraId="74042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281" w:type="dxa"/>
            <w:noWrap w:val="0"/>
            <w:tcMar>
              <w:top w:w="16" w:type="dxa"/>
              <w:left w:w="16" w:type="dxa"/>
              <w:right w:w="16" w:type="dxa"/>
            </w:tcMar>
            <w:vAlign w:val="center"/>
          </w:tcPr>
          <w:p w14:paraId="22CA5377">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项目审批（核准/</w:t>
            </w:r>
          </w:p>
          <w:p w14:paraId="46E8CF8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备案）部门（选填）</w:t>
            </w:r>
          </w:p>
        </w:tc>
        <w:tc>
          <w:tcPr>
            <w:tcW w:w="1738" w:type="dxa"/>
            <w:noWrap w:val="0"/>
            <w:vAlign w:val="center"/>
          </w:tcPr>
          <w:p w14:paraId="36AA143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渑池县</w:t>
            </w:r>
            <w:r>
              <w:rPr>
                <w:rFonts w:hint="default" w:ascii="Times New Roman" w:hAnsi="Times New Roman" w:cs="Times New Roman"/>
                <w:color w:val="000000" w:themeColor="text1"/>
                <w:szCs w:val="21"/>
                <w:highlight w:val="none"/>
                <w14:textFill>
                  <w14:solidFill>
                    <w14:schemeClr w14:val="tx1"/>
                  </w14:solidFill>
                </w14:textFill>
              </w:rPr>
              <w:t>发展和改革委员会</w:t>
            </w:r>
          </w:p>
        </w:tc>
        <w:tc>
          <w:tcPr>
            <w:tcW w:w="2212" w:type="dxa"/>
            <w:noWrap w:val="0"/>
            <w:vAlign w:val="center"/>
          </w:tcPr>
          <w:p w14:paraId="401DC32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项目审批（核准/</w:t>
            </w:r>
          </w:p>
          <w:p w14:paraId="379A5F6D">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备案）文号（选填）</w:t>
            </w:r>
          </w:p>
        </w:tc>
        <w:tc>
          <w:tcPr>
            <w:tcW w:w="2639" w:type="dxa"/>
            <w:noWrap w:val="0"/>
            <w:vAlign w:val="center"/>
          </w:tcPr>
          <w:p w14:paraId="75D35653">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渑发改社会[2020]239号</w:t>
            </w:r>
          </w:p>
        </w:tc>
      </w:tr>
      <w:tr w14:paraId="79827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noWrap w:val="0"/>
            <w:tcMar>
              <w:top w:w="16" w:type="dxa"/>
              <w:left w:w="16" w:type="dxa"/>
              <w:right w:w="16" w:type="dxa"/>
            </w:tcMar>
            <w:vAlign w:val="center"/>
          </w:tcPr>
          <w:p w14:paraId="35F05364">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总投资（万元）</w:t>
            </w:r>
          </w:p>
        </w:tc>
        <w:tc>
          <w:tcPr>
            <w:tcW w:w="1738" w:type="dxa"/>
            <w:noWrap w:val="0"/>
            <w:vAlign w:val="center"/>
          </w:tcPr>
          <w:p w14:paraId="24E54487">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4296.00</w:t>
            </w:r>
          </w:p>
        </w:tc>
        <w:tc>
          <w:tcPr>
            <w:tcW w:w="2212" w:type="dxa"/>
            <w:noWrap w:val="0"/>
            <w:tcMar>
              <w:top w:w="16" w:type="dxa"/>
              <w:left w:w="16" w:type="dxa"/>
              <w:right w:w="16" w:type="dxa"/>
            </w:tcMar>
            <w:vAlign w:val="center"/>
          </w:tcPr>
          <w:p w14:paraId="7DBADA59">
            <w:pPr>
              <w:adjustRightInd w:val="0"/>
              <w:snapToGrid w:val="0"/>
              <w:jc w:val="center"/>
              <w:rPr>
                <w:rFonts w:hint="default" w:ascii="Times New Roman" w:hAnsi="Times New Roman" w:cs="Times New Roman"/>
                <w:b/>
                <w:bCs/>
                <w:color w:val="000000" w:themeColor="text1"/>
                <w:szCs w:val="21"/>
                <w:highlight w:val="none"/>
                <w:u w:val="singl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环保投资（万元）</w:t>
            </w:r>
          </w:p>
        </w:tc>
        <w:tc>
          <w:tcPr>
            <w:tcW w:w="2639" w:type="dxa"/>
            <w:noWrap w:val="0"/>
            <w:vAlign w:val="center"/>
          </w:tcPr>
          <w:p w14:paraId="61C5BB64">
            <w:pPr>
              <w:adjustRightInd w:val="0"/>
              <w:snapToGrid w:val="0"/>
              <w:jc w:val="center"/>
              <w:rPr>
                <w:rFonts w:hint="default" w:ascii="Times New Roman" w:hAnsi="Times New Roman" w:eastAsia="宋体" w:cs="Times New Roman"/>
                <w:b/>
                <w:bCs/>
                <w:color w:val="000000" w:themeColor="text1"/>
                <w:szCs w:val="21"/>
                <w:highlight w:val="none"/>
                <w:u w:val="singl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60.00</w:t>
            </w:r>
          </w:p>
        </w:tc>
      </w:tr>
      <w:tr w14:paraId="372B77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noWrap w:val="0"/>
            <w:tcMar>
              <w:top w:w="16" w:type="dxa"/>
              <w:left w:w="16" w:type="dxa"/>
              <w:right w:w="16" w:type="dxa"/>
            </w:tcMar>
            <w:vAlign w:val="center"/>
          </w:tcPr>
          <w:p w14:paraId="38C88525">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环保投资占比（%）</w:t>
            </w:r>
          </w:p>
        </w:tc>
        <w:tc>
          <w:tcPr>
            <w:tcW w:w="1738" w:type="dxa"/>
            <w:noWrap w:val="0"/>
            <w:vAlign w:val="center"/>
          </w:tcPr>
          <w:p w14:paraId="5448D94E">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1.4</w:t>
            </w:r>
          </w:p>
        </w:tc>
        <w:tc>
          <w:tcPr>
            <w:tcW w:w="2212" w:type="dxa"/>
            <w:noWrap w:val="0"/>
            <w:tcMar>
              <w:top w:w="16" w:type="dxa"/>
              <w:left w:w="16" w:type="dxa"/>
              <w:right w:w="16" w:type="dxa"/>
            </w:tcMar>
            <w:vAlign w:val="center"/>
          </w:tcPr>
          <w:p w14:paraId="31FCCA4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施工工期</w:t>
            </w:r>
          </w:p>
        </w:tc>
        <w:tc>
          <w:tcPr>
            <w:tcW w:w="2639" w:type="dxa"/>
            <w:noWrap w:val="0"/>
            <w:vAlign w:val="center"/>
          </w:tcPr>
          <w:p w14:paraId="2324FE3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24</w:t>
            </w:r>
            <w:r>
              <w:rPr>
                <w:rFonts w:hint="default" w:ascii="Times New Roman" w:hAnsi="Times New Roman" w:cs="Times New Roman"/>
                <w:color w:val="000000" w:themeColor="text1"/>
                <w:szCs w:val="21"/>
                <w:highlight w:val="none"/>
                <w14:textFill>
                  <w14:solidFill>
                    <w14:schemeClr w14:val="tx1"/>
                  </w14:solidFill>
                </w14:textFill>
              </w:rPr>
              <w:t>个月</w:t>
            </w:r>
          </w:p>
        </w:tc>
      </w:tr>
      <w:tr w14:paraId="347DC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noWrap w:val="0"/>
            <w:tcMar>
              <w:top w:w="16" w:type="dxa"/>
              <w:left w:w="16" w:type="dxa"/>
              <w:right w:w="16" w:type="dxa"/>
            </w:tcMar>
            <w:vAlign w:val="center"/>
          </w:tcPr>
          <w:p w14:paraId="64FDA3F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是否开工建设</w:t>
            </w:r>
          </w:p>
        </w:tc>
        <w:tc>
          <w:tcPr>
            <w:tcW w:w="1738" w:type="dxa"/>
            <w:noWrap w:val="0"/>
            <w:vAlign w:val="center"/>
          </w:tcPr>
          <w:p w14:paraId="4117804A">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F052"/>
            </w:r>
            <w:r>
              <w:rPr>
                <w:rFonts w:hint="default" w:ascii="Times New Roman" w:hAnsi="Times New Roman" w:cs="Times New Roman"/>
                <w:color w:val="000000" w:themeColor="text1"/>
                <w:szCs w:val="21"/>
                <w:highlight w:val="none"/>
                <w14:textFill>
                  <w14:solidFill>
                    <w14:schemeClr w14:val="tx1"/>
                  </w14:solidFill>
                </w14:textFill>
              </w:rPr>
              <w:t>否</w:t>
            </w:r>
          </w:p>
          <w:p w14:paraId="60C2082B">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sym w:font="Wingdings 2" w:char="00A3"/>
            </w:r>
            <w:r>
              <w:rPr>
                <w:rFonts w:hint="default" w:ascii="Times New Roman" w:hAnsi="Times New Roman" w:cs="Times New Roman"/>
                <w:color w:val="000000" w:themeColor="text1"/>
                <w:szCs w:val="21"/>
                <w:highlight w:val="none"/>
                <w14:textFill>
                  <w14:solidFill>
                    <w14:schemeClr w14:val="tx1"/>
                  </w14:solidFill>
                </w14:textFill>
              </w:rPr>
              <w:t>是：</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p>
        </w:tc>
        <w:tc>
          <w:tcPr>
            <w:tcW w:w="2212" w:type="dxa"/>
            <w:noWrap w:val="0"/>
            <w:tcMar>
              <w:top w:w="16" w:type="dxa"/>
              <w:left w:w="16" w:type="dxa"/>
              <w:right w:w="16" w:type="dxa"/>
            </w:tcMar>
            <w:vAlign w:val="center"/>
          </w:tcPr>
          <w:p w14:paraId="3BAFECA0">
            <w:pPr>
              <w:adjustRightInd w:val="0"/>
              <w:snapToGrid w:val="0"/>
              <w:jc w:val="center"/>
              <w:rPr>
                <w:rFonts w:hint="default" w:ascii="Times New Roman" w:hAnsi="Times New Roman" w:cs="Times New Roman"/>
                <w:color w:val="000000" w:themeColor="text1"/>
                <w:spacing w:val="-6"/>
                <w:szCs w:val="21"/>
                <w:highlight w:val="none"/>
                <w14:textFill>
                  <w14:solidFill>
                    <w14:schemeClr w14:val="tx1"/>
                  </w14:solidFill>
                </w14:textFill>
              </w:rPr>
            </w:pPr>
            <w:r>
              <w:rPr>
                <w:rFonts w:hint="default" w:ascii="Times New Roman" w:hAnsi="Times New Roman" w:cs="Times New Roman"/>
                <w:color w:val="000000" w:themeColor="text1"/>
                <w:spacing w:val="-6"/>
                <w:szCs w:val="21"/>
                <w:highlight w:val="none"/>
                <w14:textFill>
                  <w14:solidFill>
                    <w14:schemeClr w14:val="tx1"/>
                  </w14:solidFill>
                </w14:textFill>
              </w:rPr>
              <w:t>用地（用海）</w:t>
            </w:r>
          </w:p>
          <w:p w14:paraId="04E36D93">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pacing w:val="-6"/>
                <w:szCs w:val="21"/>
                <w:highlight w:val="none"/>
                <w14:textFill>
                  <w14:solidFill>
                    <w14:schemeClr w14:val="tx1"/>
                  </w14:solidFill>
                </w14:textFill>
              </w:rPr>
              <w:t>面积（m</w:t>
            </w:r>
            <w:r>
              <w:rPr>
                <w:rFonts w:hint="default" w:ascii="Times New Roman" w:hAnsi="Times New Roman" w:cs="Times New Roman"/>
                <w:color w:val="000000" w:themeColor="text1"/>
                <w:spacing w:val="-6"/>
                <w:szCs w:val="21"/>
                <w:highlight w:val="none"/>
                <w:vertAlign w:val="superscript"/>
                <w14:textFill>
                  <w14:solidFill>
                    <w14:schemeClr w14:val="tx1"/>
                  </w14:solidFill>
                </w14:textFill>
              </w:rPr>
              <w:t>2</w:t>
            </w:r>
            <w:r>
              <w:rPr>
                <w:rFonts w:hint="default" w:ascii="Times New Roman" w:hAnsi="Times New Roman" w:cs="Times New Roman"/>
                <w:color w:val="000000" w:themeColor="text1"/>
                <w:spacing w:val="-6"/>
                <w:szCs w:val="21"/>
                <w:highlight w:val="none"/>
                <w14:textFill>
                  <w14:solidFill>
                    <w14:schemeClr w14:val="tx1"/>
                  </w14:solidFill>
                </w14:textFill>
              </w:rPr>
              <w:t>）</w:t>
            </w:r>
          </w:p>
        </w:tc>
        <w:tc>
          <w:tcPr>
            <w:tcW w:w="2639" w:type="dxa"/>
            <w:noWrap w:val="0"/>
            <w:vAlign w:val="center"/>
          </w:tcPr>
          <w:p w14:paraId="5A94EA21">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11813</w:t>
            </w:r>
          </w:p>
        </w:tc>
      </w:tr>
      <w:tr w14:paraId="2BA88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81" w:type="dxa"/>
            <w:noWrap w:val="0"/>
            <w:vAlign w:val="center"/>
          </w:tcPr>
          <w:p w14:paraId="5FF4EFC8">
            <w:pPr>
              <w:autoSpaceDE w:val="0"/>
              <w:autoSpaceDN w:val="0"/>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专项评价设置情况</w:t>
            </w:r>
          </w:p>
        </w:tc>
        <w:tc>
          <w:tcPr>
            <w:tcW w:w="6589" w:type="dxa"/>
            <w:gridSpan w:val="3"/>
            <w:noWrap w:val="0"/>
            <w:vAlign w:val="center"/>
          </w:tcPr>
          <w:p w14:paraId="52B6440E">
            <w:pPr>
              <w:autoSpaceDE w:val="0"/>
              <w:autoSpaceDN w:val="0"/>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无</w:t>
            </w:r>
          </w:p>
        </w:tc>
      </w:tr>
      <w:tr w14:paraId="0BE54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81" w:type="dxa"/>
            <w:noWrap w:val="0"/>
            <w:vAlign w:val="center"/>
          </w:tcPr>
          <w:p w14:paraId="472DC176">
            <w:pPr>
              <w:autoSpaceDE w:val="0"/>
              <w:autoSpaceDN w:val="0"/>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规划情况</w:t>
            </w:r>
          </w:p>
        </w:tc>
        <w:tc>
          <w:tcPr>
            <w:tcW w:w="6589" w:type="dxa"/>
            <w:gridSpan w:val="3"/>
            <w:noWrap w:val="0"/>
            <w:vAlign w:val="center"/>
          </w:tcPr>
          <w:p w14:paraId="11AD9E5C">
            <w:pPr>
              <w:autoSpaceDE w:val="0"/>
              <w:autoSpaceDN w:val="0"/>
              <w:adjustRightInd w:val="0"/>
              <w:snapToGrid w:val="0"/>
              <w:jc w:val="center"/>
              <w:rPr>
                <w:rFonts w:hint="eastAsia" w:ascii="宋体" w:hAnsi="宋体" w:cs="宋体"/>
                <w:bCs/>
                <w:color w:val="000000" w:themeColor="text1"/>
                <w:kern w:val="0"/>
                <w:sz w:val="24"/>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无</w:t>
            </w:r>
          </w:p>
        </w:tc>
      </w:tr>
      <w:tr w14:paraId="4ADEE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81" w:type="dxa"/>
            <w:noWrap w:val="0"/>
            <w:vAlign w:val="center"/>
          </w:tcPr>
          <w:p w14:paraId="4C59DE81">
            <w:pPr>
              <w:adjustRightInd w:val="0"/>
              <w:snapToGrid w:val="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规划环境影响</w:t>
            </w:r>
          </w:p>
          <w:p w14:paraId="73F5B61E">
            <w:pPr>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评价情况</w:t>
            </w:r>
          </w:p>
        </w:tc>
        <w:tc>
          <w:tcPr>
            <w:tcW w:w="6589" w:type="dxa"/>
            <w:gridSpan w:val="3"/>
            <w:noWrap w:val="0"/>
            <w:vAlign w:val="center"/>
          </w:tcPr>
          <w:p w14:paraId="6E244CCA">
            <w:pPr>
              <w:autoSpaceDE w:val="0"/>
              <w:autoSpaceDN w:val="0"/>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无</w:t>
            </w:r>
          </w:p>
        </w:tc>
      </w:tr>
      <w:tr w14:paraId="5A8A63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281" w:type="dxa"/>
            <w:noWrap w:val="0"/>
            <w:vAlign w:val="center"/>
          </w:tcPr>
          <w:p w14:paraId="7FBA5B36">
            <w:pPr>
              <w:autoSpaceDE w:val="0"/>
              <w:autoSpaceDN w:val="0"/>
              <w:adjustRightInd w:val="0"/>
              <w:snapToGrid w:val="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规划及规划环境</w:t>
            </w:r>
          </w:p>
          <w:p w14:paraId="2682A06D">
            <w:pPr>
              <w:autoSpaceDE w:val="0"/>
              <w:autoSpaceDN w:val="0"/>
              <w:adjustRightInd w:val="0"/>
              <w:snapToGrid w:val="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影响评价符合性分析</w:t>
            </w:r>
          </w:p>
        </w:tc>
        <w:tc>
          <w:tcPr>
            <w:tcW w:w="6589" w:type="dxa"/>
            <w:gridSpan w:val="3"/>
            <w:noWrap w:val="0"/>
            <w:vAlign w:val="center"/>
          </w:tcPr>
          <w:p w14:paraId="46CED678">
            <w:pPr>
              <w:pStyle w:val="80"/>
              <w:overflowPunct w:val="0"/>
              <w:autoSpaceDE w:val="0"/>
              <w:autoSpaceDN w:val="0"/>
              <w:spacing w:before="120" w:beforeLines="50"/>
              <w:ind w:firstLine="0" w:firstLineChars="0"/>
              <w:jc w:val="center"/>
              <w:rPr>
                <w:rFonts w:hint="eastAsia" w:cs="宋体"/>
                <w:color w:val="000000" w:themeColor="text1"/>
                <w:kern w:val="0"/>
                <w:szCs w:val="21"/>
                <w:highlight w:val="none"/>
                <w:lang w:eastAsia="zh-CN"/>
                <w14:textFill>
                  <w14:solidFill>
                    <w14:schemeClr w14:val="tx1"/>
                  </w14:solidFill>
                </w14:textFill>
              </w:rPr>
            </w:pPr>
            <w:r>
              <w:rPr>
                <w:rFonts w:cs="宋体"/>
                <w:color w:val="000000" w:themeColor="text1"/>
                <w:kern w:val="0"/>
                <w:szCs w:val="21"/>
                <w:highlight w:val="none"/>
                <w14:textFill>
                  <w14:solidFill>
                    <w14:schemeClr w14:val="tx1"/>
                  </w14:solidFill>
                </w14:textFill>
              </w:rPr>
              <w:t>无</w:t>
            </w:r>
          </w:p>
        </w:tc>
      </w:tr>
    </w:tbl>
    <w:p w14:paraId="3519CB8F">
      <w:pPr>
        <w:rPr>
          <w:color w:val="000000" w:themeColor="text1"/>
          <w:highlight w:val="none"/>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4"/>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8630"/>
      </w:tblGrid>
      <w:tr w14:paraId="08330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99" w:hRule="atLeast"/>
          <w:jc w:val="center"/>
        </w:trPr>
        <w:tc>
          <w:tcPr>
            <w:tcW w:w="430" w:type="dxa"/>
            <w:noWrap w:val="0"/>
            <w:vAlign w:val="center"/>
          </w:tcPr>
          <w:p w14:paraId="6D28A1A9">
            <w:pPr>
              <w:autoSpaceDE w:val="0"/>
              <w:autoSpaceDN w:val="0"/>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其他符合性分析</w:t>
            </w:r>
          </w:p>
        </w:tc>
        <w:tc>
          <w:tcPr>
            <w:tcW w:w="8630" w:type="dxa"/>
            <w:noWrap w:val="0"/>
            <w:vAlign w:val="center"/>
          </w:tcPr>
          <w:p w14:paraId="24A8DC88">
            <w:pPr>
              <w:pStyle w:val="118"/>
              <w:ind w:firstLine="0" w:firstLineChars="0"/>
              <w:rPr>
                <w:rFonts w:hint="default" w:ascii="Times New Roman" w:hAnsi="Times New Roman" w:eastAsia="黑体" w:cs="Times New Roman"/>
                <w:b w:val="0"/>
                <w:bCs/>
                <w:color w:val="000000" w:themeColor="text1"/>
                <w:sz w:val="28"/>
                <w:szCs w:val="28"/>
                <w:highlight w:val="none"/>
                <w:u w:val="none"/>
                <w14:textFill>
                  <w14:solidFill>
                    <w14:schemeClr w14:val="tx1"/>
                  </w14:solidFill>
                </w14:textFill>
              </w:rPr>
            </w:pPr>
            <w:r>
              <w:rPr>
                <w:rFonts w:hint="default" w:ascii="Times New Roman" w:hAnsi="Times New Roman" w:eastAsia="黑体" w:cs="Times New Roman"/>
                <w:b w:val="0"/>
                <w:bCs/>
                <w:color w:val="000000" w:themeColor="text1"/>
                <w:sz w:val="28"/>
                <w:szCs w:val="28"/>
                <w:highlight w:val="none"/>
                <w:u w:val="none"/>
                <w:lang w:val="en-US" w:eastAsia="zh-CN"/>
                <w14:textFill>
                  <w14:solidFill>
                    <w14:schemeClr w14:val="tx1"/>
                  </w14:solidFill>
                </w14:textFill>
              </w:rPr>
              <w:t>1</w:t>
            </w:r>
            <w:r>
              <w:rPr>
                <w:rFonts w:hint="default" w:ascii="Times New Roman" w:hAnsi="Times New Roman" w:eastAsia="黑体" w:cs="Times New Roman"/>
                <w:b w:val="0"/>
                <w:bCs/>
                <w:color w:val="000000" w:themeColor="text1"/>
                <w:sz w:val="28"/>
                <w:szCs w:val="28"/>
                <w:highlight w:val="none"/>
                <w:u w:val="none"/>
                <w14:textFill>
                  <w14:solidFill>
                    <w14:schemeClr w14:val="tx1"/>
                  </w14:solidFill>
                </w14:textFill>
              </w:rPr>
              <w:t>、项目与《</w:t>
            </w:r>
            <w:r>
              <w:rPr>
                <w:rFonts w:hint="default" w:ascii="Times New Roman" w:hAnsi="Times New Roman" w:eastAsia="黑体" w:cs="Times New Roman"/>
                <w:b w:val="0"/>
                <w:bCs/>
                <w:color w:val="000000" w:themeColor="text1"/>
                <w:sz w:val="28"/>
                <w:szCs w:val="28"/>
                <w:highlight w:val="none"/>
                <w:u w:val="none"/>
                <w:lang w:val="en-US" w:eastAsia="zh-CN"/>
                <w14:textFill>
                  <w14:solidFill>
                    <w14:schemeClr w14:val="tx1"/>
                  </w14:solidFill>
                </w14:textFill>
              </w:rPr>
              <w:t>三门峡</w:t>
            </w:r>
            <w:r>
              <w:rPr>
                <w:rFonts w:hint="default" w:ascii="Times New Roman" w:hAnsi="Times New Roman" w:eastAsia="黑体" w:cs="Times New Roman"/>
                <w:b w:val="0"/>
                <w:bCs/>
                <w:color w:val="000000" w:themeColor="text1"/>
                <w:sz w:val="28"/>
                <w:szCs w:val="28"/>
                <w:highlight w:val="none"/>
                <w:u w:val="none"/>
                <w14:textFill>
                  <w14:solidFill>
                    <w14:schemeClr w14:val="tx1"/>
                  </w14:solidFill>
                </w14:textFill>
              </w:rPr>
              <w:t>人民政府关于实施“三线一单”生态环境分区管控的意见（</w:t>
            </w:r>
            <w:r>
              <w:rPr>
                <w:rFonts w:hint="default" w:ascii="Times New Roman" w:hAnsi="Times New Roman" w:eastAsia="黑体" w:cs="Times New Roman"/>
                <w:b w:val="0"/>
                <w:bCs/>
                <w:color w:val="000000" w:themeColor="text1"/>
                <w:sz w:val="28"/>
                <w:szCs w:val="28"/>
                <w:highlight w:val="none"/>
                <w:u w:val="none"/>
                <w:lang w:val="en-US" w:eastAsia="zh-CN"/>
                <w14:textFill>
                  <w14:solidFill>
                    <w14:schemeClr w14:val="tx1"/>
                  </w14:solidFill>
                </w14:textFill>
              </w:rPr>
              <w:t>三</w:t>
            </w:r>
            <w:r>
              <w:rPr>
                <w:rFonts w:hint="default" w:ascii="Times New Roman" w:hAnsi="Times New Roman" w:eastAsia="黑体" w:cs="Times New Roman"/>
                <w:b w:val="0"/>
                <w:bCs/>
                <w:color w:val="000000" w:themeColor="text1"/>
                <w:sz w:val="28"/>
                <w:szCs w:val="28"/>
                <w:highlight w:val="none"/>
                <w:u w:val="none"/>
                <w14:textFill>
                  <w14:solidFill>
                    <w14:schemeClr w14:val="tx1"/>
                  </w14:solidFill>
                </w14:textFill>
              </w:rPr>
              <w:t>政[202</w:t>
            </w:r>
            <w:r>
              <w:rPr>
                <w:rFonts w:hint="default" w:ascii="Times New Roman" w:hAnsi="Times New Roman" w:eastAsia="黑体" w:cs="Times New Roman"/>
                <w:b w:val="0"/>
                <w:bCs/>
                <w:color w:val="000000" w:themeColor="text1"/>
                <w:sz w:val="28"/>
                <w:szCs w:val="28"/>
                <w:highlight w:val="none"/>
                <w:u w:val="none"/>
                <w:lang w:val="en-US" w:eastAsia="zh-CN"/>
                <w14:textFill>
                  <w14:solidFill>
                    <w14:schemeClr w14:val="tx1"/>
                  </w14:solidFill>
                </w14:textFill>
              </w:rPr>
              <w:t>1</w:t>
            </w:r>
            <w:r>
              <w:rPr>
                <w:rFonts w:hint="default" w:ascii="Times New Roman" w:hAnsi="Times New Roman" w:eastAsia="黑体" w:cs="Times New Roman"/>
                <w:b w:val="0"/>
                <w:bCs/>
                <w:color w:val="000000" w:themeColor="text1"/>
                <w:sz w:val="28"/>
                <w:szCs w:val="28"/>
                <w:highlight w:val="none"/>
                <w:u w:val="none"/>
                <w14:textFill>
                  <w14:solidFill>
                    <w14:schemeClr w14:val="tx1"/>
                  </w14:solidFill>
                </w14:textFill>
              </w:rPr>
              <w:t>]</w:t>
            </w:r>
            <w:r>
              <w:rPr>
                <w:rFonts w:hint="default" w:ascii="Times New Roman" w:hAnsi="Times New Roman" w:eastAsia="黑体" w:cs="Times New Roman"/>
                <w:b w:val="0"/>
                <w:bCs/>
                <w:color w:val="000000" w:themeColor="text1"/>
                <w:sz w:val="28"/>
                <w:szCs w:val="28"/>
                <w:highlight w:val="none"/>
                <w:u w:val="none"/>
                <w:lang w:val="en-US" w:eastAsia="zh-CN"/>
                <w14:textFill>
                  <w14:solidFill>
                    <w14:schemeClr w14:val="tx1"/>
                  </w14:solidFill>
                </w14:textFill>
              </w:rPr>
              <w:t>8</w:t>
            </w:r>
            <w:r>
              <w:rPr>
                <w:rFonts w:hint="default" w:ascii="Times New Roman" w:hAnsi="Times New Roman" w:eastAsia="黑体" w:cs="Times New Roman"/>
                <w:b w:val="0"/>
                <w:bCs/>
                <w:color w:val="000000" w:themeColor="text1"/>
                <w:sz w:val="28"/>
                <w:szCs w:val="28"/>
                <w:highlight w:val="none"/>
                <w:u w:val="none"/>
                <w14:textFill>
                  <w14:solidFill>
                    <w14:schemeClr w14:val="tx1"/>
                  </w14:solidFill>
                </w14:textFill>
              </w:rPr>
              <w:t>号）》符合性分析</w:t>
            </w:r>
          </w:p>
          <w:p w14:paraId="3F9773F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14:textFill>
                  <w14:solidFill>
                    <w14:schemeClr w14:val="tx1"/>
                  </w14:solidFill>
                </w14:textFill>
              </w:rPr>
              <w:t>2021年7月7</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日，三门峡市人民政府印发了《三门峡市人民政府关于实施“三线一单”生态环境分区管控的</w:t>
            </w:r>
            <w:r>
              <w:rPr>
                <w:rFonts w:hint="default" w:ascii="Times New Roman" w:hAnsi="Times New Roman" w:cs="Times New Roman"/>
                <w:color w:val="000000" w:themeColor="text1"/>
                <w:sz w:val="24"/>
                <w:szCs w:val="24"/>
                <w:highlight w:val="none"/>
                <w:u w:val="none"/>
                <w14:textFill>
                  <w14:solidFill>
                    <w14:schemeClr w14:val="tx1"/>
                  </w14:solidFill>
                </w14:textFill>
              </w:rPr>
              <w:t>意见》（三政〔2021〕8号），具体内容如下：</w:t>
            </w:r>
          </w:p>
          <w:p w14:paraId="7C6C3D9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14:textFill>
                  <w14:solidFill>
                    <w14:schemeClr w14:val="tx1"/>
                  </w14:solidFill>
                </w14:textFill>
              </w:rPr>
              <w:t>（1）总体目标</w:t>
            </w:r>
          </w:p>
          <w:p w14:paraId="54EBC76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14:textFill>
                  <w14:solidFill>
                    <w14:schemeClr w14:val="tx1"/>
                  </w14:solidFill>
                </w14:textFill>
              </w:rPr>
              <w:t>到2025年，建立较为完善的</w:t>
            </w:r>
            <w:r>
              <w:rPr>
                <w:rFonts w:hint="eastAsia" w:ascii="宋体" w:hAnsi="宋体" w:eastAsia="宋体" w:cs="宋体"/>
                <w:color w:val="000000" w:themeColor="text1"/>
                <w:sz w:val="24"/>
                <w:szCs w:val="24"/>
                <w:highlight w:val="none"/>
                <w:u w:val="none"/>
                <w14:textFill>
                  <w14:solidFill>
                    <w14:schemeClr w14:val="tx1"/>
                  </w14:solidFill>
                </w14:textFill>
              </w:rPr>
              <w:t>“三线一单”生</w:t>
            </w:r>
            <w:r>
              <w:rPr>
                <w:rFonts w:hint="default" w:ascii="Times New Roman" w:hAnsi="Times New Roman" w:cs="Times New Roman"/>
                <w:color w:val="000000" w:themeColor="text1"/>
                <w:sz w:val="24"/>
                <w:szCs w:val="24"/>
                <w:highlight w:val="none"/>
                <w:u w:val="none"/>
                <w14:textFill>
                  <w14:solidFill>
                    <w14:schemeClr w14:val="tx1"/>
                  </w14:solidFill>
                </w14:textFill>
              </w:rPr>
              <w:t>态环境分区管控体系，生态环境质量持续改善，产业布局、生态格局和国土空间开发保护格局进一步优化，生产生活方式绿色转型成效显著，能源资源配置更加合理、利用效率大幅提高，主要污染物排放总量持续减少，生态系统服务功能逐步提升，绿色发展和绿色生活水平明显提高，城乡人居环境明显改善。</w:t>
            </w:r>
          </w:p>
          <w:p w14:paraId="165DB6D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14:textFill>
                  <w14:solidFill>
                    <w14:schemeClr w14:val="tx1"/>
                  </w14:solidFill>
                </w14:textFill>
              </w:rPr>
              <w:t>到2035年，生态环境分区管控体系巩固完善，广泛形成节约资源和保护生态环境的空间格局以及绿色生产生活方式，生产发展、生活富裕、生态优美，天蓝水清土净。产业、能源、运输和用地结构得到优化，生态环境质量实现根本好转，碳排放达峰后稳中有降，美丽三门峡建设目标基本实现。</w:t>
            </w:r>
          </w:p>
          <w:p w14:paraId="0D49E5B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14:textFill>
                  <w14:solidFill>
                    <w14:schemeClr w14:val="tx1"/>
                  </w14:solidFill>
                </w14:textFill>
              </w:rPr>
              <w:t>（2）环境管控单元划分</w:t>
            </w:r>
          </w:p>
          <w:p w14:paraId="2846966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14:textFill>
                  <w14:solidFill>
                    <w14:schemeClr w14:val="tx1"/>
                  </w14:solidFill>
                </w14:textFill>
              </w:rPr>
              <w:t>全市共划定52个生态环境分区管控单元。其中：优先保护单元17个，主要包括生态保护红线、自然保护地、饮用水水源保护区等生态功能区域；重点管控单元30个，主要包括经济开发区、工业园区、中心城区等经济发展程度较高的区域；一般管控单元5个，主要包括优先保护单元、重点管控单元以外的区域。生态环境分区管控单元根据生态保护红线和相关生态功能区域评估调整进行优化。</w:t>
            </w:r>
          </w:p>
          <w:p w14:paraId="3B5FFE4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14:textFill>
                  <w14:solidFill>
                    <w14:schemeClr w14:val="tx1"/>
                  </w14:solidFill>
                </w14:textFill>
              </w:rPr>
              <w:t>（3）分区环境管控要求</w:t>
            </w:r>
          </w:p>
          <w:p w14:paraId="5A98AB8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14:textFill>
                  <w14:solidFill>
                    <w14:schemeClr w14:val="tx1"/>
                  </w14:solidFill>
                </w14:textFill>
              </w:rPr>
              <w:t>1、优先保护单元。指具有一定生态功能、以生态环境保护为主的区域。突出空间用途管控，以生态环境保护优先为原则，依法禁止或限制有关开发建设活动，优先开展生态保护修复，提高生态系统服务功能，确保生态环境功能不降低。</w:t>
            </w:r>
          </w:p>
          <w:p w14:paraId="148B3A8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2、重点管控单元。指人口密集、资源开发强度较大、污染物排放强度相对较高的区域。主要推动空间布局优化和产业结构转型升级，深化污染治理，提高资源利用效率，减少污染物排放，防控生态环境风险，守住环境质量底线。</w:t>
            </w:r>
          </w:p>
          <w:p w14:paraId="57ECB7A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themeColor="text1"/>
                <w:sz w:val="24"/>
                <w:szCs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14:textFill>
                  <w14:solidFill>
                    <w14:schemeClr w14:val="tx1"/>
                  </w14:solidFill>
                </w14:textFill>
              </w:rPr>
              <w:t>3、一般管控单元。指除优先保护单元、重点管控单元以外的其他区域。主要落实生态环境保护的基本要求，生态环境状况得到保持或优化。</w:t>
            </w:r>
          </w:p>
          <w:p w14:paraId="4AC61008">
            <w:pPr>
              <w:autoSpaceDE w:val="0"/>
              <w:autoSpaceDN w:val="0"/>
              <w:adjustRightInd w:val="0"/>
              <w:snapToGrid w:val="0"/>
              <w:spacing w:line="480" w:lineRule="exact"/>
              <w:ind w:firstLine="480" w:firstLineChars="200"/>
              <w:rPr>
                <w:rFonts w:hint="default" w:ascii="Times New Roman" w:hAnsi="Times New Roman" w:cs="Times New Roman"/>
                <w:b w:val="0"/>
                <w:bCs/>
                <w:color w:val="000000" w:themeColor="text1"/>
                <w:sz w:val="24"/>
                <w:highlight w:val="none"/>
                <w:u w:val="none"/>
                <w14:textFill>
                  <w14:solidFill>
                    <w14:schemeClr w14:val="tx1"/>
                  </w14:solidFill>
                </w14:textFill>
              </w:rPr>
            </w:pPr>
            <w:r>
              <w:rPr>
                <w:rFonts w:hint="default" w:ascii="Times New Roman" w:hAnsi="Times New Roman" w:cs="Times New Roman"/>
                <w:color w:val="000000" w:themeColor="text1"/>
                <w:sz w:val="24"/>
                <w:szCs w:val="24"/>
                <w:highlight w:val="none"/>
                <w:u w:val="none"/>
                <w14:textFill>
                  <w14:solidFill>
                    <w14:schemeClr w14:val="tx1"/>
                  </w14:solidFill>
                </w14:textFill>
              </w:rPr>
              <w:t>根据三门峡市生态环境管控单元分布示意图（附图</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u w:val="none"/>
                <w14:textFill>
                  <w14:solidFill>
                    <w14:schemeClr w14:val="tx1"/>
                  </w14:solidFill>
                </w14:textFill>
              </w:rPr>
              <w:t>），本项目位置属</w:t>
            </w:r>
            <w:r>
              <w:rPr>
                <w:rFonts w:hint="eastAsia" w:ascii="宋体" w:hAnsi="宋体" w:eastAsia="宋体" w:cs="宋体"/>
                <w:color w:val="000000" w:themeColor="text1"/>
                <w:sz w:val="24"/>
                <w:szCs w:val="24"/>
                <w:highlight w:val="none"/>
                <w:u w:val="none"/>
                <w14:textFill>
                  <w14:solidFill>
                    <w14:schemeClr w14:val="tx1"/>
                  </w14:solidFill>
                </w14:textFill>
              </w:rPr>
              <w:t>于“</w:t>
            </w:r>
            <w:r>
              <w:rPr>
                <w:rFonts w:hint="eastAsia" w:ascii="宋体" w:hAnsi="宋体" w:eastAsia="宋体" w:cs="宋体"/>
                <w:color w:val="000000" w:themeColor="text1"/>
                <w:sz w:val="24"/>
                <w:szCs w:val="24"/>
                <w:highlight w:val="none"/>
                <w:u w:val="none"/>
                <w:lang w:eastAsia="zh-CN"/>
                <w14:textFill>
                  <w14:solidFill>
                    <w14:schemeClr w14:val="tx1"/>
                  </w14:solidFill>
                </w14:textFill>
              </w:rPr>
              <w:t>渑池县城镇重点单元</w:t>
            </w: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，本项目</w:t>
            </w:r>
            <w:r>
              <w:rPr>
                <w:rFonts w:hint="default" w:ascii="Times New Roman" w:hAnsi="Times New Roman" w:cs="Times New Roman"/>
                <w:color w:val="000000" w:themeColor="text1"/>
                <w:sz w:val="24"/>
                <w:szCs w:val="24"/>
                <w:highlight w:val="none"/>
                <w:u w:val="none"/>
                <w14:textFill>
                  <w14:solidFill>
                    <w14:schemeClr w14:val="tx1"/>
                  </w14:solidFill>
                </w14:textFill>
              </w:rPr>
              <w:t>不属于污染</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严重</w:t>
            </w:r>
            <w:r>
              <w:rPr>
                <w:rFonts w:hint="default" w:ascii="Times New Roman" w:hAnsi="Times New Roman" w:cs="Times New Roman"/>
                <w:color w:val="000000" w:themeColor="text1"/>
                <w:sz w:val="24"/>
                <w:szCs w:val="24"/>
                <w:highlight w:val="none"/>
                <w:u w:val="none"/>
                <w14:textFill>
                  <w14:solidFill>
                    <w14:schemeClr w14:val="tx1"/>
                  </w14:solidFill>
                </w14:textFill>
              </w:rPr>
              <w:t>的工业项目，针对本项目产生的污染提出了相应的处理措施，经处理后对</w:t>
            </w:r>
            <w:r>
              <w:rPr>
                <w:rFonts w:hint="eastAsia" w:ascii="Times New Roman" w:hAnsi="Times New Roman" w:cs="Times New Roman"/>
                <w:color w:val="000000" w:themeColor="text1"/>
                <w:sz w:val="24"/>
                <w:szCs w:val="24"/>
                <w:highlight w:val="none"/>
                <w:u w:val="none"/>
                <w:lang w:eastAsia="zh-CN"/>
                <w14:textFill>
                  <w14:solidFill>
                    <w14:schemeClr w14:val="tx1"/>
                  </w14:solidFill>
                </w14:textFill>
              </w:rPr>
              <w:t>周围</w:t>
            </w:r>
            <w:r>
              <w:rPr>
                <w:rFonts w:hint="default" w:ascii="Times New Roman" w:hAnsi="Times New Roman" w:cs="Times New Roman"/>
                <w:color w:val="000000" w:themeColor="text1"/>
                <w:sz w:val="24"/>
                <w:szCs w:val="24"/>
                <w:highlight w:val="none"/>
                <w:u w:val="none"/>
                <w14:textFill>
                  <w14:solidFill>
                    <w14:schemeClr w14:val="tx1"/>
                  </w14:solidFill>
                </w14:textFill>
              </w:rPr>
              <w:t>环境的影响可以接受。</w:t>
            </w:r>
          </w:p>
          <w:p w14:paraId="01C3A9EB">
            <w:pPr>
              <w:pStyle w:val="2"/>
              <w:keepNext w:val="0"/>
              <w:keepLines w:val="0"/>
              <w:pageBreakBefore w:val="0"/>
              <w:widowControl w:val="0"/>
              <w:kinsoku/>
              <w:wordWrap/>
              <w:overflowPunct/>
              <w:topLinePunct w:val="0"/>
              <w:autoSpaceDE/>
              <w:autoSpaceDN/>
              <w:bidi w:val="0"/>
              <w:adjustRightInd/>
              <w:snapToGrid w:val="0"/>
              <w:spacing w:line="520" w:lineRule="exact"/>
              <w:ind w:left="0" w:leftChars="0" w:right="0" w:firstLine="0" w:firstLineChars="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 xml:space="preserve">1.1 </w:t>
            </w: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生态保护红线</w:t>
            </w:r>
          </w:p>
          <w:p w14:paraId="6A40081F">
            <w:pPr>
              <w:pStyle w:val="2"/>
              <w:keepNext w:val="0"/>
              <w:keepLines w:val="0"/>
              <w:pageBreakBefore w:val="0"/>
              <w:widowControl w:val="0"/>
              <w:kinsoku/>
              <w:wordWrap/>
              <w:overflowPunct/>
              <w:topLinePunct w:val="0"/>
              <w:autoSpaceDE/>
              <w:autoSpaceDN/>
              <w:bidi w:val="0"/>
              <w:adjustRightInd/>
              <w:snapToGrid w:val="0"/>
              <w:spacing w:line="520" w:lineRule="exact"/>
              <w:ind w:left="0" w:right="0" w:firstLine="420"/>
              <w:textAlignment w:val="auto"/>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w:t>
            </w:r>
            <w:r>
              <w:rPr>
                <w:rFonts w:hint="default"/>
                <w:color w:val="000000" w:themeColor="text1"/>
                <w14:textFill>
                  <w14:solidFill>
                    <w14:schemeClr w14:val="tx1"/>
                  </w14:solidFill>
                </w14:textFill>
              </w:rPr>
              <w:t>项目位于</w:t>
            </w:r>
            <w:r>
              <w:rPr>
                <w:rFonts w:hint="eastAsia" w:ascii="Times New Roman" w:hAnsi="Times New Roman" w:cs="Times New Roman"/>
                <w:color w:val="000000" w:themeColor="text1"/>
                <w:szCs w:val="21"/>
                <w:highlight w:val="none"/>
                <w:lang w:val="en-US" w:eastAsia="zh-CN"/>
                <w14:textFill>
                  <w14:solidFill>
                    <w14:schemeClr w14:val="tx1"/>
                  </w14:solidFill>
                </w14:textFill>
              </w:rPr>
              <w:t>渑池县城关镇孟岭村韶州路东段、县中医院东侧感染病房楼院内</w:t>
            </w:r>
            <w:r>
              <w:rPr>
                <w:rFonts w:hint="default"/>
                <w:color w:val="000000" w:themeColor="text1"/>
                <w14:textFill>
                  <w14:solidFill>
                    <w14:schemeClr w14:val="tx1"/>
                  </w14:solidFill>
                </w14:textFill>
              </w:rPr>
              <w:t>，</w:t>
            </w:r>
            <w:r>
              <w:rPr>
                <w:rFonts w:hint="default" w:ascii="Times New Roman" w:hAnsi="Times New Roman" w:cs="Times New Roman"/>
                <w:b w:val="0"/>
                <w:bCs/>
                <w:color w:val="000000" w:themeColor="text1"/>
                <w:sz w:val="24"/>
                <w:highlight w:val="none"/>
                <w:u w:val="none"/>
                <w14:textFill>
                  <w14:solidFill>
                    <w14:schemeClr w14:val="tx1"/>
                  </w14:solidFill>
                </w14:textFill>
              </w:rPr>
              <w:t>根据《河南省生态保护红线划定方案》</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本项目不在</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三门峡市生态保护红线</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内</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，符合生态保护红线管理要求。</w:t>
            </w:r>
          </w:p>
          <w:p w14:paraId="25356AE4">
            <w:pPr>
              <w:pStyle w:val="2"/>
              <w:keepNext w:val="0"/>
              <w:keepLines w:val="0"/>
              <w:pageBreakBefore w:val="0"/>
              <w:widowControl w:val="0"/>
              <w:kinsoku/>
              <w:wordWrap/>
              <w:overflowPunct/>
              <w:topLinePunct w:val="0"/>
              <w:autoSpaceDE/>
              <w:autoSpaceDN/>
              <w:bidi w:val="0"/>
              <w:adjustRightInd/>
              <w:snapToGrid w:val="0"/>
              <w:spacing w:line="520" w:lineRule="exact"/>
              <w:ind w:left="0" w:leftChars="0" w:right="0" w:firstLine="0" w:firstLineChars="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1.2</w:t>
            </w: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环境质量底线</w:t>
            </w:r>
          </w:p>
          <w:p w14:paraId="7B3B1B7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themeColor="text1"/>
                <w:sz w:val="24"/>
                <w:szCs w:val="24"/>
                <w:highlight w:val="none"/>
                <w:u w:val="none"/>
                <w14:textFill>
                  <w14:solidFill>
                    <w14:schemeClr w14:val="tx1"/>
                  </w14:solidFill>
                </w14:textFill>
              </w:rPr>
            </w:pPr>
            <w:r>
              <w:rPr>
                <w:rFonts w:hint="eastAsia" w:ascii="宋体" w:hAnsi="宋体" w:eastAsia="宋体" w:cs="宋体"/>
                <w:color w:val="000000" w:themeColor="text1"/>
                <w:sz w:val="24"/>
                <w:szCs w:val="24"/>
                <w:highlight w:val="none"/>
                <w:u w:val="none"/>
                <w14:textFill>
                  <w14:solidFill>
                    <w14:schemeClr w14:val="tx1"/>
                  </w14:solidFill>
                </w14:textFill>
              </w:rPr>
              <w:t>“环境质量底线”是</w:t>
            </w:r>
            <w:r>
              <w:rPr>
                <w:rFonts w:hint="default" w:ascii="Times New Roman" w:hAnsi="Times New Roman" w:cs="Times New Roman"/>
                <w:color w:val="000000" w:themeColor="text1"/>
                <w:sz w:val="24"/>
                <w:szCs w:val="24"/>
                <w:highlight w:val="none"/>
                <w:u w:val="none"/>
                <w14:textFill>
                  <w14:solidFill>
                    <w14:schemeClr w14:val="tx1"/>
                  </w14:solidFill>
                </w14:textFill>
              </w:rPr>
              <w:t>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14:paraId="200911A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pPr>
            <w:r>
              <w:rPr>
                <w:rFonts w:hint="default" w:ascii="Times New Roman" w:hAnsi="Times New Roman" w:cs="Times New Roman"/>
                <w:bCs/>
                <w:color w:val="000000" w:themeColor="text1"/>
                <w:sz w:val="24"/>
                <w:highlight w:val="none"/>
                <w:u w:val="none"/>
                <w:lang w:val="en-US" w:eastAsia="zh-CN"/>
                <w14:textFill>
                  <w14:solidFill>
                    <w14:schemeClr w14:val="tx1"/>
                  </w14:solidFill>
                </w14:textFill>
              </w:rPr>
              <w:t>环境空气</w:t>
            </w:r>
            <w:r>
              <w:rPr>
                <w:rFonts w:hint="default" w:ascii="Times New Roman" w:hAnsi="Times New Roman" w:cs="Times New Roman"/>
                <w:bCs/>
                <w:color w:val="000000" w:themeColor="text1"/>
                <w:sz w:val="24"/>
                <w:highlight w:val="none"/>
                <w:u w:val="none"/>
                <w14:textFill>
                  <w14:solidFill>
                    <w14:schemeClr w14:val="tx1"/>
                  </w14:solidFill>
                </w14:textFill>
              </w:rPr>
              <w:t>现状：</w:t>
            </w:r>
            <w:r>
              <w:rPr>
                <w:rFonts w:hint="default" w:ascii="Times New Roman" w:hAnsi="Times New Roman" w:cs="Times New Roman"/>
                <w:color w:val="000000" w:themeColor="text1"/>
                <w:sz w:val="24"/>
                <w:highlight w:val="none"/>
                <w14:textFill>
                  <w14:solidFill>
                    <w14:schemeClr w14:val="tx1"/>
                  </w14:solidFill>
                </w14:textFill>
              </w:rPr>
              <w:t>202</w:t>
            </w:r>
            <w:r>
              <w:rPr>
                <w:rFonts w:hint="default"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年渑池县环境空气质量</w:t>
            </w:r>
            <w:r>
              <w:rPr>
                <w:rFonts w:hint="default" w:ascii="Times New Roman" w:hAnsi="Times New Roman" w:cs="Times New Roman"/>
                <w:color w:val="000000" w:themeColor="text1"/>
                <w:sz w:val="24"/>
                <w:highlight w:val="none"/>
                <w:lang w:eastAsia="zh-CN"/>
                <w14:textFill>
                  <w14:solidFill>
                    <w14:schemeClr w14:val="tx1"/>
                  </w14:solidFill>
                </w14:textFill>
              </w:rPr>
              <w:t>中SO</w:t>
            </w:r>
            <w:r>
              <w:rPr>
                <w:rFonts w:hint="default" w:ascii="Times New Roman" w:hAnsi="Times New Roman" w:cs="Times New Roman"/>
                <w:color w:val="000000" w:themeColor="text1"/>
                <w:sz w:val="24"/>
                <w:highlight w:val="none"/>
                <w:vertAlign w:val="subscript"/>
                <w:lang w:eastAsia="zh-CN"/>
                <w14:textFill>
                  <w14:solidFill>
                    <w14:schemeClr w14:val="tx1"/>
                  </w14:solidFill>
                </w14:textFill>
              </w:rPr>
              <w:t>2</w:t>
            </w:r>
            <w:r>
              <w:rPr>
                <w:rFonts w:hint="default" w:ascii="Times New Roman" w:hAnsi="Times New Roman" w:cs="Times New Roman"/>
                <w:color w:val="000000" w:themeColor="text1"/>
                <w:sz w:val="24"/>
                <w:highlight w:val="none"/>
                <w:lang w:eastAsia="zh-CN"/>
                <w14:textFill>
                  <w14:solidFill>
                    <w14:schemeClr w14:val="tx1"/>
                  </w14:solidFill>
                </w14:textFill>
              </w:rPr>
              <w:t>、NO</w:t>
            </w:r>
            <w:r>
              <w:rPr>
                <w:rFonts w:hint="default" w:ascii="Times New Roman" w:hAnsi="Times New Roman" w:cs="Times New Roman"/>
                <w:color w:val="000000" w:themeColor="text1"/>
                <w:sz w:val="24"/>
                <w:highlight w:val="none"/>
                <w:vertAlign w:val="subscript"/>
                <w:lang w:eastAsia="zh-CN"/>
                <w14:textFill>
                  <w14:solidFill>
                    <w14:schemeClr w14:val="tx1"/>
                  </w14:solidFill>
                </w14:textFill>
              </w:rPr>
              <w:t>2</w:t>
            </w:r>
            <w:r>
              <w:rPr>
                <w:rFonts w:hint="default" w:ascii="Times New Roman" w:hAnsi="Times New Roman" w:cs="Times New Roman"/>
                <w:color w:val="000000" w:themeColor="text1"/>
                <w:sz w:val="24"/>
                <w:highlight w:val="none"/>
                <w:lang w:eastAsia="zh-CN"/>
                <w14:textFill>
                  <w14:solidFill>
                    <w14:schemeClr w14:val="tx1"/>
                  </w14:solidFill>
                </w14:textFill>
              </w:rPr>
              <w:t>、CO年均值和O</w:t>
            </w:r>
            <w:r>
              <w:rPr>
                <w:rFonts w:hint="default" w:ascii="Times New Roman" w:hAnsi="Times New Roman" w:cs="Times New Roman"/>
                <w:color w:val="000000" w:themeColor="text1"/>
                <w:sz w:val="24"/>
                <w:highlight w:val="none"/>
                <w:vertAlign w:val="subscript"/>
                <w:lang w:eastAsia="zh-CN"/>
                <w14:textFill>
                  <w14:solidFill>
                    <w14:schemeClr w14:val="tx1"/>
                  </w14:solidFill>
                </w14:textFill>
              </w:rPr>
              <w:t>3</w:t>
            </w:r>
            <w:r>
              <w:rPr>
                <w:rFonts w:hint="default" w:ascii="Times New Roman" w:hAnsi="Times New Roman" w:cs="Times New Roman"/>
                <w:color w:val="000000" w:themeColor="text1"/>
                <w:sz w:val="24"/>
                <w:highlight w:val="none"/>
                <w:vertAlign w:val="subscript"/>
                <w:lang w:val="en-US" w:eastAsia="zh-CN"/>
                <w14:textFill>
                  <w14:solidFill>
                    <w14:schemeClr w14:val="tx1"/>
                  </w14:solidFill>
                </w14:textFill>
              </w:rPr>
              <w:t xml:space="preserve">      </w:t>
            </w:r>
            <w:r>
              <w:rPr>
                <w:rFonts w:hint="default" w:ascii="Times New Roman" w:hAnsi="Times New Roman" w:cs="Times New Roman"/>
                <w:color w:val="000000" w:themeColor="text1"/>
                <w:sz w:val="24"/>
                <w:highlight w:val="none"/>
                <w:vertAlign w:val="baseline"/>
                <w:lang w:val="en-US" w:eastAsia="zh-CN"/>
                <w14:textFill>
                  <w14:solidFill>
                    <w14:schemeClr w14:val="tx1"/>
                  </w14:solidFill>
                </w14:textFill>
              </w:rPr>
              <w:t xml:space="preserve"> </w:t>
            </w:r>
            <w:r>
              <w:rPr>
                <w:rFonts w:hint="default" w:ascii="Times New Roman" w:hAnsi="Times New Roman" w:cs="Times New Roman"/>
                <w:color w:val="000000" w:themeColor="text1"/>
                <w:sz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highlight w:val="none"/>
                <w:lang w:eastAsia="zh-CN"/>
                <w14:textFill>
                  <w14:solidFill>
                    <w14:schemeClr w14:val="tx1"/>
                  </w14:solidFill>
                </w14:textFill>
              </w:rPr>
              <w:t>小时</w:t>
            </w:r>
            <w:r>
              <w:rPr>
                <w:rFonts w:hint="default" w:ascii="Times New Roman" w:hAnsi="Times New Roman" w:cs="Times New Roman"/>
                <w:color w:val="000000" w:themeColor="text1"/>
                <w:sz w:val="24"/>
                <w:highlight w:val="none"/>
                <w:lang w:val="en-US" w:eastAsia="zh-CN"/>
                <w14:textFill>
                  <w14:solidFill>
                    <w14:schemeClr w14:val="tx1"/>
                  </w14:solidFill>
                </w14:textFill>
              </w:rPr>
              <w:t>均值均</w:t>
            </w:r>
            <w:r>
              <w:rPr>
                <w:rFonts w:hint="default" w:ascii="Times New Roman" w:hAnsi="Times New Roman" w:cs="Times New Roman"/>
                <w:color w:val="000000" w:themeColor="text1"/>
                <w:sz w:val="24"/>
                <w:highlight w:val="none"/>
                <w:lang w:eastAsia="zh-CN"/>
                <w14:textFill>
                  <w14:solidFill>
                    <w14:schemeClr w14:val="tx1"/>
                  </w14:solidFill>
                </w14:textFill>
              </w:rPr>
              <w:t>符合</w:t>
            </w:r>
            <w:r>
              <w:rPr>
                <w:rFonts w:hint="default" w:ascii="Times New Roman" w:hAnsi="Times New Roman" w:cs="Times New Roman"/>
                <w:color w:val="000000" w:themeColor="text1"/>
                <w:sz w:val="24"/>
                <w:highlight w:val="none"/>
                <w14:textFill>
                  <w14:solidFill>
                    <w14:schemeClr w14:val="tx1"/>
                  </w14:solidFill>
                </w14:textFill>
              </w:rPr>
              <w:t>《环境空气质量标准》（GB3095-2012）二级标准要求，</w:t>
            </w:r>
            <w:r>
              <w:rPr>
                <w:rFonts w:hint="default" w:ascii="Times New Roman" w:hAnsi="Times New Roman" w:cs="Times New Roman"/>
                <w:color w:val="000000" w:themeColor="text1"/>
                <w:sz w:val="24"/>
                <w:highlight w:val="none"/>
                <w:lang w:eastAsia="zh-CN"/>
                <w14:textFill>
                  <w14:solidFill>
                    <w14:schemeClr w14:val="tx1"/>
                  </w14:solidFill>
                </w14:textFill>
              </w:rPr>
              <w:t>PM</w:t>
            </w:r>
            <w:r>
              <w:rPr>
                <w:rFonts w:hint="default" w:ascii="Times New Roman" w:hAnsi="Times New Roman" w:cs="Times New Roman"/>
                <w:color w:val="000000" w:themeColor="text1"/>
                <w:sz w:val="24"/>
                <w:highlight w:val="none"/>
                <w:vertAlign w:val="subscript"/>
                <w:lang w:eastAsia="zh-CN"/>
                <w14:textFill>
                  <w14:solidFill>
                    <w14:schemeClr w14:val="tx1"/>
                  </w14:solidFill>
                </w14:textFill>
              </w:rPr>
              <w:t>10</w:t>
            </w:r>
            <w:r>
              <w:rPr>
                <w:rFonts w:hint="default" w:ascii="Times New Roman" w:hAnsi="Times New Roman" w:cs="Times New Roman"/>
                <w:color w:val="000000" w:themeColor="text1"/>
                <w:sz w:val="24"/>
                <w:highlight w:val="none"/>
                <w:lang w:eastAsia="zh-CN"/>
                <w14:textFill>
                  <w14:solidFill>
                    <w14:schemeClr w14:val="tx1"/>
                  </w14:solidFill>
                </w14:textFill>
              </w:rPr>
              <w:t>和PM</w:t>
            </w:r>
            <w:r>
              <w:rPr>
                <w:rFonts w:hint="default" w:ascii="Times New Roman" w:hAnsi="Times New Roman" w:cs="Times New Roman"/>
                <w:color w:val="000000" w:themeColor="text1"/>
                <w:sz w:val="24"/>
                <w:highlight w:val="none"/>
                <w:vertAlign w:val="subscript"/>
                <w:lang w:eastAsia="zh-CN"/>
                <w14:textFill>
                  <w14:solidFill>
                    <w14:schemeClr w14:val="tx1"/>
                  </w14:solidFill>
                </w14:textFill>
              </w:rPr>
              <w:t>2.5</w:t>
            </w:r>
            <w:r>
              <w:rPr>
                <w:rFonts w:hint="default" w:ascii="Times New Roman" w:hAnsi="Times New Roman" w:cs="Times New Roman"/>
                <w:color w:val="000000" w:themeColor="text1"/>
                <w:sz w:val="24"/>
                <w:highlight w:val="none"/>
                <w:lang w:eastAsia="zh-CN"/>
                <w14:textFill>
                  <w14:solidFill>
                    <w14:schemeClr w14:val="tx1"/>
                  </w14:solidFill>
                </w14:textFill>
              </w:rPr>
              <w:t>年均值超标，说明</w:t>
            </w:r>
            <w:r>
              <w:rPr>
                <w:rFonts w:hint="default" w:ascii="Times New Roman" w:hAnsi="Times New Roman" w:cs="Times New Roman"/>
                <w:color w:val="000000" w:themeColor="text1"/>
                <w:sz w:val="24"/>
                <w:highlight w:val="none"/>
                <w14:textFill>
                  <w14:solidFill>
                    <w14:schemeClr w14:val="tx1"/>
                  </w14:solidFill>
                </w14:textFill>
              </w:rPr>
              <w:t>渑池县为</w:t>
            </w:r>
            <w:r>
              <w:rPr>
                <w:rFonts w:hint="default" w:ascii="Times New Roman" w:hAnsi="Times New Roman" w:cs="Times New Roman"/>
                <w:color w:val="000000" w:themeColor="text1"/>
                <w:sz w:val="24"/>
                <w:highlight w:val="none"/>
                <w:lang w:eastAsia="zh-CN"/>
                <w14:textFill>
                  <w14:solidFill>
                    <w14:schemeClr w14:val="tx1"/>
                  </w14:solidFill>
                </w14:textFill>
              </w:rPr>
              <w:t>非</w:t>
            </w:r>
            <w:r>
              <w:rPr>
                <w:rFonts w:hint="default" w:ascii="Times New Roman" w:hAnsi="Times New Roman" w:cs="Times New Roman"/>
                <w:color w:val="000000" w:themeColor="text1"/>
                <w:sz w:val="24"/>
                <w:highlight w:val="none"/>
                <w14:textFill>
                  <w14:solidFill>
                    <w14:schemeClr w14:val="tx1"/>
                  </w14:solidFill>
                </w14:textFill>
              </w:rPr>
              <w:t>达标区域。</w:t>
            </w:r>
          </w:p>
          <w:p w14:paraId="332AD6D7">
            <w:pPr>
              <w:pStyle w:val="2"/>
              <w:keepNext w:val="0"/>
              <w:keepLines w:val="0"/>
              <w:pageBreakBefore w:val="0"/>
              <w:widowControl w:val="0"/>
              <w:kinsoku/>
              <w:wordWrap/>
              <w:overflowPunct/>
              <w:topLinePunct w:val="0"/>
              <w:autoSpaceDE/>
              <w:autoSpaceDN/>
              <w:bidi w:val="0"/>
              <w:adjustRightInd/>
              <w:snapToGrid w:val="0"/>
              <w:spacing w:line="520" w:lineRule="exact"/>
              <w:ind w:left="0" w:right="0" w:firstLine="420"/>
              <w:textAlignment w:val="auto"/>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水环境现状：涧河塔尼断面水质</w:t>
            </w:r>
            <w:r>
              <w:rPr>
                <w:rFonts w:hint="default" w:ascii="Times New Roman" w:hAnsi="Times New Roman" w:cs="Times New Roman"/>
                <w:bCs/>
                <w:color w:val="000000" w:themeColor="text1"/>
                <w:sz w:val="24"/>
                <w:highlight w:val="none"/>
                <w:u w:val="none"/>
                <w:lang w:val="en-US" w:eastAsia="zh-CN"/>
                <w14:textFill>
                  <w14:solidFill>
                    <w14:schemeClr w14:val="tx1"/>
                  </w14:solidFill>
                </w14:textFill>
              </w:rPr>
              <w:t>满足</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《地表水环境质量标准》（GB3838-2002）</w:t>
            </w:r>
            <w:r>
              <w:rPr>
                <w:rFonts w:hint="default" w:ascii="Times New Roman" w:hAnsi="Times New Roman" w:cs="Times New Roman"/>
                <w:bCs/>
                <w:color w:val="000000" w:themeColor="text1"/>
                <w:sz w:val="24"/>
                <w:highlight w:val="none"/>
                <w:u w:val="none"/>
                <w:lang w:val="en-US" w:eastAsia="zh-CN"/>
                <w14:textFill>
                  <w14:solidFill>
                    <w14:schemeClr w14:val="tx1"/>
                  </w14:solidFill>
                </w14:textFill>
              </w:rPr>
              <w:t>Ⅲ</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类标准。</w:t>
            </w:r>
          </w:p>
          <w:p w14:paraId="7E8B58FF">
            <w:pPr>
              <w:pStyle w:val="2"/>
              <w:keepNext w:val="0"/>
              <w:keepLines w:val="0"/>
              <w:pageBreakBefore w:val="0"/>
              <w:widowControl w:val="0"/>
              <w:kinsoku/>
              <w:wordWrap/>
              <w:overflowPunct/>
              <w:topLinePunct w:val="0"/>
              <w:autoSpaceDE/>
              <w:autoSpaceDN/>
              <w:bidi w:val="0"/>
              <w:adjustRightInd/>
              <w:snapToGrid w:val="0"/>
              <w:spacing w:line="520" w:lineRule="exact"/>
              <w:ind w:left="0" w:right="0" w:firstLine="420"/>
              <w:textAlignment w:val="auto"/>
              <w:rPr>
                <w:rFonts w:hint="default" w:ascii="Times New Roman" w:hAnsi="Times New Roman" w:cs="Times New Roman"/>
                <w:bCs/>
                <w:color w:val="000000" w:themeColor="text1"/>
                <w:sz w:val="24"/>
                <w:highlight w:val="yellow"/>
                <w:u w:val="none"/>
                <w14:textFill>
                  <w14:solidFill>
                    <w14:schemeClr w14:val="tx1"/>
                  </w14:solidFill>
                </w14:textFill>
              </w:rPr>
            </w:pPr>
            <w:r>
              <w:rPr>
                <w:rFonts w:hint="default" w:ascii="Times New Roman" w:hAnsi="Times New Roman" w:cs="Times New Roman"/>
                <w:bCs/>
                <w:color w:val="000000" w:themeColor="text1"/>
                <w:sz w:val="24"/>
                <w:highlight w:val="none"/>
                <w:u w:val="none"/>
                <w14:textFill>
                  <w14:solidFill>
                    <w14:schemeClr w14:val="tx1"/>
                  </w14:solidFill>
                </w14:textFill>
              </w:rPr>
              <w:t>声环境：</w:t>
            </w:r>
            <w:r>
              <w:rPr>
                <w:rFonts w:hint="eastAsia" w:ascii="Times New Roman" w:hAnsi="Times New Roman" w:cs="Times New Roman"/>
                <w:bCs/>
                <w:color w:val="000000" w:themeColor="text1"/>
                <w:sz w:val="24"/>
                <w:highlight w:val="none"/>
                <w:u w:val="none"/>
                <w:lang w:val="en-US" w:eastAsia="zh-CN"/>
                <w14:textFill>
                  <w14:solidFill>
                    <w14:schemeClr w14:val="tx1"/>
                  </w14:solidFill>
                </w14:textFill>
              </w:rPr>
              <w:t>项目所在区域声环境质量良好</w:t>
            </w:r>
            <w:r>
              <w:rPr>
                <w:rFonts w:hint="default" w:ascii="Times New Roman" w:hAnsi="Times New Roman" w:cs="Times New Roman"/>
                <w:color w:val="000000" w:themeColor="text1"/>
                <w:sz w:val="24"/>
                <w:highlight w:val="none"/>
                <w14:textFill>
                  <w14:solidFill>
                    <w14:schemeClr w14:val="tx1"/>
                  </w14:solidFill>
                </w14:textFill>
              </w:rPr>
              <w:t>。</w:t>
            </w:r>
          </w:p>
          <w:p w14:paraId="3DBB9A37">
            <w:pPr>
              <w:keepNext w:val="0"/>
              <w:keepLines w:val="0"/>
              <w:pageBreakBefore w:val="0"/>
              <w:widowControl w:val="0"/>
              <w:kinsoku/>
              <w:wordWrap/>
              <w:overflowPunct/>
              <w:topLinePunct w:val="0"/>
              <w:autoSpaceDE/>
              <w:autoSpaceDN/>
              <w:bidi w:val="0"/>
              <w:snapToGrid/>
              <w:spacing w:line="520" w:lineRule="exact"/>
              <w:ind w:firstLine="480" w:firstLineChars="200"/>
              <w:jc w:val="both"/>
              <w:outlineLvl w:val="9"/>
              <w:rPr>
                <w:rFonts w:hint="default" w:ascii="Times New Roman" w:hAnsi="Times New Roman" w:cs="Times New Roman"/>
                <w:bCs/>
                <w:color w:val="000000" w:themeColor="text1"/>
                <w:sz w:val="24"/>
                <w:highlight w:val="none"/>
                <w:u w:val="none"/>
                <w14:textFill>
                  <w14:solidFill>
                    <w14:schemeClr w14:val="tx1"/>
                  </w14:solidFill>
                </w14:textFill>
              </w:rPr>
            </w:pPr>
            <w:r>
              <w:rPr>
                <w:rFonts w:hint="default" w:ascii="Times New Roman" w:hAnsi="Times New Roman" w:cs="Times New Roman"/>
                <w:bCs/>
                <w:color w:val="000000" w:themeColor="text1"/>
                <w:sz w:val="24"/>
                <w:highlight w:val="none"/>
                <w:u w:val="none"/>
                <w14:textFill>
                  <w14:solidFill>
                    <w14:schemeClr w14:val="tx1"/>
                  </w14:solidFill>
                </w14:textFill>
              </w:rPr>
              <w:t>根据本次环境现状调查来看，区域环境质量现状均能满足项目所在地环境功能区划要求，且有一定的环境容量，项目所在区域通过实施达标治理规划可以实现区域环境质量达标。项目各污染物均能做到达标排放，不会破坏环境质量底线。</w:t>
            </w:r>
          </w:p>
          <w:p w14:paraId="30D318D4">
            <w:pPr>
              <w:pStyle w:val="2"/>
              <w:keepNext w:val="0"/>
              <w:keepLines w:val="0"/>
              <w:pageBreakBefore w:val="0"/>
              <w:widowControl w:val="0"/>
              <w:kinsoku/>
              <w:wordWrap/>
              <w:overflowPunct/>
              <w:topLinePunct w:val="0"/>
              <w:autoSpaceDE/>
              <w:autoSpaceDN/>
              <w:bidi w:val="0"/>
              <w:adjustRightInd/>
              <w:snapToGrid w:val="0"/>
              <w:spacing w:line="520" w:lineRule="exact"/>
              <w:ind w:left="0" w:leftChars="0" w:right="0" w:firstLine="0" w:firstLineChars="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1.3</w:t>
            </w: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资源利用上限</w:t>
            </w:r>
          </w:p>
          <w:p w14:paraId="1EA32C6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textAlignment w:val="auto"/>
              <w:rPr>
                <w:rFonts w:hint="default" w:ascii="Times New Roman" w:hAnsi="Times New Roman" w:cs="Times New Roman"/>
                <w:b w:val="0"/>
                <w:bCs/>
                <w:color w:val="000000" w:themeColor="text1"/>
                <w:sz w:val="24"/>
                <w:highlight w:val="none"/>
                <w:u w:val="none"/>
                <w14:textFill>
                  <w14:solidFill>
                    <w14:schemeClr w14:val="tx1"/>
                  </w14:solidFill>
                </w14:textFill>
              </w:rPr>
            </w:pPr>
            <w:r>
              <w:rPr>
                <w:rFonts w:hint="default" w:ascii="Times New Roman" w:hAnsi="Times New Roman" w:cs="Times New Roman"/>
                <w:b w:val="0"/>
                <w:bCs/>
                <w:color w:val="000000" w:themeColor="text1"/>
                <w:sz w:val="24"/>
                <w:highlight w:val="none"/>
                <w:u w:val="none"/>
                <w14:textFill>
                  <w14:solidFill>
                    <w14:schemeClr w14:val="tx1"/>
                  </w14:solidFill>
                </w14:textFill>
              </w:rPr>
              <w:t>资源是环境的载体，</w:t>
            </w:r>
            <w:r>
              <w:rPr>
                <w:rFonts w:hint="eastAsia" w:ascii="宋体" w:hAnsi="宋体" w:eastAsia="宋体" w:cs="宋体"/>
                <w:b w:val="0"/>
                <w:bCs/>
                <w:color w:val="000000" w:themeColor="text1"/>
                <w:sz w:val="24"/>
                <w:highlight w:val="none"/>
                <w:u w:val="none"/>
                <w14:textFill>
                  <w14:solidFill>
                    <w14:schemeClr w14:val="tx1"/>
                  </w14:solidFill>
                </w14:textFill>
              </w:rPr>
              <w:t>“资源利用上线”</w:t>
            </w:r>
            <w:r>
              <w:rPr>
                <w:rFonts w:hint="default" w:ascii="Times New Roman" w:hAnsi="Times New Roman" w:cs="Times New Roman"/>
                <w:b w:val="0"/>
                <w:bCs/>
                <w:color w:val="000000" w:themeColor="text1"/>
                <w:sz w:val="24"/>
                <w:highlight w:val="none"/>
                <w:u w:val="none"/>
                <w14:textFill>
                  <w14:solidFill>
                    <w14:schemeClr w14:val="tx1"/>
                  </w14:solidFill>
                </w14:textFill>
              </w:rPr>
              <w:t>地区能源、水、土地等资源消耗不得突破的</w:t>
            </w:r>
            <w:r>
              <w:rPr>
                <w:rFonts w:hint="eastAsia" w:ascii="宋体" w:hAnsi="宋体" w:eastAsia="宋体" w:cs="宋体"/>
                <w:b w:val="0"/>
                <w:bCs/>
                <w:color w:val="000000" w:themeColor="text1"/>
                <w:sz w:val="24"/>
                <w:highlight w:val="none"/>
                <w:u w:val="none"/>
                <w14:textFill>
                  <w14:solidFill>
                    <w14:schemeClr w14:val="tx1"/>
                  </w14:solidFill>
                </w14:textFill>
              </w:rPr>
              <w:t>“天花板”</w:t>
            </w:r>
            <w:r>
              <w:rPr>
                <w:rFonts w:hint="default" w:ascii="Times New Roman" w:hAnsi="Times New Roman" w:cs="Times New Roman"/>
                <w:b w:val="0"/>
                <w:bCs/>
                <w:color w:val="000000" w:themeColor="text1"/>
                <w:sz w:val="24"/>
                <w:highlight w:val="none"/>
                <w:u w:val="none"/>
                <w14:textFill>
                  <w14:solidFill>
                    <w14:schemeClr w14:val="tx1"/>
                  </w14:solidFill>
                </w14:textFill>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14:paraId="33297E2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textAlignment w:val="auto"/>
              <w:rPr>
                <w:rFonts w:hint="default" w:ascii="Times New Roman" w:hAnsi="Times New Roman" w:cs="Times New Roman"/>
                <w:b w:val="0"/>
                <w:bCs/>
                <w:color w:val="000000" w:themeColor="text1"/>
                <w:sz w:val="24"/>
                <w:highlight w:val="none"/>
                <w:u w:val="none"/>
                <w14:textFill>
                  <w14:solidFill>
                    <w14:schemeClr w14:val="tx1"/>
                  </w14:solidFill>
                </w14:textFill>
              </w:rPr>
            </w:pP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本项目</w:t>
            </w:r>
            <w:r>
              <w:rPr>
                <w:rFonts w:hint="default" w:ascii="Times New Roman" w:hAnsi="Times New Roman" w:cs="Times New Roman"/>
                <w:b w:val="0"/>
                <w:bCs/>
                <w:color w:val="000000" w:themeColor="text1"/>
                <w:sz w:val="24"/>
                <w:highlight w:val="none"/>
                <w:u w:val="none"/>
                <w14:textFill>
                  <w14:solidFill>
                    <w14:schemeClr w14:val="tx1"/>
                  </w14:solidFill>
                </w14:textFill>
              </w:rPr>
              <w:t>采用的能源主要为电，项目建成运行后通过内部管理、设备选择、原辅材料的选用和管理、废物回收利用、污染治理等多方面的措施，可使产生的污染物得到有效的处置，符合清洁运营的要求。项目对资源的使用较少、利用率较高，不触及资源利用上线。</w:t>
            </w:r>
          </w:p>
          <w:p w14:paraId="6BE263CA">
            <w:pPr>
              <w:pStyle w:val="2"/>
              <w:keepNext w:val="0"/>
              <w:keepLines w:val="0"/>
              <w:pageBreakBefore w:val="0"/>
              <w:widowControl w:val="0"/>
              <w:kinsoku/>
              <w:wordWrap/>
              <w:overflowPunct/>
              <w:topLinePunct w:val="0"/>
              <w:autoSpaceDE/>
              <w:autoSpaceDN/>
              <w:bidi w:val="0"/>
              <w:adjustRightInd/>
              <w:snapToGrid w:val="0"/>
              <w:spacing w:line="520" w:lineRule="exact"/>
              <w:ind w:left="0" w:leftChars="0" w:right="0" w:firstLine="0" w:firstLineChars="0"/>
              <w:textAlignment w:val="auto"/>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1.4生态</w:t>
            </w:r>
            <w:r>
              <w:rPr>
                <w:rFonts w:hint="default" w:ascii="Times New Roman" w:hAnsi="Times New Roman" w:eastAsia="宋体" w:cs="Times New Roman"/>
                <w:b/>
                <w:bCs/>
                <w:color w:val="000000" w:themeColor="text1"/>
                <w:kern w:val="2"/>
                <w:sz w:val="24"/>
                <w:szCs w:val="24"/>
                <w:highlight w:val="none"/>
                <w:u w:val="none"/>
                <w:lang w:val="en-US" w:eastAsia="zh-CN" w:bidi="ar-SA"/>
                <w14:textFill>
                  <w14:solidFill>
                    <w14:schemeClr w14:val="tx1"/>
                  </w14:solidFill>
                </w14:textFill>
              </w:rPr>
              <w:t>环境准入清单</w:t>
            </w:r>
          </w:p>
          <w:p w14:paraId="21120C7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textAlignment w:val="auto"/>
              <w:rPr>
                <w:rFonts w:hint="default" w:ascii="Times New Roman" w:hAnsi="Times New Roman" w:cs="Times New Roman"/>
                <w:b w:val="0"/>
                <w:bCs/>
                <w:color w:val="000000" w:themeColor="text1"/>
                <w:kern w:val="0"/>
                <w:sz w:val="24"/>
                <w:szCs w:val="24"/>
                <w:highlight w:val="none"/>
                <w:u w:val="none"/>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本项目位于</w:t>
            </w:r>
            <w:r>
              <w:rPr>
                <w:rFonts w:hint="eastAsia" w:ascii="Times New Roman" w:hAnsi="Times New Roman" w:cs="Times New Roman"/>
                <w:bCs/>
                <w:color w:val="000000" w:themeColor="text1"/>
                <w:sz w:val="24"/>
                <w:szCs w:val="24"/>
                <w:lang w:val="en-US" w:eastAsia="zh-CN"/>
                <w14:textFill>
                  <w14:solidFill>
                    <w14:schemeClr w14:val="tx1"/>
                  </w14:solidFill>
                </w14:textFill>
              </w:rPr>
              <w:t>渑池县城关镇孟岭村韶州路东段、县中医院东侧感染病房楼院内</w:t>
            </w:r>
            <w:r>
              <w:rPr>
                <w:rFonts w:hint="default" w:ascii="Times New Roman" w:hAnsi="Times New Roman" w:cs="Times New Roman"/>
                <w:bCs/>
                <w:color w:val="000000" w:themeColor="text1"/>
                <w:sz w:val="24"/>
                <w:szCs w:val="24"/>
                <w14:textFill>
                  <w14:solidFill>
                    <w14:schemeClr w14:val="tx1"/>
                  </w14:solidFill>
                </w14:textFill>
              </w:rPr>
              <w:t>，</w:t>
            </w:r>
            <w:r>
              <w:rPr>
                <w:rFonts w:hint="eastAsia" w:ascii="Times New Roman" w:hAnsi="Times New Roman" w:cs="Times New Roman"/>
                <w:bCs/>
                <w:color w:val="000000" w:themeColor="text1"/>
                <w:sz w:val="24"/>
                <w:szCs w:val="24"/>
                <w:lang w:eastAsia="zh-CN"/>
                <w14:textFill>
                  <w14:solidFill>
                    <w14:schemeClr w14:val="tx1"/>
                  </w14:solidFill>
                </w14:textFill>
              </w:rPr>
              <w:t>根据</w:t>
            </w:r>
            <w:r>
              <w:rPr>
                <w:rFonts w:hint="default" w:ascii="Times New Roman" w:hAnsi="Times New Roman" w:cs="Times New Roman"/>
                <w:b w:val="0"/>
                <w:bCs/>
                <w:color w:val="000000" w:themeColor="text1"/>
                <w:kern w:val="0"/>
                <w:sz w:val="24"/>
                <w:szCs w:val="24"/>
                <w:highlight w:val="none"/>
                <w:u w:val="none"/>
                <w14:textFill>
                  <w14:solidFill>
                    <w14:schemeClr w14:val="tx1"/>
                  </w14:solidFill>
                </w14:textFill>
              </w:rPr>
              <w:t>河南省生态环境厅编制的《河南省生态环境准入清单》（2020.12），项目所在区域属于</w:t>
            </w:r>
            <w:r>
              <w:rPr>
                <w:rFonts w:hint="eastAsia" w:ascii="宋体" w:hAnsi="宋体" w:eastAsia="宋体" w:cs="宋体"/>
                <w:b w:val="0"/>
                <w:bCs/>
                <w:color w:val="000000" w:themeColor="text1"/>
                <w:kern w:val="0"/>
                <w:sz w:val="24"/>
                <w:szCs w:val="24"/>
                <w:highlight w:val="none"/>
                <w:u w:val="none"/>
                <w14:textFill>
                  <w14:solidFill>
                    <w14:schemeClr w14:val="tx1"/>
                  </w14:solidFill>
                </w14:textFill>
              </w:rPr>
              <w:t>“渑池县城镇重点单元”</w:t>
            </w:r>
            <w:r>
              <w:rPr>
                <w:rFonts w:hint="default" w:ascii="Times New Roman" w:hAnsi="Times New Roman" w:cs="Times New Roman"/>
                <w:b w:val="0"/>
                <w:bCs/>
                <w:color w:val="000000" w:themeColor="text1"/>
                <w:kern w:val="0"/>
                <w:sz w:val="24"/>
                <w:szCs w:val="24"/>
                <w:highlight w:val="none"/>
                <w:u w:val="none"/>
                <w14:textFill>
                  <w14:solidFill>
                    <w14:schemeClr w14:val="tx1"/>
                  </w14:solidFill>
                </w14:textFill>
              </w:rPr>
              <w:t>，</w:t>
            </w:r>
            <w:r>
              <w:rPr>
                <w:rFonts w:hint="eastAsia" w:ascii="Times New Roman" w:hAnsi="Times New Roman" w:cs="Times New Roman"/>
                <w:b w:val="0"/>
                <w:bCs/>
                <w:color w:val="000000" w:themeColor="text1"/>
                <w:kern w:val="0"/>
                <w:sz w:val="24"/>
                <w:szCs w:val="24"/>
                <w:highlight w:val="none"/>
                <w:u w:val="none"/>
                <w:lang w:eastAsia="zh-CN"/>
                <w14:textFill>
                  <w14:solidFill>
                    <w14:schemeClr w14:val="tx1"/>
                  </w14:solidFill>
                </w14:textFill>
              </w:rPr>
              <w:t>编码：</w:t>
            </w:r>
            <w:r>
              <w:rPr>
                <w:rFonts w:hint="eastAsia" w:ascii="Times New Roman" w:hAnsi="Times New Roman" w:cs="Times New Roman"/>
                <w:b w:val="0"/>
                <w:bCs/>
                <w:color w:val="000000" w:themeColor="text1"/>
                <w:kern w:val="0"/>
                <w:sz w:val="24"/>
                <w:szCs w:val="24"/>
                <w:highlight w:val="none"/>
                <w:u w:val="none"/>
                <w:lang w:val="en-US" w:eastAsia="zh-CN"/>
                <w14:textFill>
                  <w14:solidFill>
                    <w14:schemeClr w14:val="tx1"/>
                  </w14:solidFill>
                </w14:textFill>
              </w:rPr>
              <w:t>ZH4112210002。</w:t>
            </w:r>
            <w:r>
              <w:rPr>
                <w:rFonts w:hint="eastAsia" w:ascii="Times New Roman" w:hAnsi="Times New Roman" w:cs="Times New Roman"/>
                <w:b w:val="0"/>
                <w:bCs/>
                <w:color w:val="000000" w:themeColor="text1"/>
                <w:kern w:val="0"/>
                <w:sz w:val="24"/>
                <w:szCs w:val="24"/>
                <w:highlight w:val="none"/>
                <w:u w:val="none"/>
                <w:lang w:eastAsia="zh-CN"/>
                <w14:textFill>
                  <w14:solidFill>
                    <w14:schemeClr w14:val="tx1"/>
                  </w14:solidFill>
                </w14:textFill>
              </w:rPr>
              <w:t>本项目</w:t>
            </w:r>
            <w:r>
              <w:rPr>
                <w:rFonts w:hint="default" w:ascii="Times New Roman" w:hAnsi="Times New Roman" w:cs="Times New Roman"/>
                <w:b w:val="0"/>
                <w:bCs/>
                <w:color w:val="000000" w:themeColor="text1"/>
                <w:kern w:val="0"/>
                <w:sz w:val="24"/>
                <w:szCs w:val="24"/>
                <w:highlight w:val="none"/>
                <w:u w:val="none"/>
                <w14:textFill>
                  <w14:solidFill>
                    <w14:schemeClr w14:val="tx1"/>
                  </w14:solidFill>
                </w14:textFill>
              </w:rPr>
              <w:t>与该</w:t>
            </w:r>
            <w:r>
              <w:rPr>
                <w:rFonts w:hint="eastAsia" w:ascii="Times New Roman" w:hAnsi="Times New Roman" w:cs="Times New Roman"/>
                <w:b w:val="0"/>
                <w:bCs/>
                <w:color w:val="000000" w:themeColor="text1"/>
                <w:kern w:val="0"/>
                <w:sz w:val="24"/>
                <w:szCs w:val="24"/>
                <w:highlight w:val="none"/>
                <w:u w:val="none"/>
                <w:lang w:eastAsia="zh-CN"/>
                <w14:textFill>
                  <w14:solidFill>
                    <w14:schemeClr w14:val="tx1"/>
                  </w14:solidFill>
                </w14:textFill>
              </w:rPr>
              <w:t>管控</w:t>
            </w:r>
            <w:r>
              <w:rPr>
                <w:rFonts w:hint="default" w:ascii="Times New Roman" w:hAnsi="Times New Roman" w:cs="Times New Roman"/>
                <w:b w:val="0"/>
                <w:bCs/>
                <w:color w:val="000000" w:themeColor="text1"/>
                <w:kern w:val="0"/>
                <w:sz w:val="24"/>
                <w:szCs w:val="24"/>
                <w:highlight w:val="none"/>
                <w:u w:val="none"/>
                <w14:textFill>
                  <w14:solidFill>
                    <w14:schemeClr w14:val="tx1"/>
                  </w14:solidFill>
                </w14:textFill>
              </w:rPr>
              <w:t>单元管控要求相符性分析如下表所示。</w:t>
            </w:r>
          </w:p>
          <w:p w14:paraId="4A27DAB6">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ind w:firstLine="0"/>
              <w:textAlignment w:val="auto"/>
              <w:rPr>
                <w:rFonts w:hint="eastAsia" w:ascii="Times New Roman" w:hAnsi="Times New Roman" w:cs="Times New Roman"/>
                <w:bCs/>
                <w:color w:val="000000" w:themeColor="text1"/>
                <w:kern w:val="2"/>
                <w:sz w:val="24"/>
                <w:highlight w:val="none"/>
                <w:lang w:val="en-US" w:eastAsia="zh-CN"/>
                <w14:textFill>
                  <w14:solidFill>
                    <w14:schemeClr w14:val="tx1"/>
                  </w14:solidFill>
                </w14:textFill>
              </w:rPr>
            </w:pPr>
            <w:r>
              <w:rPr>
                <w:rFonts w:hint="eastAsia" w:cs="Times New Roman"/>
                <w:bCs/>
                <w:color w:val="000000" w:themeColor="text1"/>
                <w:kern w:val="2"/>
                <w:sz w:val="24"/>
                <w:highlight w:val="none"/>
                <w:lang w:val="en-US" w:eastAsia="zh-CN"/>
                <w14:textFill>
                  <w14:solidFill>
                    <w14:schemeClr w14:val="tx1"/>
                  </w14:solidFill>
                </w14:textFill>
              </w:rPr>
              <w:t xml:space="preserve"> </w:t>
            </w:r>
            <w:r>
              <w:rPr>
                <w:rFonts w:hint="eastAsia" w:ascii="Times New Roman" w:hAnsi="Times New Roman" w:cs="Times New Roman"/>
                <w:bCs/>
                <w:color w:val="000000" w:themeColor="text1"/>
                <w:kern w:val="2"/>
                <w:sz w:val="24"/>
                <w:highlight w:val="none"/>
                <w:lang w:val="en-US" w:eastAsia="zh-CN"/>
                <w14:textFill>
                  <w14:solidFill>
                    <w14:schemeClr w14:val="tx1"/>
                  </w14:solidFill>
                </w14:textFill>
              </w:rPr>
              <w:t xml:space="preserve"> 与“渑池县城镇重点单元”</w:t>
            </w:r>
            <w:r>
              <w:rPr>
                <w:rFonts w:hint="eastAsia" w:ascii="Times New Roman" w:hAnsi="Times New Roman" w:cs="Times New Roman"/>
                <w:color w:val="000000" w:themeColor="text1"/>
                <w:highlight w:val="none"/>
                <w:lang w:val="en-US" w:eastAsia="zh-CN"/>
                <w14:textFill>
                  <w14:solidFill>
                    <w14:schemeClr w14:val="tx1"/>
                  </w14:solidFill>
                </w14:textFill>
              </w:rPr>
              <w:t>管控</w:t>
            </w:r>
            <w:r>
              <w:rPr>
                <w:rFonts w:hint="eastAsia" w:ascii="Times New Roman" w:hAnsi="Times New Roman" w:cs="Times New Roman"/>
                <w:bCs/>
                <w:color w:val="000000" w:themeColor="text1"/>
                <w:kern w:val="2"/>
                <w:sz w:val="24"/>
                <w:highlight w:val="none"/>
                <w:lang w:val="en-US" w:eastAsia="zh-CN"/>
                <w14:textFill>
                  <w14:solidFill>
                    <w14:schemeClr w14:val="tx1"/>
                  </w14:solidFill>
                </w14:textFill>
              </w:rPr>
              <w:t>要求相符性分析</w:t>
            </w:r>
          </w:p>
          <w:tbl>
            <w:tblPr>
              <w:tblStyle w:val="35"/>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85"/>
              <w:gridCol w:w="4047"/>
              <w:gridCol w:w="2510"/>
              <w:gridCol w:w="671"/>
            </w:tblGrid>
            <w:tr w14:paraId="47F42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185" w:type="dxa"/>
                  <w:tcBorders>
                    <w:tl2br w:val="nil"/>
                    <w:tr2bl w:val="nil"/>
                  </w:tcBorders>
                  <w:noWrap w:val="0"/>
                  <w:vAlign w:val="center"/>
                </w:tcPr>
                <w:p w14:paraId="51758630">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t>分类</w:t>
                  </w:r>
                </w:p>
              </w:tc>
              <w:tc>
                <w:tcPr>
                  <w:tcW w:w="4047" w:type="dxa"/>
                  <w:tcBorders>
                    <w:tl2br w:val="nil"/>
                    <w:tr2bl w:val="nil"/>
                  </w:tcBorders>
                  <w:noWrap w:val="0"/>
                  <w:vAlign w:val="center"/>
                </w:tcPr>
                <w:p w14:paraId="1F939A1E">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t>管控要求</w:t>
                  </w:r>
                </w:p>
              </w:tc>
              <w:tc>
                <w:tcPr>
                  <w:tcW w:w="2510" w:type="dxa"/>
                  <w:tcBorders>
                    <w:tl2br w:val="nil"/>
                    <w:tr2bl w:val="nil"/>
                  </w:tcBorders>
                  <w:noWrap w:val="0"/>
                  <w:vAlign w:val="center"/>
                </w:tcPr>
                <w:p w14:paraId="66DACF6E">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t>本项目情况</w:t>
                  </w:r>
                </w:p>
              </w:tc>
              <w:tc>
                <w:tcPr>
                  <w:tcW w:w="671" w:type="dxa"/>
                  <w:tcBorders>
                    <w:tl2br w:val="nil"/>
                    <w:tr2bl w:val="nil"/>
                  </w:tcBorders>
                  <w:noWrap w:val="0"/>
                  <w:vAlign w:val="center"/>
                </w:tcPr>
                <w:p w14:paraId="20953165">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outlineLvl w:val="9"/>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t>相符性</w:t>
                  </w:r>
                </w:p>
              </w:tc>
            </w:tr>
            <w:tr w14:paraId="6BD69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185" w:type="dxa"/>
                  <w:tcBorders>
                    <w:tl2br w:val="nil"/>
                    <w:tr2bl w:val="nil"/>
                  </w:tcBorders>
                  <w:noWrap w:val="0"/>
                  <w:vAlign w:val="center"/>
                </w:tcPr>
                <w:p w14:paraId="7048B521">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t>空间布局</w:t>
                  </w:r>
                  <w:r>
                    <w:rPr>
                      <w:rFonts w:hint="eastAsia" w:ascii="Times New Roman" w:hAnsi="Times New Roman" w:cs="Times New Roman"/>
                      <w:bCs/>
                      <w:color w:val="000000" w:themeColor="text1"/>
                      <w:sz w:val="21"/>
                      <w:szCs w:val="21"/>
                      <w:highlight w:val="none"/>
                      <w:vertAlign w:val="baseline"/>
                      <w:lang w:val="en-US" w:eastAsia="zh-CN"/>
                      <w14:textFill>
                        <w14:solidFill>
                          <w14:schemeClr w14:val="tx1"/>
                        </w14:solidFill>
                      </w14:textFill>
                    </w:rPr>
                    <w:t>约束</w:t>
                  </w:r>
                </w:p>
              </w:tc>
              <w:tc>
                <w:tcPr>
                  <w:tcW w:w="4047" w:type="dxa"/>
                  <w:tcBorders>
                    <w:tl2br w:val="nil"/>
                    <w:tr2bl w:val="nil"/>
                  </w:tcBorders>
                  <w:noWrap w:val="0"/>
                  <w:vAlign w:val="center"/>
                </w:tcPr>
                <w:p w14:paraId="24A2C09F">
                  <w:pPr>
                    <w:pStyle w:val="268"/>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caps w:val="0"/>
                      <w:color w:val="000000" w:themeColor="text1"/>
                      <w:sz w:val="21"/>
                      <w:szCs w:val="21"/>
                      <w14:textFill>
                        <w14:solidFill>
                          <w14:schemeClr w14:val="tx1"/>
                        </w14:solidFill>
                      </w14:textFill>
                    </w:rPr>
                  </w:pPr>
                  <w:r>
                    <w:rPr>
                      <w:rFonts w:hint="eastAsia"/>
                      <w:caps w:val="0"/>
                      <w:color w:val="000000" w:themeColor="text1"/>
                      <w:sz w:val="21"/>
                      <w:szCs w:val="21"/>
                      <w14:textFill>
                        <w14:solidFill>
                          <w14:schemeClr w14:val="tx1"/>
                        </w14:solidFill>
                      </w14:textFill>
                    </w:rPr>
                    <w:t>1、</w:t>
                  </w:r>
                  <w:r>
                    <w:rPr>
                      <w:caps w:val="0"/>
                      <w:color w:val="000000" w:themeColor="text1"/>
                      <w:sz w:val="21"/>
                      <w:szCs w:val="21"/>
                      <w14:textFill>
                        <w14:solidFill>
                          <w14:schemeClr w14:val="tx1"/>
                        </w14:solidFill>
                      </w14:textFill>
                    </w:rPr>
                    <w:t>禁止新建、改建及扩建高污染、高风险建设项目。</w:t>
                  </w:r>
                </w:p>
                <w:p w14:paraId="7E674C18">
                  <w:pPr>
                    <w:pStyle w:val="268"/>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caps w:val="0"/>
                      <w:color w:val="000000" w:themeColor="text1"/>
                      <w:sz w:val="21"/>
                      <w:szCs w:val="21"/>
                      <w14:textFill>
                        <w14:solidFill>
                          <w14:schemeClr w14:val="tx1"/>
                        </w14:solidFill>
                      </w14:textFill>
                    </w:rPr>
                  </w:pPr>
                  <w:r>
                    <w:rPr>
                      <w:caps w:val="0"/>
                      <w:color w:val="000000" w:themeColor="text1"/>
                      <w:sz w:val="21"/>
                      <w:szCs w:val="21"/>
                      <w14:textFill>
                        <w14:solidFill>
                          <w14:schemeClr w14:val="tx1"/>
                        </w14:solidFill>
                      </w14:textFill>
                    </w:rPr>
                    <w:t>2</w:t>
                  </w:r>
                  <w:r>
                    <w:rPr>
                      <w:rFonts w:hint="eastAsia"/>
                      <w:caps w:val="0"/>
                      <w:color w:val="000000" w:themeColor="text1"/>
                      <w:sz w:val="21"/>
                      <w:szCs w:val="21"/>
                      <w14:textFill>
                        <w14:solidFill>
                          <w14:schemeClr w14:val="tx1"/>
                        </w14:solidFill>
                      </w14:textFill>
                    </w:rPr>
                    <w:t>、</w:t>
                  </w:r>
                  <w:r>
                    <w:rPr>
                      <w:caps w:val="0"/>
                      <w:color w:val="000000" w:themeColor="text1"/>
                      <w:sz w:val="21"/>
                      <w:szCs w:val="21"/>
                      <w14:textFill>
                        <w14:solidFill>
                          <w14:schemeClr w14:val="tx1"/>
                        </w14:solidFill>
                      </w14:textFill>
                    </w:rPr>
                    <w:t>鼓励该区域内现有工业企业退城入园。</w:t>
                  </w:r>
                </w:p>
                <w:p w14:paraId="2AEF4AF1">
                  <w:pPr>
                    <w:pStyle w:val="268"/>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caps w:val="0"/>
                      <w:color w:val="000000" w:themeColor="text1"/>
                      <w:sz w:val="21"/>
                      <w:szCs w:val="21"/>
                      <w14:textFill>
                        <w14:solidFill>
                          <w14:schemeClr w14:val="tx1"/>
                        </w14:solidFill>
                      </w14:textFill>
                    </w:rPr>
                    <w:t>3、禁燃区内禁止新建、扩建燃用高污染燃料的锅炉、窑炉、炉灶等燃烧设备（集中供热、电力行业燃煤锅炉、大宗工业固废综合利用项目除外）。</w:t>
                  </w:r>
                </w:p>
              </w:tc>
              <w:tc>
                <w:tcPr>
                  <w:tcW w:w="2510" w:type="dxa"/>
                  <w:tcBorders>
                    <w:tl2br w:val="nil"/>
                    <w:tr2bl w:val="nil"/>
                  </w:tcBorders>
                  <w:noWrap w:val="0"/>
                  <w:vAlign w:val="center"/>
                </w:tcPr>
                <w:p w14:paraId="2F32DF84">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t>本项目为精神卫生和心理健康防治中心项目，不属于高污染、高风险建设项目；本项目不设燃烧设备。</w:t>
                  </w:r>
                </w:p>
              </w:tc>
              <w:tc>
                <w:tcPr>
                  <w:tcW w:w="671" w:type="dxa"/>
                  <w:tcBorders>
                    <w:tl2br w:val="nil"/>
                    <w:tr2bl w:val="nil"/>
                  </w:tcBorders>
                  <w:noWrap w:val="0"/>
                  <w:vAlign w:val="center"/>
                </w:tcPr>
                <w:p w14:paraId="4E508AFB">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t>相符</w:t>
                  </w:r>
                </w:p>
              </w:tc>
            </w:tr>
            <w:tr w14:paraId="3C591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185" w:type="dxa"/>
                  <w:tcBorders>
                    <w:tl2br w:val="nil"/>
                    <w:tr2bl w:val="nil"/>
                  </w:tcBorders>
                  <w:noWrap w:val="0"/>
                  <w:vAlign w:val="center"/>
                </w:tcPr>
                <w:p w14:paraId="0B3C3847">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t>污染物排放管控</w:t>
                  </w:r>
                </w:p>
              </w:tc>
              <w:tc>
                <w:tcPr>
                  <w:tcW w:w="4047" w:type="dxa"/>
                  <w:tcBorders>
                    <w:tl2br w:val="nil"/>
                    <w:tr2bl w:val="nil"/>
                  </w:tcBorders>
                  <w:noWrap w:val="0"/>
                  <w:vAlign w:val="center"/>
                </w:tcPr>
                <w:p w14:paraId="68367A5C">
                  <w:pPr>
                    <w:pStyle w:val="268"/>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caps w:val="0"/>
                      <w:color w:val="000000" w:themeColor="text1"/>
                      <w:sz w:val="21"/>
                      <w:szCs w:val="21"/>
                      <w14:textFill>
                        <w14:solidFill>
                          <w14:schemeClr w14:val="tx1"/>
                        </w14:solidFill>
                      </w14:textFill>
                    </w:rPr>
                  </w:pPr>
                  <w:r>
                    <w:rPr>
                      <w:caps w:val="0"/>
                      <w:color w:val="000000" w:themeColor="text1"/>
                      <w:sz w:val="21"/>
                      <w:szCs w:val="21"/>
                      <w14:textFill>
                        <w14:solidFill>
                          <w14:schemeClr w14:val="tx1"/>
                        </w14:solidFill>
                      </w14:textFill>
                    </w:rPr>
                    <w:t>1、禁止填埋场渗滤液直排或超标排放。</w:t>
                  </w:r>
                </w:p>
                <w:p w14:paraId="13522384">
                  <w:pPr>
                    <w:pStyle w:val="268"/>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rFonts w:hint="eastAsia" w:ascii="宋体" w:hAnsi="宋体" w:eastAsia="宋体" w:cs="宋体"/>
                      <w:caps w:val="0"/>
                      <w:color w:val="000000" w:themeColor="text1"/>
                      <w:sz w:val="21"/>
                      <w:szCs w:val="21"/>
                      <w14:textFill>
                        <w14:solidFill>
                          <w14:schemeClr w14:val="tx1"/>
                        </w14:solidFill>
                      </w14:textFill>
                    </w:rPr>
                  </w:pPr>
                  <w:r>
                    <w:rPr>
                      <w:caps w:val="0"/>
                      <w:color w:val="000000" w:themeColor="text1"/>
                      <w:sz w:val="21"/>
                      <w:szCs w:val="21"/>
                      <w14:textFill>
                        <w14:solidFill>
                          <w14:schemeClr w14:val="tx1"/>
                        </w14:solidFill>
                      </w14:textFill>
                    </w:rPr>
                    <w:t>2、禁止含重金属废水进入城市生活污水处理厂。</w:t>
                  </w:r>
                </w:p>
                <w:p w14:paraId="75FFD948">
                  <w:pPr>
                    <w:pStyle w:val="268"/>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aps w:val="0"/>
                      <w:color w:val="000000" w:themeColor="text1"/>
                      <w:sz w:val="21"/>
                      <w:szCs w:val="21"/>
                      <w14:textFill>
                        <w14:solidFill>
                          <w14:schemeClr w14:val="tx1"/>
                        </w14:solidFill>
                      </w14:textFill>
                    </w:rPr>
                    <w:t>3、实施“散乱污”企业动态管理，实现平原地区散煤取暖基本清</w:t>
                  </w:r>
                  <w:r>
                    <w:rPr>
                      <w:caps w:val="0"/>
                      <w:color w:val="000000" w:themeColor="text1"/>
                      <w:sz w:val="21"/>
                      <w:szCs w:val="21"/>
                      <w14:textFill>
                        <w14:solidFill>
                          <w14:schemeClr w14:val="tx1"/>
                        </w14:solidFill>
                      </w14:textFill>
                    </w:rPr>
                    <w:t>零，开展城市清洁行动，全面提</w:t>
                  </w:r>
                  <w:r>
                    <w:rPr>
                      <w:rFonts w:hint="eastAsia" w:ascii="宋体" w:hAnsi="宋体" w:eastAsia="宋体" w:cs="宋体"/>
                      <w:caps w:val="0"/>
                      <w:color w:val="000000" w:themeColor="text1"/>
                      <w:sz w:val="21"/>
                      <w:szCs w:val="21"/>
                      <w14:textFill>
                        <w14:solidFill>
                          <w14:schemeClr w14:val="tx1"/>
                        </w14:solidFill>
                      </w14:textFill>
                    </w:rPr>
                    <w:t>升“三散”污</w:t>
                  </w:r>
                  <w:r>
                    <w:rPr>
                      <w:caps w:val="0"/>
                      <w:color w:val="000000" w:themeColor="text1"/>
                      <w:sz w:val="21"/>
                      <w:szCs w:val="21"/>
                      <w14:textFill>
                        <w14:solidFill>
                          <w14:schemeClr w14:val="tx1"/>
                        </w14:solidFill>
                      </w14:textFill>
                    </w:rPr>
                    <w:t>染治理水平。</w:t>
                  </w:r>
                </w:p>
              </w:tc>
              <w:tc>
                <w:tcPr>
                  <w:tcW w:w="2510" w:type="dxa"/>
                  <w:tcBorders>
                    <w:tl2br w:val="nil"/>
                    <w:tr2bl w:val="nil"/>
                  </w:tcBorders>
                  <w:noWrap w:val="0"/>
                  <w:vAlign w:val="center"/>
                </w:tcPr>
                <w:p w14:paraId="39AE21DD">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val="en-US" w:eastAsia="zh-CN"/>
                      <w14:textFill>
                        <w14:solidFill>
                          <w14:schemeClr w14:val="tx1"/>
                        </w14:solidFill>
                      </w14:textFill>
                    </w:rPr>
                    <w:t>本项目为精神卫生和心理健康防治中心项目，废水主要包括医疗废水和生活污水，不含重金属，经自建污水处理站处理后排入市政管网；本项目项目严格按规范化建设，不属于“散乱污”企业。</w:t>
                  </w:r>
                </w:p>
              </w:tc>
              <w:tc>
                <w:tcPr>
                  <w:tcW w:w="671" w:type="dxa"/>
                  <w:tcBorders>
                    <w:tl2br w:val="nil"/>
                    <w:tr2bl w:val="nil"/>
                  </w:tcBorders>
                  <w:noWrap w:val="0"/>
                  <w:vAlign w:val="center"/>
                </w:tcPr>
                <w:p w14:paraId="69AACAD6">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t>相符</w:t>
                  </w:r>
                </w:p>
              </w:tc>
            </w:tr>
            <w:tr w14:paraId="0040F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185" w:type="dxa"/>
                  <w:tcBorders>
                    <w:tl2br w:val="nil"/>
                    <w:tr2bl w:val="nil"/>
                  </w:tcBorders>
                  <w:noWrap w:val="0"/>
                  <w:vAlign w:val="center"/>
                </w:tcPr>
                <w:p w14:paraId="0AFBE5CF">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t>环境风险防控</w:t>
                  </w:r>
                </w:p>
              </w:tc>
              <w:tc>
                <w:tcPr>
                  <w:tcW w:w="4047" w:type="dxa"/>
                  <w:tcBorders>
                    <w:tl2br w:val="nil"/>
                    <w:tr2bl w:val="nil"/>
                  </w:tcBorders>
                  <w:noWrap w:val="0"/>
                  <w:vAlign w:val="center"/>
                </w:tcPr>
                <w:p w14:paraId="50408239">
                  <w:pPr>
                    <w:pStyle w:val="268"/>
                    <w:jc w:val="both"/>
                    <w:rPr>
                      <w:caps w:val="0"/>
                      <w:color w:val="000000" w:themeColor="text1"/>
                      <w:sz w:val="21"/>
                      <w:szCs w:val="21"/>
                      <w14:textFill>
                        <w14:solidFill>
                          <w14:schemeClr w14:val="tx1"/>
                        </w14:solidFill>
                      </w14:textFill>
                    </w:rPr>
                  </w:pPr>
                  <w:r>
                    <w:rPr>
                      <w:caps w:val="0"/>
                      <w:color w:val="000000" w:themeColor="text1"/>
                      <w:sz w:val="21"/>
                      <w:szCs w:val="21"/>
                      <w14:textFill>
                        <w14:solidFill>
                          <w14:schemeClr w14:val="tx1"/>
                        </w14:solidFill>
                      </w14:textFill>
                    </w:rPr>
                    <w:t>1、按照土壤环境调查相关技术规定，对垃圾填埋场周边土壤环境状况进行调查评估。对周边土壤环境超过可接受风险的，应采取限制填埋废物进入、降低人体暴露健康风险等管控措施。</w:t>
                  </w:r>
                </w:p>
                <w:p w14:paraId="6562AC35">
                  <w:pPr>
                    <w:pStyle w:val="268"/>
                    <w:jc w:val="both"/>
                    <w:rPr>
                      <w:caps w:val="0"/>
                      <w:color w:val="000000" w:themeColor="text1"/>
                      <w:sz w:val="21"/>
                      <w:szCs w:val="21"/>
                      <w14:textFill>
                        <w14:solidFill>
                          <w14:schemeClr w14:val="tx1"/>
                        </w14:solidFill>
                      </w14:textFill>
                    </w:rPr>
                  </w:pPr>
                  <w:r>
                    <w:rPr>
                      <w:caps w:val="0"/>
                      <w:color w:val="000000" w:themeColor="text1"/>
                      <w:sz w:val="21"/>
                      <w:szCs w:val="21"/>
                      <w14:textFill>
                        <w14:solidFill>
                          <w14:schemeClr w14:val="tx1"/>
                        </w14:solidFill>
                      </w14:textFill>
                    </w:rPr>
                    <w:t>2、重点监管企业在拆除生产设施设备、污染治理设施时，要事先制定残留污染物清理和安全处置方案。</w:t>
                  </w:r>
                </w:p>
                <w:p w14:paraId="741EEEB4">
                  <w:pPr>
                    <w:pStyle w:val="268"/>
                    <w:jc w:val="both"/>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caps w:val="0"/>
                      <w:color w:val="000000" w:themeColor="text1"/>
                      <w:sz w:val="21"/>
                      <w:szCs w:val="21"/>
                      <w14:textFill>
                        <w14:solidFill>
                          <w14:schemeClr w14:val="tx1"/>
                        </w14:solidFill>
                      </w14:textFill>
                    </w:rPr>
                    <w:t>3、高关注地块划分污染风险等级，纳入优先管控名录。</w:t>
                  </w:r>
                </w:p>
              </w:tc>
              <w:tc>
                <w:tcPr>
                  <w:tcW w:w="2510" w:type="dxa"/>
                  <w:tcBorders>
                    <w:tl2br w:val="nil"/>
                    <w:tr2bl w:val="nil"/>
                  </w:tcBorders>
                  <w:noWrap w:val="0"/>
                  <w:vAlign w:val="center"/>
                </w:tcPr>
                <w:p w14:paraId="12BC55EF">
                  <w:pPr>
                    <w:pStyle w:val="268"/>
                    <w:jc w:val="center"/>
                    <w:rPr>
                      <w:rFonts w:hint="default" w:ascii="Times New Roman" w:hAnsi="Times New Roman" w:cs="Times New Roman"/>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val="en-US" w:eastAsia="zh-CN"/>
                      <w14:textFill>
                        <w14:solidFill>
                          <w14:schemeClr w14:val="tx1"/>
                        </w14:solidFill>
                      </w14:textFill>
                    </w:rPr>
                    <w:t>本项目不涉及</w:t>
                  </w:r>
                  <w:r>
                    <w:rPr>
                      <w:caps w:val="0"/>
                      <w:color w:val="000000" w:themeColor="text1"/>
                      <w:sz w:val="21"/>
                      <w:szCs w:val="21"/>
                      <w14:textFill>
                        <w14:solidFill>
                          <w14:schemeClr w14:val="tx1"/>
                        </w14:solidFill>
                      </w14:textFill>
                    </w:rPr>
                    <w:t>土壤环境调查</w:t>
                  </w:r>
                  <w:r>
                    <w:rPr>
                      <w:rFonts w:hint="eastAsia"/>
                      <w:caps w:val="0"/>
                      <w:color w:val="000000" w:themeColor="text1"/>
                      <w:sz w:val="21"/>
                      <w:szCs w:val="21"/>
                      <w:lang w:eastAsia="zh-CN"/>
                      <w14:textFill>
                        <w14:solidFill>
                          <w14:schemeClr w14:val="tx1"/>
                        </w14:solidFill>
                      </w14:textFill>
                    </w:rPr>
                    <w:t>；</w:t>
                  </w:r>
                  <w:r>
                    <w:rPr>
                      <w:caps w:val="0"/>
                      <w:color w:val="000000" w:themeColor="text1"/>
                      <w:sz w:val="21"/>
                      <w:szCs w:val="21"/>
                      <w14:textFill>
                        <w14:solidFill>
                          <w14:schemeClr w14:val="tx1"/>
                        </w14:solidFill>
                      </w14:textFill>
                    </w:rPr>
                    <w:t>项目不属于重点监管企业；项目用地未纳入优先管控名录。</w:t>
                  </w:r>
                </w:p>
              </w:tc>
              <w:tc>
                <w:tcPr>
                  <w:tcW w:w="671" w:type="dxa"/>
                  <w:tcBorders>
                    <w:tl2br w:val="nil"/>
                    <w:tr2bl w:val="nil"/>
                  </w:tcBorders>
                  <w:noWrap w:val="0"/>
                  <w:vAlign w:val="center"/>
                </w:tcPr>
                <w:p w14:paraId="3517FE63">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t>相符</w:t>
                  </w:r>
                </w:p>
              </w:tc>
            </w:tr>
            <w:tr w14:paraId="48A08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185" w:type="dxa"/>
                  <w:tcBorders>
                    <w:tl2br w:val="nil"/>
                    <w:tr2bl w:val="nil"/>
                  </w:tcBorders>
                  <w:noWrap w:val="0"/>
                  <w:vAlign w:val="center"/>
                </w:tcPr>
                <w:p w14:paraId="19034FB0">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t>资源开发效率要求</w:t>
                  </w:r>
                </w:p>
              </w:tc>
              <w:tc>
                <w:tcPr>
                  <w:tcW w:w="4047" w:type="dxa"/>
                  <w:tcBorders>
                    <w:tl2br w:val="nil"/>
                    <w:tr2bl w:val="nil"/>
                  </w:tcBorders>
                  <w:noWrap w:val="0"/>
                  <w:vAlign w:val="center"/>
                </w:tcPr>
                <w:p w14:paraId="09163995">
                  <w:pPr>
                    <w:pStyle w:val="268"/>
                    <w:jc w:val="both"/>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caps w:val="0"/>
                      <w:color w:val="000000" w:themeColor="text1"/>
                      <w:sz w:val="21"/>
                      <w:szCs w:val="21"/>
                      <w14:textFill>
                        <w14:solidFill>
                          <w14:schemeClr w14:val="tx1"/>
                        </w14:solidFill>
                      </w14:textFill>
                    </w:rPr>
                    <w:t>禁止销售、使用煤等高污染燃料，现有使用高污染燃料的单位和个人，应当按照市、县（市）人民政府规定的期限改用清洁能源或拆除使用高污染燃料的设施。</w:t>
                  </w:r>
                </w:p>
              </w:tc>
              <w:tc>
                <w:tcPr>
                  <w:tcW w:w="2510" w:type="dxa"/>
                  <w:tcBorders>
                    <w:tl2br w:val="nil"/>
                    <w:tr2bl w:val="nil"/>
                  </w:tcBorders>
                  <w:noWrap w:val="0"/>
                  <w:vAlign w:val="center"/>
                </w:tcPr>
                <w:p w14:paraId="01BE6D3E">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cs="Times New Roman"/>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val="en-US" w:eastAsia="zh-CN"/>
                      <w14:textFill>
                        <w14:solidFill>
                          <w14:schemeClr w14:val="tx1"/>
                        </w14:solidFill>
                      </w14:textFill>
                    </w:rPr>
                    <w:t>本项目不涉及销售、使用煤等高污染燃料，不设燃烧设施。</w:t>
                  </w:r>
                </w:p>
              </w:tc>
              <w:tc>
                <w:tcPr>
                  <w:tcW w:w="671" w:type="dxa"/>
                  <w:tcBorders>
                    <w:tl2br w:val="nil"/>
                    <w:tr2bl w:val="nil"/>
                  </w:tcBorders>
                  <w:noWrap w:val="0"/>
                  <w:vAlign w:val="center"/>
                </w:tcPr>
                <w:p w14:paraId="023182C2">
                  <w:pPr>
                    <w:pStyle w:val="1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bCs/>
                      <w:color w:val="000000" w:themeColor="text1"/>
                      <w:sz w:val="21"/>
                      <w:szCs w:val="21"/>
                      <w:highlight w:val="none"/>
                      <w:vertAlign w:val="baseline"/>
                      <w:lang w:eastAsia="zh-CN"/>
                      <w14:textFill>
                        <w14:solidFill>
                          <w14:schemeClr w14:val="tx1"/>
                        </w14:solidFill>
                      </w14:textFill>
                    </w:rPr>
                    <w:t>相符</w:t>
                  </w:r>
                </w:p>
              </w:tc>
            </w:tr>
          </w:tbl>
          <w:p w14:paraId="2DC04540">
            <w:pPr>
              <w:pStyle w:val="118"/>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default" w:ascii="Times New Roman" w:hAnsi="Times New Roman" w:cs="Times New Roman"/>
                <w:b w:val="0"/>
                <w:bCs/>
                <w:color w:val="000000" w:themeColor="text1"/>
                <w:sz w:val="24"/>
                <w:szCs w:val="24"/>
                <w:highlight w:val="none"/>
                <w:u w:val="none"/>
                <w14:textFill>
                  <w14:solidFill>
                    <w14:schemeClr w14:val="tx1"/>
                  </w14:solidFill>
                </w14:textFill>
              </w:rPr>
            </w:pPr>
            <w:r>
              <w:rPr>
                <w:rFonts w:hint="default" w:ascii="Times New Roman" w:hAnsi="Times New Roman" w:cs="Times New Roman"/>
                <w:b w:val="0"/>
                <w:bCs/>
                <w:color w:val="000000" w:themeColor="text1"/>
                <w:sz w:val="24"/>
                <w:szCs w:val="24"/>
                <w:highlight w:val="none"/>
                <w:u w:val="none"/>
                <w14:textFill>
                  <w14:solidFill>
                    <w14:schemeClr w14:val="tx1"/>
                  </w14:solidFill>
                </w14:textFill>
              </w:rPr>
              <w:t>综上所述，</w:t>
            </w:r>
            <w:r>
              <w:rPr>
                <w:rFonts w:hint="eastAsia" w:ascii="Times New Roman" w:hAnsi="Times New Roman" w:cs="Times New Roman"/>
                <w:b w:val="0"/>
                <w:bCs/>
                <w:color w:val="000000" w:themeColor="text1"/>
                <w:sz w:val="24"/>
                <w:szCs w:val="24"/>
                <w:highlight w:val="none"/>
                <w:u w:val="none"/>
                <w:lang w:eastAsia="zh-CN"/>
                <w14:textFill>
                  <w14:solidFill>
                    <w14:schemeClr w14:val="tx1"/>
                  </w14:solidFill>
                </w14:textFill>
              </w:rPr>
              <w:t>本项目</w:t>
            </w:r>
            <w:r>
              <w:rPr>
                <w:rFonts w:hint="eastAsia" w:ascii="Times New Roman" w:hAnsi="Times New Roman" w:cs="Times New Roman"/>
                <w:b w:val="0"/>
                <w:bCs/>
                <w:color w:val="000000" w:themeColor="text1"/>
                <w:sz w:val="24"/>
                <w:szCs w:val="24"/>
                <w:highlight w:val="none"/>
                <w:u w:val="none"/>
                <w:lang w:val="en-US" w:eastAsia="zh-CN"/>
                <w14:textFill>
                  <w14:solidFill>
                    <w14:schemeClr w14:val="tx1"/>
                  </w14:solidFill>
                </w14:textFill>
              </w:rPr>
              <w:t>的建设符合</w:t>
            </w:r>
            <w:r>
              <w:rPr>
                <w:rFonts w:hint="default" w:ascii="Times New Roman" w:hAnsi="Times New Roman" w:cs="Times New Roman"/>
                <w:b w:val="0"/>
                <w:bCs/>
                <w:color w:val="000000" w:themeColor="text1"/>
                <w:sz w:val="24"/>
                <w:szCs w:val="24"/>
                <w:highlight w:val="none"/>
                <w:u w:val="none"/>
                <w14:textFill>
                  <w14:solidFill>
                    <w14:schemeClr w14:val="tx1"/>
                  </w14:solidFill>
                </w14:textFill>
              </w:rPr>
              <w:t>《</w:t>
            </w:r>
            <w:r>
              <w:rPr>
                <w:rFonts w:hint="eastAsia" w:ascii="Times New Roman" w:hAnsi="Times New Roman" w:cs="Times New Roman"/>
                <w:b w:val="0"/>
                <w:bCs/>
                <w:color w:val="000000" w:themeColor="text1"/>
                <w:sz w:val="24"/>
                <w:szCs w:val="24"/>
                <w:highlight w:val="none"/>
                <w:u w:val="none"/>
                <w:lang w:val="en-US" w:eastAsia="zh-CN"/>
                <w14:textFill>
                  <w14:solidFill>
                    <w14:schemeClr w14:val="tx1"/>
                  </w14:solidFill>
                </w14:textFill>
              </w:rPr>
              <w:t>三门峡</w:t>
            </w:r>
            <w:r>
              <w:rPr>
                <w:rFonts w:hint="default" w:ascii="Times New Roman" w:hAnsi="Times New Roman" w:cs="Times New Roman"/>
                <w:b w:val="0"/>
                <w:bCs/>
                <w:color w:val="000000" w:themeColor="text1"/>
                <w:sz w:val="24"/>
                <w:szCs w:val="24"/>
                <w:highlight w:val="none"/>
                <w:u w:val="none"/>
                <w14:textFill>
                  <w14:solidFill>
                    <w14:schemeClr w14:val="tx1"/>
                  </w14:solidFill>
                </w14:textFill>
              </w:rPr>
              <w:t>人民政府关于实</w:t>
            </w:r>
            <w:r>
              <w:rPr>
                <w:rFonts w:hint="eastAsia" w:ascii="宋体" w:hAnsi="宋体" w:eastAsia="宋体" w:cs="宋体"/>
                <w:b w:val="0"/>
                <w:bCs/>
                <w:color w:val="000000" w:themeColor="text1"/>
                <w:sz w:val="24"/>
                <w:szCs w:val="24"/>
                <w:highlight w:val="none"/>
                <w:u w:val="none"/>
                <w14:textFill>
                  <w14:solidFill>
                    <w14:schemeClr w14:val="tx1"/>
                  </w14:solidFill>
                </w14:textFill>
              </w:rPr>
              <w:t>施“三线一单”</w:t>
            </w:r>
            <w:r>
              <w:rPr>
                <w:rFonts w:hint="default" w:ascii="Times New Roman" w:hAnsi="Times New Roman" w:cs="Times New Roman"/>
                <w:b w:val="0"/>
                <w:bCs/>
                <w:color w:val="000000" w:themeColor="text1"/>
                <w:sz w:val="24"/>
                <w:szCs w:val="24"/>
                <w:highlight w:val="none"/>
                <w:u w:val="none"/>
                <w14:textFill>
                  <w14:solidFill>
                    <w14:schemeClr w14:val="tx1"/>
                  </w14:solidFill>
                </w14:textFill>
              </w:rPr>
              <w:t>生态环境分区管控的意见（</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三</w:t>
            </w:r>
            <w:r>
              <w:rPr>
                <w:rFonts w:hint="default" w:ascii="Times New Roman" w:hAnsi="Times New Roman" w:cs="Times New Roman"/>
                <w:b w:val="0"/>
                <w:bCs/>
                <w:color w:val="000000" w:themeColor="text1"/>
                <w:sz w:val="24"/>
                <w:szCs w:val="24"/>
                <w:highlight w:val="none"/>
                <w:u w:val="none"/>
                <w14:textFill>
                  <w14:solidFill>
                    <w14:schemeClr w14:val="tx1"/>
                  </w14:solidFill>
                </w14:textFill>
              </w:rPr>
              <w:t>政[202</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1</w:t>
            </w:r>
            <w:r>
              <w:rPr>
                <w:rFonts w:hint="default" w:ascii="Times New Roman" w:hAnsi="Times New Roman" w:cs="Times New Roman"/>
                <w:b w:val="0"/>
                <w:bCs/>
                <w:color w:val="000000" w:themeColor="text1"/>
                <w:sz w:val="24"/>
                <w:szCs w:val="24"/>
                <w:highlight w:val="none"/>
                <w:u w:val="none"/>
                <w14:textFill>
                  <w14:solidFill>
                    <w14:schemeClr w14:val="tx1"/>
                  </w14:solidFill>
                </w14:textFill>
              </w:rPr>
              <w:t>]</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8</w:t>
            </w:r>
            <w:r>
              <w:rPr>
                <w:rFonts w:hint="default" w:ascii="Times New Roman" w:hAnsi="Times New Roman" w:cs="Times New Roman"/>
                <w:b w:val="0"/>
                <w:bCs/>
                <w:color w:val="000000" w:themeColor="text1"/>
                <w:sz w:val="24"/>
                <w:szCs w:val="24"/>
                <w:highlight w:val="none"/>
                <w:u w:val="none"/>
                <w14:textFill>
                  <w14:solidFill>
                    <w14:schemeClr w14:val="tx1"/>
                  </w14:solidFill>
                </w14:textFill>
              </w:rPr>
              <w:t>号）》</w:t>
            </w:r>
            <w:r>
              <w:rPr>
                <w:rFonts w:hint="default" w:ascii="Times New Roman" w:hAnsi="Times New Roman" w:cs="Times New Roman"/>
                <w:b w:val="0"/>
                <w:bCs/>
                <w:color w:val="000000" w:themeColor="text1"/>
                <w:sz w:val="24"/>
                <w:szCs w:val="24"/>
                <w:highlight w:val="none"/>
                <w:u w:val="none"/>
                <w:lang w:val="en-US" w:eastAsia="zh-CN"/>
                <w14:textFill>
                  <w14:solidFill>
                    <w14:schemeClr w14:val="tx1"/>
                  </w14:solidFill>
                </w14:textFill>
              </w:rPr>
              <w:t>的要求</w:t>
            </w:r>
            <w:r>
              <w:rPr>
                <w:rFonts w:hint="default" w:ascii="Times New Roman" w:hAnsi="Times New Roman" w:cs="Times New Roman"/>
                <w:b w:val="0"/>
                <w:bCs/>
                <w:color w:val="000000" w:themeColor="text1"/>
                <w:sz w:val="24"/>
                <w:szCs w:val="24"/>
                <w:highlight w:val="none"/>
                <w:u w:val="none"/>
                <w14:textFill>
                  <w14:solidFill>
                    <w14:schemeClr w14:val="tx1"/>
                  </w14:solidFill>
                </w14:textFill>
              </w:rPr>
              <w:t>。</w:t>
            </w:r>
          </w:p>
          <w:p w14:paraId="7947B7DF">
            <w:pPr>
              <w:pStyle w:val="118"/>
              <w:keepNext w:val="0"/>
              <w:keepLines w:val="0"/>
              <w:pageBreakBefore w:val="0"/>
              <w:widowControl w:val="0"/>
              <w:kinsoku/>
              <w:wordWrap/>
              <w:overflowPunct/>
              <w:topLinePunct w:val="0"/>
              <w:autoSpaceDE/>
              <w:autoSpaceDN/>
              <w:bidi w:val="0"/>
              <w:spacing w:line="520" w:lineRule="exact"/>
              <w:ind w:firstLine="0" w:firstLineChars="0"/>
              <w:rPr>
                <w:rFonts w:hint="default" w:ascii="Times New Roman" w:hAnsi="Times New Roman" w:eastAsia="黑体" w:cs="Times New Roman"/>
                <w:b w:val="0"/>
                <w:bCs/>
                <w:color w:val="000000" w:themeColor="text1"/>
                <w:sz w:val="28"/>
                <w:szCs w:val="28"/>
                <w:highlight w:val="none"/>
                <w:u w:val="no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8"/>
                <w:szCs w:val="28"/>
                <w:highlight w:val="none"/>
                <w:u w:val="none"/>
                <w:lang w:val="en-US" w:eastAsia="zh-CN"/>
                <w14:textFill>
                  <w14:solidFill>
                    <w14:schemeClr w14:val="tx1"/>
                  </w14:solidFill>
                </w14:textFill>
              </w:rPr>
              <w:t>2、用地相符性分析</w:t>
            </w:r>
          </w:p>
          <w:p w14:paraId="3FDC1009">
            <w:pPr>
              <w:keepNext w:val="0"/>
              <w:keepLines w:val="0"/>
              <w:pageBreakBefore w:val="0"/>
              <w:widowControl w:val="0"/>
              <w:kinsoku/>
              <w:wordWrap/>
              <w:overflowPunct/>
              <w:topLinePunct w:val="0"/>
              <w:autoSpaceDE/>
              <w:autoSpaceDN/>
              <w:bidi w:val="0"/>
              <w:spacing w:line="520" w:lineRule="exact"/>
              <w:ind w:firstLine="480" w:firstLineChars="20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本项目位于</w:t>
            </w:r>
            <w:r>
              <w:rPr>
                <w:rFonts w:hint="eastAsia" w:ascii="Times New Roman" w:hAnsi="Times New Roman" w:cs="Times New Roman"/>
                <w:bCs/>
                <w:color w:val="000000" w:themeColor="text1"/>
                <w:sz w:val="24"/>
                <w:szCs w:val="24"/>
                <w:lang w:val="en-US" w:eastAsia="zh-CN"/>
                <w14:textFill>
                  <w14:solidFill>
                    <w14:schemeClr w14:val="tx1"/>
                  </w14:solidFill>
                </w14:textFill>
              </w:rPr>
              <w:t>渑池县城关镇孟岭村韶州路东段、县中医院东侧感染病房楼院内</w:t>
            </w:r>
            <w:r>
              <w:rPr>
                <w:rFonts w:hint="default" w:ascii="Times New Roman" w:hAnsi="Times New Roman" w:cs="Times New Roman"/>
                <w:bCs/>
                <w:color w:val="000000" w:themeColor="text1"/>
                <w:sz w:val="24"/>
                <w:szCs w:val="24"/>
                <w14:textFill>
                  <w14:solidFill>
                    <w14:schemeClr w14:val="tx1"/>
                  </w14:solidFill>
                </w14:textFill>
              </w:rPr>
              <w:t>，占地</w:t>
            </w:r>
            <w:r>
              <w:rPr>
                <w:rFonts w:hint="eastAsia" w:ascii="Times New Roman" w:hAnsi="Times New Roman" w:cs="Times New Roman"/>
                <w:bCs/>
                <w:color w:val="000000" w:themeColor="text1"/>
                <w:sz w:val="24"/>
                <w:szCs w:val="24"/>
                <w:lang w:eastAsia="zh-CN"/>
                <w14:textFill>
                  <w14:solidFill>
                    <w14:schemeClr w14:val="tx1"/>
                  </w14:solidFill>
                </w14:textFill>
              </w:rPr>
              <w:t>面积</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11813m</w:t>
            </w:r>
            <w:r>
              <w:rPr>
                <w:rFonts w:hint="eastAsia" w:ascii="Times New Roman" w:hAnsi="Times New Roman" w:cs="Times New Roman"/>
                <w:bCs/>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。根据《三门峡市自然资源和规划局关于渑池县</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2020年第一批城乡建设用地增减挂钩项目实施规划的批复</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》（三自然资</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[2020]184号</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），本项目用地为建设用地，详见附件</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Cs/>
                <w:color w:val="000000" w:themeColor="text1"/>
                <w:sz w:val="24"/>
                <w:szCs w:val="24"/>
                <w:highlight w:val="none"/>
                <w14:textFill>
                  <w14:solidFill>
                    <w14:schemeClr w14:val="tx1"/>
                  </w14:solidFill>
                </w14:textFill>
              </w:rPr>
              <w:t>。</w:t>
            </w:r>
          </w:p>
          <w:p w14:paraId="369103C9">
            <w:pPr>
              <w:pStyle w:val="118"/>
              <w:keepNext w:val="0"/>
              <w:keepLines w:val="0"/>
              <w:pageBreakBefore w:val="0"/>
              <w:widowControl w:val="0"/>
              <w:kinsoku/>
              <w:wordWrap/>
              <w:overflowPunct/>
              <w:topLinePunct w:val="0"/>
              <w:autoSpaceDE/>
              <w:autoSpaceDN/>
              <w:bidi w:val="0"/>
              <w:spacing w:line="520" w:lineRule="exact"/>
              <w:ind w:firstLine="0" w:firstLineChars="0"/>
              <w:rPr>
                <w:rFonts w:hint="default" w:ascii="Times New Roman" w:hAnsi="Times New Roman" w:eastAsia="黑体" w:cs="Times New Roman"/>
                <w:b w:val="0"/>
                <w:bCs/>
                <w:color w:val="000000" w:themeColor="text1"/>
                <w:sz w:val="28"/>
                <w:szCs w:val="28"/>
                <w:highlight w:val="none"/>
                <w:u w:val="no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8"/>
                <w:szCs w:val="28"/>
                <w:highlight w:val="none"/>
                <w:u w:val="none"/>
                <w:lang w:val="en-US" w:eastAsia="zh-CN"/>
                <w14:textFill>
                  <w14:solidFill>
                    <w14:schemeClr w14:val="tx1"/>
                  </w14:solidFill>
                </w14:textFill>
              </w:rPr>
              <w:t>3、产业政策相符性分析</w:t>
            </w:r>
          </w:p>
          <w:p w14:paraId="38C6D4F6">
            <w:pPr>
              <w:pStyle w:val="118"/>
              <w:keepNext w:val="0"/>
              <w:keepLines w:val="0"/>
              <w:pageBreakBefore w:val="0"/>
              <w:widowControl w:val="0"/>
              <w:kinsoku/>
              <w:wordWrap/>
              <w:overflowPunct/>
              <w:topLinePunct w:val="0"/>
              <w:autoSpaceDE/>
              <w:autoSpaceDN/>
              <w:bidi w:val="0"/>
              <w:spacing w:line="520" w:lineRule="exact"/>
              <w:ind w:firstLine="480" w:firstLineChars="200"/>
              <w:textAlignment w:val="auto"/>
              <w:outlineLvl w:val="9"/>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bCs/>
                <w:color w:val="000000" w:themeColor="text1"/>
                <w:highlight w:val="none"/>
                <w14:textFill>
                  <w14:solidFill>
                    <w14:schemeClr w14:val="tx1"/>
                  </w14:solidFill>
                </w14:textFill>
              </w:rPr>
              <w:t>对照《产业结构调整指导目录（2019 年本）》（中华人民共和国国家发展和改革委员会令第29号）及《国家发展改革委关于修改&lt;产业结构调整指导目录（2019年本）&gt;的决定》（中华人民共和国国家发展和改革委员会令第49号）</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本项目为精神卫生和心理健康防治中心项目，属于第一类 鼓励类 “三十七、卫生健康6、传染病、儿童、精神卫生专科医院和康复医院(中心)、护理院(中心、站)、安宁疗护中心、全科医疗设施建设与服务 7、心理咨询服务”；</w:t>
            </w:r>
            <w:r>
              <w:rPr>
                <w:rFonts w:hint="default" w:ascii="Times New Roman" w:hAnsi="Times New Roman" w:cs="Times New Roman"/>
                <w:color w:val="000000" w:themeColor="text1"/>
                <w:highlight w:val="none"/>
                <w14:textFill>
                  <w14:solidFill>
                    <w14:schemeClr w14:val="tx1"/>
                  </w14:solidFill>
                </w14:textFill>
              </w:rPr>
              <w:t>项目于</w:t>
            </w:r>
            <w:r>
              <w:rPr>
                <w:rFonts w:hint="eastAsia" w:ascii="Times New Roman" w:hAnsi="Times New Roman" w:cs="Times New Roman"/>
                <w:color w:val="000000" w:themeColor="text1"/>
                <w:highlight w:val="none"/>
                <w:lang w:val="en-US" w:eastAsia="zh-CN"/>
                <w14:textFill>
                  <w14:solidFill>
                    <w14:schemeClr w14:val="tx1"/>
                  </w14:solidFill>
                </w14:textFill>
              </w:rPr>
              <w:t>2020</w:t>
            </w:r>
            <w:r>
              <w:rPr>
                <w:rFonts w:hint="default" w:ascii="Times New Roman" w:hAnsi="Times New Roman" w:cs="Times New Roman"/>
                <w:color w:val="000000" w:themeColor="text1"/>
                <w:highlight w:val="none"/>
                <w14:textFill>
                  <w14:solidFill>
                    <w14:schemeClr w14:val="tx1"/>
                  </w14:solidFill>
                </w14:textFill>
              </w:rPr>
              <w:t>年</w:t>
            </w:r>
            <w:r>
              <w:rPr>
                <w:rFonts w:hint="eastAsia" w:ascii="Times New Roman" w:hAnsi="Times New Roman" w:cs="Times New Roman"/>
                <w:color w:val="000000" w:themeColor="text1"/>
                <w:highlight w:val="none"/>
                <w:lang w:val="en-US" w:eastAsia="zh-CN"/>
                <w14:textFill>
                  <w14:solidFill>
                    <w14:schemeClr w14:val="tx1"/>
                  </w14:solidFill>
                </w14:textFill>
              </w:rPr>
              <w:t>12</w:t>
            </w:r>
            <w:r>
              <w:rPr>
                <w:rFonts w:hint="default" w:ascii="Times New Roman" w:hAnsi="Times New Roman" w:cs="Times New Roman"/>
                <w:color w:val="000000" w:themeColor="text1"/>
                <w:highlight w:val="none"/>
                <w14:textFill>
                  <w14:solidFill>
                    <w14:schemeClr w14:val="tx1"/>
                  </w14:solidFill>
                </w14:textFill>
              </w:rPr>
              <w:t>月</w:t>
            </w:r>
            <w:r>
              <w:rPr>
                <w:rFonts w:hint="eastAsia" w:ascii="Times New Roman" w:hAnsi="Times New Roman" w:cs="Times New Roman"/>
                <w:color w:val="000000" w:themeColor="text1"/>
                <w:highlight w:val="none"/>
                <w:lang w:val="en-US" w:eastAsia="zh-CN"/>
                <w14:textFill>
                  <w14:solidFill>
                    <w14:schemeClr w14:val="tx1"/>
                  </w14:solidFill>
                </w14:textFill>
              </w:rPr>
              <w:t>9</w:t>
            </w:r>
            <w:r>
              <w:rPr>
                <w:rFonts w:hint="default" w:ascii="Times New Roman" w:hAnsi="Times New Roman" w:cs="Times New Roman"/>
                <w:color w:val="000000" w:themeColor="text1"/>
                <w:highlight w:val="none"/>
                <w14:textFill>
                  <w14:solidFill>
                    <w14:schemeClr w14:val="tx1"/>
                  </w14:solidFill>
                </w14:textFill>
              </w:rPr>
              <w:t>日</w:t>
            </w:r>
            <w:r>
              <w:rPr>
                <w:rFonts w:hint="eastAsia" w:ascii="Times New Roman" w:hAnsi="Times New Roman" w:cs="Times New Roman"/>
                <w:color w:val="000000" w:themeColor="text1"/>
                <w:highlight w:val="none"/>
                <w:lang w:val="en-US" w:eastAsia="zh-CN"/>
                <w14:textFill>
                  <w14:solidFill>
                    <w14:schemeClr w14:val="tx1"/>
                  </w14:solidFill>
                </w14:textFill>
              </w:rPr>
              <w:t>取得</w:t>
            </w:r>
            <w:r>
              <w:rPr>
                <w:rFonts w:hint="default" w:ascii="Times New Roman" w:hAnsi="Times New Roman" w:cs="Times New Roman"/>
                <w:color w:val="000000" w:themeColor="text1"/>
                <w:highlight w:val="none"/>
                <w14:textFill>
                  <w14:solidFill>
                    <w14:schemeClr w14:val="tx1"/>
                  </w14:solidFill>
                </w14:textFill>
              </w:rPr>
              <w:t>渑池县发展和改革委员会</w:t>
            </w:r>
            <w:r>
              <w:rPr>
                <w:rFonts w:hint="eastAsia" w:ascii="Times New Roman" w:hAnsi="Times New Roman" w:cs="Times New Roman"/>
                <w:bCs/>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关于渑池县中医院精神卫生和心理健康防治中心项目可行性研究报告的批复</w:t>
            </w:r>
            <w:r>
              <w:rPr>
                <w:rFonts w:hint="eastAsia" w:ascii="Times New Roman" w:hAnsi="Times New Roman" w:cs="Times New Roman"/>
                <w:bCs/>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eastAsia="zh-CN"/>
                <w14:textFill>
                  <w14:solidFill>
                    <w14:schemeClr w14:val="tx1"/>
                  </w14:solidFill>
                </w14:textFill>
              </w:rPr>
              <w:t>批复文号“</w:t>
            </w:r>
            <w:r>
              <w:rPr>
                <w:rFonts w:hint="eastAsia" w:ascii="Times New Roman" w:hAnsi="Times New Roman" w:cs="Times New Roman"/>
                <w:color w:val="000000" w:themeColor="text1"/>
                <w:highlight w:val="none"/>
                <w:lang w:val="en-US" w:eastAsia="zh-CN"/>
                <w14:textFill>
                  <w14:solidFill>
                    <w14:schemeClr w14:val="tx1"/>
                  </w14:solidFill>
                </w14:textFill>
              </w:rPr>
              <w:t>渑发改社会[2020]239号</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bCs/>
                <w:color w:val="000000" w:themeColor="text1"/>
                <w:highlight w:val="none"/>
                <w14:textFill>
                  <w14:solidFill>
                    <w14:schemeClr w14:val="tx1"/>
                  </w14:solidFill>
                </w14:textFill>
              </w:rPr>
              <w:t>（详见附件2）</w:t>
            </w:r>
            <w:r>
              <w:rPr>
                <w:rFonts w:hint="eastAsia" w:ascii="Times New Roman" w:hAnsi="Times New Roman" w:cs="Times New Roman"/>
                <w:bCs/>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项目代码：</w:t>
            </w:r>
            <w:r>
              <w:rPr>
                <w:rFonts w:hint="eastAsia" w:ascii="Times New Roman" w:hAnsi="Times New Roman" w:cs="Times New Roman"/>
                <w:color w:val="000000" w:themeColor="text1"/>
                <w:highlight w:val="none"/>
                <w:lang w:eastAsia="zh-CN"/>
                <w14:textFill>
                  <w14:solidFill>
                    <w14:schemeClr w14:val="tx1"/>
                  </w14:solidFill>
                </w14:textFill>
              </w:rPr>
              <w:t>渑发改社会[2020]239号</w:t>
            </w:r>
            <w:r>
              <w:rPr>
                <w:rFonts w:hint="default" w:ascii="Times New Roman" w:hAnsi="Times New Roman" w:cs="Times New Roman"/>
                <w:bCs/>
                <w:color w:val="000000" w:themeColor="text1"/>
                <w:highlight w:val="none"/>
                <w14:textFill>
                  <w14:solidFill>
                    <w14:schemeClr w14:val="tx1"/>
                  </w14:solidFill>
                </w14:textFill>
              </w:rPr>
              <w:t>。因此，项目符合国家产业政策。</w:t>
            </w:r>
          </w:p>
          <w:p w14:paraId="0D1DDCAA">
            <w:pPr>
              <w:pStyle w:val="118"/>
              <w:keepNext w:val="0"/>
              <w:keepLines w:val="0"/>
              <w:pageBreakBefore w:val="0"/>
              <w:widowControl w:val="0"/>
              <w:kinsoku/>
              <w:wordWrap/>
              <w:overflowPunct/>
              <w:topLinePunct w:val="0"/>
              <w:autoSpaceDE/>
              <w:autoSpaceDN/>
              <w:bidi w:val="0"/>
              <w:spacing w:line="520" w:lineRule="exact"/>
              <w:ind w:firstLine="480" w:firstLineChars="200"/>
              <w:textAlignment w:val="auto"/>
              <w:outlineLvl w:val="9"/>
              <w:rPr>
                <w:rFonts w:hint="default" w:ascii="Times New Roman" w:hAnsi="Times New Roman" w:cs="Times New Roman"/>
                <w:bCs/>
                <w:color w:val="000000" w:themeColor="text1"/>
                <w:highlight w:val="none"/>
                <w14:textFill>
                  <w14:solidFill>
                    <w14:schemeClr w14:val="tx1"/>
                  </w14:solidFill>
                </w14:textFill>
              </w:rPr>
            </w:pPr>
          </w:p>
          <w:p w14:paraId="03838C28">
            <w:pPr>
              <w:pStyle w:val="118"/>
              <w:keepNext w:val="0"/>
              <w:keepLines w:val="0"/>
              <w:pageBreakBefore w:val="0"/>
              <w:widowControl w:val="0"/>
              <w:numPr>
                <w:ilvl w:val="0"/>
                <w:numId w:val="2"/>
              </w:numPr>
              <w:kinsoku/>
              <w:wordWrap/>
              <w:overflowPunct/>
              <w:topLinePunct w:val="0"/>
              <w:autoSpaceDE/>
              <w:autoSpaceDN/>
              <w:bidi w:val="0"/>
              <w:spacing w:line="520" w:lineRule="exact"/>
              <w:ind w:firstLine="0" w:firstLineChars="0"/>
              <w:rPr>
                <w:rFonts w:hint="eastAsia" w:ascii="Times New Roman" w:hAnsi="Times New Roman" w:eastAsia="黑体" w:cs="Times New Roman"/>
                <w:b w:val="0"/>
                <w:bCs/>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黑体" w:cs="Times New Roman"/>
                <w:b w:val="0"/>
                <w:bCs/>
                <w:color w:val="000000" w:themeColor="text1"/>
                <w:sz w:val="28"/>
                <w:szCs w:val="28"/>
                <w:highlight w:val="none"/>
                <w:u w:val="none"/>
                <w:lang w:val="en-US" w:eastAsia="zh-CN"/>
                <w14:textFill>
                  <w14:solidFill>
                    <w14:schemeClr w14:val="tx1"/>
                  </w14:solidFill>
                </w14:textFill>
              </w:rPr>
              <w:t>规划相符性分析</w:t>
            </w:r>
          </w:p>
          <w:p w14:paraId="2F2132E1">
            <w:pPr>
              <w:pStyle w:val="118"/>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outlineLvl w:val="9"/>
              <w:rPr>
                <w:rFonts w:hint="default" w:ascii="Times New Roman" w:hAnsi="Times New Roman" w:eastAsia="宋体" w:cs="Times New Roman"/>
                <w:b/>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bCs w:val="0"/>
                <w:color w:val="000000" w:themeColor="text1"/>
                <w:highlight w:val="none"/>
                <w:u w:val="none"/>
                <w:lang w:val="en-US" w:eastAsia="zh-CN"/>
                <w14:textFill>
                  <w14:solidFill>
                    <w14:schemeClr w14:val="tx1"/>
                  </w14:solidFill>
                </w14:textFill>
              </w:rPr>
              <w:t>4.1</w:t>
            </w:r>
            <w:r>
              <w:rPr>
                <w:rFonts w:hint="default" w:ascii="Times New Roman" w:hAnsi="Times New Roman" w:cs="Times New Roman"/>
                <w:b/>
                <w:bCs w:val="0"/>
                <w:color w:val="000000" w:themeColor="text1"/>
                <w:highlight w:val="none"/>
                <w:u w:val="none"/>
                <w:lang w:val="en-US" w:eastAsia="zh-CN"/>
                <w14:textFill>
                  <w14:solidFill>
                    <w14:schemeClr w14:val="tx1"/>
                  </w14:solidFill>
                </w14:textFill>
              </w:rPr>
              <w:t>与</w:t>
            </w:r>
            <w:r>
              <w:rPr>
                <w:rFonts w:hint="default" w:ascii="Times New Roman" w:hAnsi="Times New Roman" w:cs="Times New Roman"/>
                <w:b/>
                <w:bCs w:val="0"/>
                <w:color w:val="000000" w:themeColor="text1"/>
                <w:highlight w:val="none"/>
                <w:u w:val="none"/>
                <w14:textFill>
                  <w14:solidFill>
                    <w14:schemeClr w14:val="tx1"/>
                  </w14:solidFill>
                </w14:textFill>
              </w:rPr>
              <w:t>《渑池县城市总体规划》</w:t>
            </w:r>
            <w:r>
              <w:rPr>
                <w:rFonts w:hint="eastAsia" w:ascii="Times New Roman" w:hAnsi="Times New Roman" w:cs="Times New Roman"/>
                <w:b/>
                <w:bCs w:val="0"/>
                <w:color w:val="000000" w:themeColor="text1"/>
                <w:highlight w:val="none"/>
                <w:u w:val="none"/>
                <w:lang w:eastAsia="zh-CN"/>
                <w14:textFill>
                  <w14:solidFill>
                    <w14:schemeClr w14:val="tx1"/>
                  </w14:solidFill>
                </w14:textFill>
              </w:rPr>
              <w:t>（</w:t>
            </w:r>
            <w:r>
              <w:rPr>
                <w:rFonts w:hint="default" w:ascii="Times New Roman" w:hAnsi="Times New Roman" w:cs="Times New Roman"/>
                <w:b/>
                <w:bCs w:val="0"/>
                <w:color w:val="000000" w:themeColor="text1"/>
                <w:highlight w:val="none"/>
                <w:u w:val="none"/>
                <w14:textFill>
                  <w14:solidFill>
                    <w14:schemeClr w14:val="tx1"/>
                  </w14:solidFill>
                </w14:textFill>
              </w:rPr>
              <w:t>2006-2020</w:t>
            </w:r>
            <w:r>
              <w:rPr>
                <w:rFonts w:hint="eastAsia" w:ascii="Times New Roman" w:hAnsi="Times New Roman" w:cs="Times New Roman"/>
                <w:b/>
                <w:bCs w:val="0"/>
                <w:color w:val="000000" w:themeColor="text1"/>
                <w:highlight w:val="none"/>
                <w:u w:val="none"/>
                <w:lang w:eastAsia="zh-CN"/>
                <w14:textFill>
                  <w14:solidFill>
                    <w14:schemeClr w14:val="tx1"/>
                  </w14:solidFill>
                </w14:textFill>
              </w:rPr>
              <w:t>）</w:t>
            </w:r>
            <w:r>
              <w:rPr>
                <w:rFonts w:hint="default" w:ascii="Times New Roman" w:hAnsi="Times New Roman" w:cs="Times New Roman"/>
                <w:b/>
                <w:bCs w:val="0"/>
                <w:color w:val="000000" w:themeColor="text1"/>
                <w:highlight w:val="none"/>
                <w:u w:val="none"/>
                <w:lang w:val="en-US" w:eastAsia="zh-CN"/>
                <w14:textFill>
                  <w14:solidFill>
                    <w14:schemeClr w14:val="tx1"/>
                  </w14:solidFill>
                </w14:textFill>
              </w:rPr>
              <w:t>相符性分析</w:t>
            </w:r>
          </w:p>
          <w:p w14:paraId="363D3AD5">
            <w:pPr>
              <w:pStyle w:val="118"/>
              <w:keepNext w:val="0"/>
              <w:keepLines w:val="0"/>
              <w:pageBreakBefore w:val="0"/>
              <w:widowControl w:val="0"/>
              <w:kinsoku/>
              <w:wordWrap/>
              <w:overflowPunct/>
              <w:topLinePunct w:val="0"/>
              <w:autoSpaceDE/>
              <w:autoSpaceDN/>
              <w:bidi w:val="0"/>
              <w:adjustRightInd/>
              <w:snapToGrid/>
              <w:spacing w:line="520" w:lineRule="exact"/>
              <w:ind w:firstLine="480"/>
              <w:textAlignment w:val="auto"/>
              <w:outlineLvl w:val="9"/>
              <w:rPr>
                <w:rFonts w:hint="default" w:ascii="Times New Roman" w:hAnsi="Times New Roman" w:cs="Times New Roman"/>
                <w:b w:val="0"/>
                <w:bCs/>
                <w:color w:val="000000" w:themeColor="text1"/>
                <w:highlight w:val="none"/>
                <w:u w:val="none"/>
                <w14:textFill>
                  <w14:solidFill>
                    <w14:schemeClr w14:val="tx1"/>
                  </w14:solidFill>
                </w14:textFill>
              </w:rPr>
            </w:pPr>
            <w:r>
              <w:rPr>
                <w:rFonts w:hint="default" w:ascii="Times New Roman" w:hAnsi="Times New Roman" w:cs="Times New Roman"/>
                <w:b w:val="0"/>
                <w:bCs/>
                <w:color w:val="000000" w:themeColor="text1"/>
                <w:highlight w:val="none"/>
                <w:u w:val="none"/>
                <w14:textFill>
                  <w14:solidFill>
                    <w14:schemeClr w14:val="tx1"/>
                  </w14:solidFill>
                </w14:textFill>
              </w:rPr>
              <w:t>根据《渑池县城市总体规划》</w:t>
            </w:r>
            <w:r>
              <w:rPr>
                <w:rFonts w:hint="eastAsia" w:ascii="Times New Roman" w:hAnsi="Times New Roman" w:cs="Times New Roman"/>
                <w:b w:val="0"/>
                <w:bCs/>
                <w:color w:val="000000" w:themeColor="text1"/>
                <w:highlight w:val="none"/>
                <w:u w:val="none"/>
                <w:lang w:eastAsia="zh-CN"/>
                <w14:textFill>
                  <w14:solidFill>
                    <w14:schemeClr w14:val="tx1"/>
                  </w14:solidFill>
                </w14:textFill>
              </w:rPr>
              <w:t>（</w:t>
            </w:r>
            <w:r>
              <w:rPr>
                <w:rFonts w:hint="default" w:ascii="Times New Roman" w:hAnsi="Times New Roman" w:cs="Times New Roman"/>
                <w:b w:val="0"/>
                <w:bCs/>
                <w:color w:val="000000" w:themeColor="text1"/>
                <w:highlight w:val="none"/>
                <w:u w:val="none"/>
                <w14:textFill>
                  <w14:solidFill>
                    <w14:schemeClr w14:val="tx1"/>
                  </w14:solidFill>
                </w14:textFill>
              </w:rPr>
              <w:t>2006-2020</w:t>
            </w:r>
            <w:r>
              <w:rPr>
                <w:rFonts w:hint="eastAsia" w:ascii="Times New Roman" w:hAnsi="Times New Roman" w:cs="Times New Roman"/>
                <w:b w:val="0"/>
                <w:bCs/>
                <w:color w:val="000000" w:themeColor="text1"/>
                <w:highlight w:val="none"/>
                <w:u w:val="none"/>
                <w:lang w:eastAsia="zh-CN"/>
                <w14:textFill>
                  <w14:solidFill>
                    <w14:schemeClr w14:val="tx1"/>
                  </w14:solidFill>
                </w14:textFill>
              </w:rPr>
              <w:t>）</w:t>
            </w:r>
            <w:r>
              <w:rPr>
                <w:rFonts w:hint="default" w:ascii="Times New Roman" w:hAnsi="Times New Roman" w:cs="Times New Roman"/>
                <w:b w:val="0"/>
                <w:bCs/>
                <w:color w:val="000000" w:themeColor="text1"/>
                <w:highlight w:val="none"/>
                <w:u w:val="none"/>
                <w14:textFill>
                  <w14:solidFill>
                    <w14:schemeClr w14:val="tx1"/>
                  </w14:solidFill>
                </w14:textFill>
              </w:rPr>
              <w:t>：渑池县城市总体规划范围：东到渑池县县界，西以涧河支流为界，南到县道005，北以仰韶乡（原）乡界为界，含县城城区（城关镇）、仰韶乡（原）、果园乡行政辖区范围和陈村乡部分行政辖区范围，规划面积239.4km</w:t>
            </w:r>
            <w:r>
              <w:rPr>
                <w:rFonts w:hint="default" w:ascii="Times New Roman" w:hAnsi="Times New Roman" w:cs="Times New Roman"/>
                <w:b w:val="0"/>
                <w:bCs/>
                <w:color w:val="000000" w:themeColor="text1"/>
                <w:highlight w:val="none"/>
                <w:u w:val="none"/>
                <w:vertAlign w:val="superscript"/>
                <w14:textFill>
                  <w14:solidFill>
                    <w14:schemeClr w14:val="tx1"/>
                  </w14:solidFill>
                </w14:textFill>
              </w:rPr>
              <w:t>2</w:t>
            </w:r>
            <w:r>
              <w:rPr>
                <w:rFonts w:hint="default" w:ascii="Times New Roman" w:hAnsi="Times New Roman" w:cs="Times New Roman"/>
                <w:b w:val="0"/>
                <w:bCs/>
                <w:color w:val="000000" w:themeColor="text1"/>
                <w:highlight w:val="none"/>
                <w:u w:val="none"/>
                <w14:textFill>
                  <w14:solidFill>
                    <w14:schemeClr w14:val="tx1"/>
                  </w14:solidFill>
                </w14:textFill>
              </w:rPr>
              <w:t>。城市规划定位：河南省西部地区重要的能源、原材料基地；三门峡市城镇体系中的副中心城市之一；三门峡市东部的交通枢纽和物流中心；工业与旅游型城市。</w:t>
            </w:r>
          </w:p>
          <w:p w14:paraId="53A4332D">
            <w:pPr>
              <w:pStyle w:val="118"/>
              <w:keepNext w:val="0"/>
              <w:keepLines w:val="0"/>
              <w:pageBreakBefore w:val="0"/>
              <w:widowControl w:val="0"/>
              <w:kinsoku/>
              <w:wordWrap/>
              <w:overflowPunct/>
              <w:topLinePunct w:val="0"/>
              <w:autoSpaceDE/>
              <w:autoSpaceDN/>
              <w:bidi w:val="0"/>
              <w:adjustRightInd/>
              <w:snapToGrid/>
              <w:spacing w:line="520" w:lineRule="exact"/>
              <w:ind w:firstLine="480"/>
              <w:textAlignment w:val="auto"/>
              <w:outlineLvl w:val="9"/>
              <w:rPr>
                <w:rFonts w:hint="default" w:ascii="Times New Roman" w:hAnsi="Times New Roman" w:cs="Times New Roman"/>
                <w:b w:val="0"/>
                <w:bCs/>
                <w:color w:val="000000" w:themeColor="text1"/>
                <w:highlight w:val="none"/>
                <w:u w:val="none"/>
                <w14:textFill>
                  <w14:solidFill>
                    <w14:schemeClr w14:val="tx1"/>
                  </w14:solidFill>
                </w14:textFill>
              </w:rPr>
            </w:pPr>
            <w:r>
              <w:rPr>
                <w:rFonts w:hint="default" w:ascii="Times New Roman" w:hAnsi="Times New Roman" w:cs="Times New Roman"/>
                <w:b w:val="0"/>
                <w:bCs/>
                <w:color w:val="000000" w:themeColor="text1"/>
                <w:highlight w:val="none"/>
                <w:u w:val="none"/>
                <w14:textFill>
                  <w14:solidFill>
                    <w14:schemeClr w14:val="tx1"/>
                  </w14:solidFill>
                </w14:textFill>
              </w:rPr>
              <w:t>渑池县城市总体规划发展目标：提升城市的区域地位为三门峡市东部副中心，由城关镇、仰韶乡（原）和果园乡共同组成组团式城市。促使城镇向优势区位聚集，即向310国道发展轴线聚集。形成中心城市、重点镇和一般镇三个等级的梯级发展格局。形成职能分工明确、协作密切、互相协调的城镇体系。</w:t>
            </w:r>
          </w:p>
          <w:p w14:paraId="5A611B9D">
            <w:pPr>
              <w:pStyle w:val="118"/>
              <w:keepNext w:val="0"/>
              <w:keepLines w:val="0"/>
              <w:pageBreakBefore w:val="0"/>
              <w:widowControl w:val="0"/>
              <w:kinsoku/>
              <w:wordWrap/>
              <w:overflowPunct/>
              <w:topLinePunct w:val="0"/>
              <w:autoSpaceDE/>
              <w:autoSpaceDN/>
              <w:bidi w:val="0"/>
              <w:adjustRightInd/>
              <w:snapToGrid/>
              <w:spacing w:line="520" w:lineRule="exact"/>
              <w:ind w:firstLine="480"/>
              <w:textAlignment w:val="auto"/>
              <w:outlineLvl w:val="9"/>
              <w:rPr>
                <w:rFonts w:hint="default" w:ascii="Times New Roman" w:hAnsi="Times New Roman" w:cs="Times New Roman"/>
                <w:b w:val="0"/>
                <w:bCs/>
                <w:color w:val="000000" w:themeColor="text1"/>
                <w:highlight w:val="none"/>
                <w:u w:val="none"/>
                <w14:textFill>
                  <w14:solidFill>
                    <w14:schemeClr w14:val="tx1"/>
                  </w14:solidFill>
                </w14:textFill>
              </w:rPr>
            </w:pPr>
            <w:r>
              <w:rPr>
                <w:rFonts w:hint="default" w:ascii="Times New Roman" w:hAnsi="Times New Roman" w:cs="Times New Roman"/>
                <w:b w:val="0"/>
                <w:bCs/>
                <w:color w:val="000000" w:themeColor="text1"/>
                <w:highlight w:val="none"/>
                <w:u w:val="none"/>
                <w14:textFill>
                  <w14:solidFill>
                    <w14:schemeClr w14:val="tx1"/>
                  </w14:solidFill>
                </w14:textFill>
              </w:rPr>
              <w:t>渑池县城市总体规划提</w:t>
            </w:r>
            <w:r>
              <w:rPr>
                <w:rFonts w:hint="eastAsia" w:ascii="宋体" w:hAnsi="宋体" w:eastAsia="宋体" w:cs="宋体"/>
                <w:b w:val="0"/>
                <w:bCs/>
                <w:color w:val="000000" w:themeColor="text1"/>
                <w:highlight w:val="none"/>
                <w:u w:val="none"/>
                <w14:textFill>
                  <w14:solidFill>
                    <w14:schemeClr w14:val="tx1"/>
                  </w14:solidFill>
                </w14:textFill>
              </w:rPr>
              <w:t>出：“一城两翼，带状组团式格局”，“一城”即中心城区，“两翼”为天坛组团和果园组</w:t>
            </w:r>
            <w:r>
              <w:rPr>
                <w:rFonts w:hint="default" w:ascii="Times New Roman" w:hAnsi="Times New Roman" w:cs="Times New Roman"/>
                <w:b w:val="0"/>
                <w:bCs/>
                <w:color w:val="000000" w:themeColor="text1"/>
                <w:highlight w:val="none"/>
                <w:u w:val="none"/>
                <w14:textFill>
                  <w14:solidFill>
                    <w14:schemeClr w14:val="tx1"/>
                  </w14:solidFill>
                </w14:textFill>
              </w:rPr>
              <w:t>团。</w:t>
            </w:r>
          </w:p>
          <w:p w14:paraId="2424CC60">
            <w:pPr>
              <w:pStyle w:val="118"/>
              <w:keepNext w:val="0"/>
              <w:keepLines w:val="0"/>
              <w:pageBreakBefore w:val="0"/>
              <w:widowControl w:val="0"/>
              <w:kinsoku/>
              <w:wordWrap/>
              <w:overflowPunct/>
              <w:topLinePunct w:val="0"/>
              <w:autoSpaceDE/>
              <w:autoSpaceDN/>
              <w:bidi w:val="0"/>
              <w:adjustRightInd/>
              <w:snapToGrid/>
              <w:spacing w:line="520" w:lineRule="exact"/>
              <w:ind w:firstLine="48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highlight w:val="none"/>
                <w:u w:val="none"/>
                <w:lang w:val="en-US" w:eastAsia="zh-CN"/>
                <w14:textFill>
                  <w14:solidFill>
                    <w14:schemeClr w14:val="tx1"/>
                  </w14:solidFill>
                </w14:textFill>
              </w:rPr>
              <w:t>扩建项目</w:t>
            </w: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位于</w:t>
            </w:r>
            <w:r>
              <w:rPr>
                <w:rFonts w:hint="eastAsia" w:ascii="Times New Roman" w:hAnsi="Times New Roman" w:cs="Times New Roman"/>
                <w:color w:val="000000" w:themeColor="text1"/>
                <w:szCs w:val="21"/>
                <w:highlight w:val="none"/>
                <w:lang w:val="en-US" w:eastAsia="zh-CN"/>
                <w14:textFill>
                  <w14:solidFill>
                    <w14:schemeClr w14:val="tx1"/>
                  </w14:solidFill>
                </w14:textFill>
              </w:rPr>
              <w:t>渑池县城关镇孟岭村韶州路东段、县中医院东侧感染病房楼院内</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eastAsia" w:ascii="Times New Roman" w:hAnsi="Times New Roman" w:cs="Times New Roman"/>
                <w:color w:val="000000" w:themeColor="text1"/>
                <w:szCs w:val="21"/>
                <w:highlight w:val="none"/>
                <w:lang w:eastAsia="zh-CN"/>
                <w14:textFill>
                  <w14:solidFill>
                    <w14:schemeClr w14:val="tx1"/>
                  </w14:solidFill>
                </w14:textFill>
              </w:rPr>
              <w:t>根据</w:t>
            </w:r>
            <w:r>
              <w:rPr>
                <w:rFonts w:hint="eastAsia" w:ascii="宋体" w:hAnsi="宋体" w:eastAsia="宋体" w:cs="宋体"/>
                <w:color w:val="000000" w:themeColor="text1"/>
                <w:szCs w:val="21"/>
                <w:highlight w:val="none"/>
                <w:lang w:eastAsia="zh-CN"/>
                <w14:textFill>
                  <w14:solidFill>
                    <w14:schemeClr w14:val="tx1"/>
                  </w14:solidFill>
                </w14:textFill>
              </w:rPr>
              <w:t>《三门峡市自然资源和规划局关于</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渑池县</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2020年第一批城乡建设用地增减挂钩项目实施规划的批复</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》（三自然资</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[2020]184号</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本</w:t>
            </w: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项目用地为</w:t>
            </w:r>
            <w:r>
              <w:rPr>
                <w:rFonts w:hint="eastAsia" w:ascii="Times New Roman" w:hAnsi="Times New Roman" w:cs="Times New Roman"/>
                <w:color w:val="000000" w:themeColor="text1"/>
                <w:highlight w:val="none"/>
                <w:lang w:val="en-US" w:eastAsia="zh-CN"/>
                <w14:textFill>
                  <w14:solidFill>
                    <w14:schemeClr w14:val="tx1"/>
                  </w14:solidFill>
                </w14:textFill>
              </w:rPr>
              <w:t>建设用地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，项目选址符合渑池县城市总体规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划要求。</w:t>
            </w:r>
          </w:p>
          <w:p w14:paraId="1235CE03">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4.2</w:t>
            </w:r>
            <w:r>
              <w:rPr>
                <w:rFonts w:hint="default" w:ascii="Times New Roman" w:hAnsi="Times New Roman" w:cs="Times New Roman"/>
                <w:b/>
                <w:bCs/>
                <w:color w:val="000000" w:themeColor="text1"/>
                <w:sz w:val="24"/>
                <w:highlight w:val="none"/>
                <w14:textFill>
                  <w14:solidFill>
                    <w14:schemeClr w14:val="tx1"/>
                  </w14:solidFill>
                </w14:textFill>
              </w:rPr>
              <w:t>渑池县县级集中式饮用水水源保护区</w:t>
            </w:r>
          </w:p>
          <w:p w14:paraId="1F6A424B">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根据河南省人民政府办公厅发布的《关于印发河南省县级集中式饮用水水源保护区划的通知》（豫政办[2013]107号）及《关于调整三门峡市县级以上集中式饮用水水源地保护区的请示》（三政文[2019]44号），渑池县饮用水水源保护区介绍如下：</w:t>
            </w:r>
          </w:p>
          <w:p w14:paraId="00637CB5">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（1）刘郭水库，已取消，该水库长期干涸，不能满足供水条件；</w:t>
            </w:r>
          </w:p>
          <w:p w14:paraId="21835D98">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（2）洋河地下水井群，已取消，该水源地地下水水位下降，出水量严重不足，不能满足供水条件；</w:t>
            </w:r>
          </w:p>
          <w:p w14:paraId="3E5F3BE3">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（3）宋村水库，已取消，该水库长期干涸，不能满足供水条件；</w:t>
            </w:r>
          </w:p>
          <w:p w14:paraId="6C56E3CF">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（4）南庄水库</w:t>
            </w:r>
          </w:p>
          <w:p w14:paraId="625A1275">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一级保护区范围：水库正常水位线（568.6m）以下区域及取水口西侧正常水位线以上200m的区域；二级保护区范围：一级保护区外，水库上游3600m两侧分水岭内的区域。</w:t>
            </w:r>
          </w:p>
          <w:p w14:paraId="4AA2FFA6">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（5）裴窑水库</w:t>
            </w:r>
          </w:p>
          <w:p w14:paraId="2487C6D0">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一级保护区范围</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4"/>
                <w:highlight w:val="none"/>
                <w14:textFill>
                  <w14:solidFill>
                    <w14:schemeClr w14:val="tx1"/>
                  </w14:solidFill>
                </w14:textFill>
              </w:rPr>
              <w:t>水库正常水位线（585.0m）以下区域及取水口东侧正常水位线至600m高程的区域；二级保护区范围：一级保护区外，水库上游3000m两侧分水岭内的区域。</w:t>
            </w:r>
          </w:p>
          <w:p w14:paraId="62FF43DD">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（6）西段村水库</w:t>
            </w:r>
          </w:p>
          <w:p w14:paraId="32B51561">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西段村水库是三门峡市槐扒</w:t>
            </w:r>
            <w:r>
              <w:rPr>
                <w:rFonts w:hint="default" w:ascii="Times New Roman" w:hAnsi="Times New Roman" w:eastAsia="宋体" w:cs="Times New Roman"/>
                <w:color w:val="000000" w:themeColor="text1"/>
                <w:szCs w:val="24"/>
                <w:highlight w:val="none"/>
                <w14:textFill>
                  <w14:solidFill>
                    <w14:schemeClr w14:val="tx1"/>
                  </w14:solidFill>
                </w14:textFill>
              </w:rPr>
              <w:t>黄河提水工程的调节水库，控制流域面积38km</w:t>
            </w:r>
            <w:r>
              <w:rPr>
                <w:rFonts w:hint="default" w:ascii="Times New Roman" w:hAnsi="Times New Roman" w:eastAsia="宋体" w:cs="Times New Roman"/>
                <w:color w:val="000000" w:themeColor="text1"/>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Cs w:val="24"/>
                <w:highlight w:val="none"/>
                <w14:textFill>
                  <w14:solidFill>
                    <w14:schemeClr w14:val="tx1"/>
                  </w14:solidFill>
                </w14:textFill>
              </w:rPr>
              <w:t>，库容2970万m</w:t>
            </w:r>
            <w:r>
              <w:rPr>
                <w:rFonts w:hint="default" w:ascii="Times New Roman" w:hAnsi="Times New Roman" w:eastAsia="宋体" w:cs="Times New Roman"/>
                <w:color w:val="000000" w:themeColor="text1"/>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4"/>
                <w:highlight w:val="none"/>
                <w14:textFill>
                  <w14:solidFill>
                    <w14:schemeClr w14:val="tx1"/>
                  </w14:solidFill>
                </w14:textFill>
              </w:rPr>
              <w:t>，为中型水库。主要任务是服务渑池、义马地区农业生产及生活用水。为保护水源安全，2007年省政府办公室发文将西段村水库蓄水高程567.3m以下列为一级水源保护区，全部汇流区域列为二级水源保护区。</w:t>
            </w:r>
          </w:p>
          <w:p w14:paraId="20B07515">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（7）黄河槐扒地表水饮用水源保</w:t>
            </w:r>
            <w:r>
              <w:rPr>
                <w:rFonts w:hint="default" w:ascii="Times New Roman" w:hAnsi="Times New Roman" w:cs="Times New Roman"/>
                <w:bCs/>
                <w:color w:val="000000" w:themeColor="text1"/>
                <w:sz w:val="24"/>
                <w:highlight w:val="none"/>
                <w14:textFill>
                  <w14:solidFill>
                    <w14:schemeClr w14:val="tx1"/>
                  </w14:solidFill>
                </w14:textFill>
              </w:rPr>
              <w:t>护区</w:t>
            </w:r>
          </w:p>
          <w:p w14:paraId="173F5482">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一级保护区：黄河取水口上游2000米、下游200米，5年一遇洪水淹没区的水域及距岸边50米的陆域；汇水支流入河口上游500米的水域；西段村水库高程567.6米以下的全部水域及取水口一侧200米的陆域；输水渠道两侧50米的陆域。</w:t>
            </w:r>
          </w:p>
          <w:p w14:paraId="0C94EA75">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二级保护区：黄河一</w:t>
            </w:r>
            <w:r>
              <w:rPr>
                <w:rFonts w:hint="default" w:ascii="Times New Roman" w:hAnsi="Times New Roman" w:eastAsia="宋体" w:cs="Times New Roman"/>
                <w:color w:val="000000" w:themeColor="text1"/>
                <w:szCs w:val="24"/>
                <w:highlight w:val="none"/>
                <w14:textFill>
                  <w14:solidFill>
                    <w14:schemeClr w14:val="tx1"/>
                  </w14:solidFill>
                </w14:textFill>
              </w:rPr>
              <w:t>级保护区上游2000米、下游200米，10年一遇洪水淹没区的水域及两侧1000米的陆域；汇水支流一级保护区外300米的水域；西段村水库一级保护区外的整个汇水区域。</w:t>
            </w:r>
          </w:p>
          <w:p w14:paraId="11795EE0">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（8）仁村乡坻坞地下水井群保护区（5眼井）</w:t>
            </w:r>
          </w:p>
          <w:p w14:paraId="1F47A4F7">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eastAsia" w:ascii="Times New Roman" w:hAnsi="Times New Roman" w:eastAsia="宋体" w:cs="Times New Roman"/>
                <w:color w:val="000000" w:themeColor="text1"/>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Cs w:val="24"/>
                <w:highlight w:val="none"/>
                <w14:textFill>
                  <w14:solidFill>
                    <w14:schemeClr w14:val="tx1"/>
                  </w14:solidFill>
                </w14:textFill>
              </w:rPr>
              <w:t>一级保护区范围：取水井外围50m的区域。</w:t>
            </w:r>
          </w:p>
          <w:p w14:paraId="767BA00F">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bCs/>
                <w:color w:val="000000" w:themeColor="text1"/>
                <w:highlight w:val="none"/>
                <w:lang w:val="en-US" w:eastAsia="zh-CN" w:bidi="zh-CN"/>
                <w14:textFill>
                  <w14:solidFill>
                    <w14:schemeClr w14:val="tx1"/>
                  </w14:solidFill>
                </w14:textFill>
              </w:rPr>
            </w:pPr>
            <w:r>
              <w:rPr>
                <w:rFonts w:hint="eastAsia" w:ascii="Times New Roman" w:hAnsi="Times New Roman" w:cs="Times New Roman"/>
                <w:bCs/>
                <w:color w:val="000000" w:themeColor="text1"/>
                <w:highlight w:val="none"/>
                <w:lang w:val="en-US" w:eastAsia="zh-CN" w:bidi="zh-CN"/>
                <w14:textFill>
                  <w14:solidFill>
                    <w14:schemeClr w14:val="tx1"/>
                  </w14:solidFill>
                </w14:textFill>
              </w:rPr>
              <w:t>扩建项目</w:t>
            </w:r>
            <w:r>
              <w:rPr>
                <w:rFonts w:hint="default" w:ascii="Times New Roman" w:hAnsi="Times New Roman" w:cs="Times New Roman"/>
                <w:bCs/>
                <w:color w:val="000000" w:themeColor="text1"/>
                <w:highlight w:val="none"/>
                <w:lang w:val="en-US" w:eastAsia="zh-CN" w:bidi="zh-CN"/>
                <w14:textFill>
                  <w14:solidFill>
                    <w14:schemeClr w14:val="tx1"/>
                  </w14:solidFill>
                </w14:textFill>
              </w:rPr>
              <w:t>位于</w:t>
            </w:r>
            <w:r>
              <w:rPr>
                <w:rFonts w:hint="eastAsia" w:ascii="Times New Roman" w:hAnsi="Times New Roman" w:cs="Times New Roman"/>
                <w:color w:val="000000" w:themeColor="text1"/>
                <w:szCs w:val="21"/>
                <w:highlight w:val="none"/>
                <w:lang w:val="en-US" w:eastAsia="zh-CN"/>
                <w14:textFill>
                  <w14:solidFill>
                    <w14:schemeClr w14:val="tx1"/>
                  </w14:solidFill>
                </w14:textFill>
              </w:rPr>
              <w:t>渑池县城关镇孟岭村韶州路东段、县中医院东侧感染病房楼院内</w:t>
            </w:r>
            <w:r>
              <w:rPr>
                <w:rFonts w:hint="default" w:ascii="Times New Roman" w:hAnsi="Times New Roman" w:cs="Times New Roman"/>
                <w:bCs/>
                <w:color w:val="000000" w:themeColor="text1"/>
                <w:highlight w:val="none"/>
                <w:lang w:val="en-US" w:eastAsia="zh-CN" w:bidi="zh-CN"/>
                <w14:textFill>
                  <w14:solidFill>
                    <w14:schemeClr w14:val="tx1"/>
                  </w14:solidFill>
                </w14:textFill>
              </w:rPr>
              <w:t>，距离</w:t>
            </w:r>
            <w:r>
              <w:rPr>
                <w:rFonts w:hint="eastAsia" w:ascii="Times New Roman" w:hAnsi="Times New Roman" w:cs="Times New Roman"/>
                <w:bCs/>
                <w:color w:val="000000" w:themeColor="text1"/>
                <w:highlight w:val="none"/>
                <w:lang w:val="en-US" w:eastAsia="zh-CN" w:bidi="zh-CN"/>
                <w14:textFill>
                  <w14:solidFill>
                    <w14:schemeClr w14:val="tx1"/>
                  </w14:solidFill>
                </w14:textFill>
              </w:rPr>
              <w:t>扩建项目</w:t>
            </w:r>
            <w:r>
              <w:rPr>
                <w:rFonts w:hint="default" w:ascii="Times New Roman" w:hAnsi="Times New Roman" w:cs="Times New Roman"/>
                <w:bCs/>
                <w:color w:val="000000" w:themeColor="text1"/>
                <w:highlight w:val="none"/>
                <w:lang w:val="en-US" w:eastAsia="zh-CN" w:bidi="zh-CN"/>
                <w14:textFill>
                  <w14:solidFill>
                    <w14:schemeClr w14:val="tx1"/>
                  </w14:solidFill>
                </w14:textFill>
              </w:rPr>
              <w:t>最近的水源保护区为洋河地下水井群，位于项目区西</w:t>
            </w:r>
            <w:r>
              <w:rPr>
                <w:rFonts w:hint="eastAsia" w:ascii="Times New Roman" w:hAnsi="Times New Roman" w:cs="Times New Roman"/>
                <w:bCs/>
                <w:color w:val="000000" w:themeColor="text1"/>
                <w:highlight w:val="none"/>
                <w:lang w:val="en-US" w:eastAsia="zh-CN" w:bidi="zh-CN"/>
                <w14:textFill>
                  <w14:solidFill>
                    <w14:schemeClr w14:val="tx1"/>
                  </w14:solidFill>
                </w14:textFill>
              </w:rPr>
              <w:t>侧</w:t>
            </w:r>
            <w:r>
              <w:rPr>
                <w:rFonts w:hint="default" w:ascii="Times New Roman" w:hAnsi="Times New Roman" w:cs="Times New Roman"/>
                <w:bCs/>
                <w:color w:val="000000" w:themeColor="text1"/>
                <w:highlight w:val="none"/>
                <w:lang w:val="en-US" w:eastAsia="zh-CN" w:bidi="zh-CN"/>
                <w14:textFill>
                  <w14:solidFill>
                    <w14:schemeClr w14:val="tx1"/>
                  </w14:solidFill>
                </w14:textFill>
              </w:rPr>
              <w:t>约</w:t>
            </w:r>
            <w:r>
              <w:rPr>
                <w:rFonts w:hint="eastAsia" w:ascii="Times New Roman" w:hAnsi="Times New Roman" w:cs="Times New Roman"/>
                <w:bCs/>
                <w:color w:val="000000" w:themeColor="text1"/>
                <w:highlight w:val="none"/>
                <w:lang w:val="en-US" w:eastAsia="zh-CN" w:bidi="zh-CN"/>
                <w14:textFill>
                  <w14:solidFill>
                    <w14:schemeClr w14:val="tx1"/>
                  </w14:solidFill>
                </w14:textFill>
              </w:rPr>
              <w:t>4.1</w:t>
            </w:r>
            <w:r>
              <w:rPr>
                <w:rFonts w:hint="default" w:ascii="Times New Roman" w:hAnsi="Times New Roman" w:cs="Times New Roman"/>
                <w:bCs/>
                <w:color w:val="000000" w:themeColor="text1"/>
                <w:highlight w:val="none"/>
                <w:lang w:val="en-US" w:eastAsia="zh-CN" w:bidi="zh-CN"/>
                <w14:textFill>
                  <w14:solidFill>
                    <w14:schemeClr w14:val="tx1"/>
                  </w14:solidFill>
                </w14:textFill>
              </w:rPr>
              <w:t>km处。目前，该水源地因地下水水位下降，出水量严重不足，不能满足供水条件，已取消。</w:t>
            </w:r>
          </w:p>
          <w:p w14:paraId="5875C279">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left="0" w:leftChars="0" w:firstLine="0" w:firstLineChars="0"/>
              <w:textAlignment w:val="baseline"/>
              <w:rPr>
                <w:rFonts w:hint="default" w:ascii="Times New Roman" w:hAnsi="Times New Roman" w:cs="Times New Roman"/>
                <w:b/>
                <w:bCs w:val="0"/>
                <w:color w:val="000000" w:themeColor="text1"/>
                <w:szCs w:val="24"/>
                <w:highlight w:val="none"/>
                <w14:textFill>
                  <w14:solidFill>
                    <w14:schemeClr w14:val="tx1"/>
                  </w14:solidFill>
                </w14:textFill>
              </w:rPr>
            </w:pPr>
            <w:r>
              <w:rPr>
                <w:rFonts w:hint="eastAsia" w:ascii="Times New Roman" w:hAnsi="Times New Roman" w:cs="Times New Roman"/>
                <w:b/>
                <w:bCs w:val="0"/>
                <w:color w:val="000000" w:themeColor="text1"/>
                <w:szCs w:val="24"/>
                <w:highlight w:val="none"/>
                <w:lang w:val="en-US" w:eastAsia="zh-CN"/>
                <w14:textFill>
                  <w14:solidFill>
                    <w14:schemeClr w14:val="tx1"/>
                  </w14:solidFill>
                </w14:textFill>
              </w:rPr>
              <w:t>4.3</w:t>
            </w:r>
            <w:r>
              <w:rPr>
                <w:rFonts w:hint="default" w:ascii="Times New Roman" w:hAnsi="Times New Roman" w:cs="Times New Roman"/>
                <w:b/>
                <w:bCs w:val="0"/>
                <w:color w:val="000000" w:themeColor="text1"/>
                <w:szCs w:val="24"/>
                <w:highlight w:val="none"/>
                <w14:textFill>
                  <w14:solidFill>
                    <w14:schemeClr w14:val="tx1"/>
                  </w14:solidFill>
                </w14:textFill>
              </w:rPr>
              <w:t>渑池县乡镇集中式饮用水水源保护区</w:t>
            </w:r>
          </w:p>
          <w:p w14:paraId="2948DBC7">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根据《河南省人民政府办公厅关于印发河南省乡镇集中式饮用水水源保护区划的通知》（豫政办[2016]23号），渑池县共划分8个乡镇集中饮用水水源地</w:t>
            </w:r>
            <w:r>
              <w:rPr>
                <w:rFonts w:hint="default" w:ascii="Times New Roman" w:hAnsi="Times New Roman" w:cs="Times New Roman"/>
                <w:color w:val="000000" w:themeColor="text1"/>
                <w:szCs w:val="24"/>
                <w:highlight w:val="none"/>
                <w:lang w:eastAsia="zh-CN"/>
                <w14:textFill>
                  <w14:solidFill>
                    <w14:schemeClr w14:val="tx1"/>
                  </w14:solidFill>
                </w14:textFill>
              </w:rPr>
              <w:t>：</w:t>
            </w:r>
          </w:p>
          <w:p w14:paraId="4CE9760B">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1</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渑池县果园乡鱼脊梁水库</w:t>
            </w:r>
          </w:p>
          <w:p w14:paraId="6752F3BE">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一级保护区</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水库正常水位线</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524.7米</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以下及以上至543米等高线的区域。</w:t>
            </w:r>
          </w:p>
          <w:p w14:paraId="769E83A7">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二级保护区</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一级保护区外</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入库主河流上溯2000米河道内及两侧至分水岭的汇水区域。</w:t>
            </w:r>
          </w:p>
          <w:p w14:paraId="35B3B70C">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2</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渑池县果园乡胡家洼水库</w:t>
            </w:r>
          </w:p>
          <w:p w14:paraId="73CFA788">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一级保护区</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水库正常水位线</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500.73米</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以下及以上200米的区域。</w:t>
            </w:r>
          </w:p>
          <w:p w14:paraId="4BE7C9FD">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二级保护区</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一级保护区外</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入库主河流上溯2000米河道内及两侧50米的区域。</w:t>
            </w:r>
          </w:p>
          <w:p w14:paraId="071DBBDD">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3</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渑池县仰韶镇西阳村地下水井</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共1眼井</w:t>
            </w:r>
            <w:r>
              <w:rPr>
                <w:rFonts w:hint="eastAsia" w:ascii="Times New Roman" w:hAnsi="Times New Roman" w:cs="Times New Roman"/>
                <w:color w:val="000000" w:themeColor="text1"/>
                <w:szCs w:val="24"/>
                <w:highlight w:val="none"/>
                <w:lang w:eastAsia="zh-CN"/>
                <w14:textFill>
                  <w14:solidFill>
                    <w14:schemeClr w14:val="tx1"/>
                  </w14:solidFill>
                </w14:textFill>
              </w:rPr>
              <w:t>）</w:t>
            </w:r>
          </w:p>
          <w:p w14:paraId="4C6C6A83">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一级保护区</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取水井外围30米的区域。</w:t>
            </w:r>
          </w:p>
          <w:p w14:paraId="2E520071">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4</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渑池县仁村乡雪白村地下水井</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共1眼井</w:t>
            </w:r>
            <w:r>
              <w:rPr>
                <w:rFonts w:hint="eastAsia" w:ascii="Times New Roman" w:hAnsi="Times New Roman" w:cs="Times New Roman"/>
                <w:color w:val="000000" w:themeColor="text1"/>
                <w:szCs w:val="24"/>
                <w:highlight w:val="none"/>
                <w:lang w:eastAsia="zh-CN"/>
                <w14:textFill>
                  <w14:solidFill>
                    <w14:schemeClr w14:val="tx1"/>
                  </w14:solidFill>
                </w14:textFill>
              </w:rPr>
              <w:t>）</w:t>
            </w:r>
          </w:p>
          <w:p w14:paraId="2A7E18FE">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一级保护区</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洪阳河取水井上游1000米至下游100米河道内及两侧50米内的区域。</w:t>
            </w:r>
          </w:p>
          <w:p w14:paraId="26965F7A">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二级保护区</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一级保护区外</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洪阳河上游2000米至下游200米河道内及两侧200米的区域。</w:t>
            </w:r>
          </w:p>
          <w:p w14:paraId="486B3ED6">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5</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渑池县坡头乡西庄沟地下水井</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共1眼井</w:t>
            </w:r>
            <w:r>
              <w:rPr>
                <w:rFonts w:hint="eastAsia" w:ascii="Times New Roman" w:hAnsi="Times New Roman" w:cs="Times New Roman"/>
                <w:color w:val="000000" w:themeColor="text1"/>
                <w:szCs w:val="24"/>
                <w:highlight w:val="none"/>
                <w:lang w:eastAsia="zh-CN"/>
                <w14:textFill>
                  <w14:solidFill>
                    <w14:schemeClr w14:val="tx1"/>
                  </w14:solidFill>
                </w14:textFill>
              </w:rPr>
              <w:t>）</w:t>
            </w:r>
          </w:p>
          <w:p w14:paraId="11F4F499">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一级保护区</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西庄沟取水井上游500米至下游100米河道内及两侧50米的区域。</w:t>
            </w:r>
          </w:p>
          <w:p w14:paraId="5E51E091">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二级保护区</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一级保护区外</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西庄沟上游分水岭至下游100米两侧至分水岭内的区域。</w:t>
            </w:r>
          </w:p>
          <w:p w14:paraId="06AF07C1">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6</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渑池县南村乡地下水井群</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共2眼井</w:t>
            </w:r>
            <w:r>
              <w:rPr>
                <w:rFonts w:hint="eastAsia" w:ascii="Times New Roman" w:hAnsi="Times New Roman" w:cs="Times New Roman"/>
                <w:color w:val="000000" w:themeColor="text1"/>
                <w:szCs w:val="24"/>
                <w:highlight w:val="none"/>
                <w:lang w:eastAsia="zh-CN"/>
                <w14:textFill>
                  <w14:solidFill>
                    <w14:schemeClr w14:val="tx1"/>
                  </w14:solidFill>
                </w14:textFill>
              </w:rPr>
              <w:t>）</w:t>
            </w:r>
          </w:p>
          <w:p w14:paraId="4F807F56">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一级保护区</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取水井外围50米的区域。</w:t>
            </w:r>
          </w:p>
          <w:p w14:paraId="46C4745A">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二级保护区</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一级保护区外</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取水井连线外围550米区域。</w:t>
            </w:r>
          </w:p>
          <w:p w14:paraId="4CD1B039">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7</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渑池县段村乡段村地下水井</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共1眼井</w:t>
            </w:r>
            <w:r>
              <w:rPr>
                <w:rFonts w:hint="eastAsia" w:ascii="Times New Roman" w:hAnsi="Times New Roman" w:cs="Times New Roman"/>
                <w:color w:val="000000" w:themeColor="text1"/>
                <w:szCs w:val="24"/>
                <w:highlight w:val="none"/>
                <w:lang w:eastAsia="zh-CN"/>
                <w14:textFill>
                  <w14:solidFill>
                    <w14:schemeClr w14:val="tx1"/>
                  </w14:solidFill>
                </w14:textFill>
              </w:rPr>
              <w:t>）</w:t>
            </w:r>
          </w:p>
          <w:p w14:paraId="19ED95AE">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一级保护区</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取水井外围30米的区域。</w:t>
            </w:r>
          </w:p>
          <w:p w14:paraId="5D683FD3">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二级保护区</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一级保护区外</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取水井外围330米区域。</w:t>
            </w:r>
          </w:p>
          <w:p w14:paraId="5BDB135C">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8</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渑池县张村镇张村地下水井</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共1眼井</w:t>
            </w:r>
            <w:r>
              <w:rPr>
                <w:rFonts w:hint="eastAsia" w:ascii="Times New Roman" w:hAnsi="Times New Roman" w:cs="Times New Roman"/>
                <w:color w:val="000000" w:themeColor="text1"/>
                <w:szCs w:val="24"/>
                <w:highlight w:val="none"/>
                <w:lang w:eastAsia="zh-CN"/>
                <w14:textFill>
                  <w14:solidFill>
                    <w14:schemeClr w14:val="tx1"/>
                  </w14:solidFill>
                </w14:textFill>
              </w:rPr>
              <w:t>）</w:t>
            </w:r>
          </w:p>
          <w:p w14:paraId="5B1044FB">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default" w:ascii="Times New Roman" w:hAnsi="Times New Roman" w:cs="Times New Roman"/>
                <w:color w:val="000000" w:themeColor="text1"/>
                <w:szCs w:val="24"/>
                <w:highlight w:val="none"/>
                <w:lang w:eastAsia="zh-CN"/>
                <w14:textFill>
                  <w14:solidFill>
                    <w14:schemeClr w14:val="tx1"/>
                  </w14:solidFill>
                </w14:textFill>
              </w:rPr>
            </w:pPr>
            <w:r>
              <w:rPr>
                <w:rFonts w:hint="default" w:ascii="Times New Roman" w:hAnsi="Times New Roman" w:cs="Times New Roman"/>
                <w:color w:val="000000" w:themeColor="text1"/>
                <w:szCs w:val="24"/>
                <w:highlight w:val="none"/>
                <w:lang w:eastAsia="zh-CN"/>
                <w14:textFill>
                  <w14:solidFill>
                    <w14:schemeClr w14:val="tx1"/>
                  </w14:solidFill>
                </w14:textFill>
              </w:rPr>
              <w:t>一级保护区</w:t>
            </w:r>
            <w:r>
              <w:rPr>
                <w:rFonts w:hint="eastAsia"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eastAsia="zh-CN"/>
                <w14:textFill>
                  <w14:solidFill>
                    <w14:schemeClr w14:val="tx1"/>
                  </w14:solidFill>
                </w14:textFill>
              </w:rPr>
              <w:t>取水井外围30米的区域。</w:t>
            </w:r>
          </w:p>
          <w:p w14:paraId="64DD5A52">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firstLine="480" w:firstLineChars="200"/>
              <w:textAlignment w:val="baseline"/>
              <w:rPr>
                <w:rFonts w:hint="eastAsia" w:cs="Times New Roman"/>
                <w:b w:val="0"/>
                <w:bCs w:val="0"/>
                <w:color w:val="000000" w:themeColor="text1"/>
                <w:sz w:val="24"/>
                <w:highlight w:val="none"/>
                <w:u w:val="none"/>
                <w:lang w:eastAsia="zh-CN"/>
                <w14:textFill>
                  <w14:solidFill>
                    <w14:schemeClr w14:val="tx1"/>
                  </w14:solidFill>
                </w14:textFill>
              </w:rPr>
            </w:pPr>
            <w:r>
              <w:rPr>
                <w:rFonts w:hint="default" w:ascii="Times New Roman" w:hAnsi="Times New Roman" w:cs="Times New Roman"/>
                <w:b w:val="0"/>
                <w:bCs w:val="0"/>
                <w:color w:val="000000" w:themeColor="text1"/>
                <w:sz w:val="24"/>
                <w:highlight w:val="none"/>
                <w:u w:val="none"/>
                <w14:textFill>
                  <w14:solidFill>
                    <w14:schemeClr w14:val="tx1"/>
                  </w14:solidFill>
                </w14:textFill>
              </w:rPr>
              <w:t>本项目位于</w:t>
            </w:r>
            <w:r>
              <w:rPr>
                <w:rFonts w:hint="eastAsia" w:ascii="Times New Roman" w:hAnsi="Times New Roman" w:cs="Times New Roman"/>
                <w:color w:val="000000" w:themeColor="text1"/>
                <w:sz w:val="24"/>
                <w:highlight w:val="none"/>
                <w:lang w:eastAsia="zh-CN"/>
                <w14:textFill>
                  <w14:solidFill>
                    <w14:schemeClr w14:val="tx1"/>
                  </w14:solidFill>
                </w14:textFill>
              </w:rPr>
              <w:t>渑池县城关镇孟岭村韶州路东段、县中医院东侧感染病房楼院内</w:t>
            </w:r>
            <w:r>
              <w:rPr>
                <w:rFonts w:hint="default" w:ascii="Times New Roman" w:hAnsi="Times New Roman" w:eastAsia="宋体" w:cs="Times New Roman"/>
                <w:b w:val="0"/>
                <w:bCs w:val="0"/>
                <w:color w:val="000000" w:themeColor="text1"/>
                <w:sz w:val="24"/>
                <w:highlight w:val="none"/>
                <w:u w:val="none"/>
                <w14:textFill>
                  <w14:solidFill>
                    <w14:schemeClr w14:val="tx1"/>
                  </w14:solidFill>
                </w14:textFill>
              </w:rPr>
              <w:t>，不在上述乡镇集中式饮用水水源保护区范围之内</w:t>
            </w:r>
            <w:r>
              <w:rPr>
                <w:rFonts w:hint="default" w:ascii="Times New Roman" w:hAnsi="Times New Roman" w:cs="Times New Roman"/>
                <w:b w:val="0"/>
                <w:bCs w:val="0"/>
                <w:color w:val="000000" w:themeColor="text1"/>
                <w:sz w:val="24"/>
                <w:highlight w:val="none"/>
                <w:u w:val="none"/>
                <w14:textFill>
                  <w14:solidFill>
                    <w14:schemeClr w14:val="tx1"/>
                  </w14:solidFill>
                </w14:textFill>
              </w:rPr>
              <w:t>，不会对饮用水水源地产生影响</w:t>
            </w:r>
            <w:r>
              <w:rPr>
                <w:rFonts w:hint="eastAsia" w:cs="Times New Roman"/>
                <w:b w:val="0"/>
                <w:bCs w:val="0"/>
                <w:color w:val="000000" w:themeColor="text1"/>
                <w:sz w:val="24"/>
                <w:highlight w:val="none"/>
                <w:u w:val="none"/>
                <w:lang w:eastAsia="zh-CN"/>
                <w14:textFill>
                  <w14:solidFill>
                    <w14:schemeClr w14:val="tx1"/>
                  </w14:solidFill>
                </w14:textFill>
              </w:rPr>
              <w:t>。</w:t>
            </w:r>
          </w:p>
          <w:p w14:paraId="6F17568E">
            <w:pPr>
              <w:pStyle w:val="170"/>
              <w:keepNext w:val="0"/>
              <w:keepLines w:val="0"/>
              <w:pageBreakBefore w:val="0"/>
              <w:widowControl w:val="0"/>
              <w:kinsoku/>
              <w:wordWrap/>
              <w:overflowPunct/>
              <w:topLinePunct w:val="0"/>
              <w:autoSpaceDE/>
              <w:autoSpaceDN/>
              <w:bidi w:val="0"/>
              <w:adjustRightInd w:val="0"/>
              <w:snapToGrid/>
              <w:spacing w:before="0" w:beforeLines="0" w:line="520" w:lineRule="exact"/>
              <w:ind w:left="0" w:leftChars="0" w:firstLine="0" w:firstLineChars="0"/>
              <w:textAlignment w:val="baseline"/>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t xml:space="preserve">4.4 </w:t>
            </w:r>
            <w:r>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t>电力设施保护</w:t>
            </w:r>
          </w:p>
          <w:p w14:paraId="6F2C8AD1">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根据《</w:t>
            </w:r>
            <w:r>
              <w:rPr>
                <w:rFonts w:hint="eastAsia" w:ascii="Times New Roman" w:hAnsi="Times New Roman" w:cs="Times New Roman"/>
                <w:color w:val="000000" w:themeColor="text1"/>
                <w:sz w:val="24"/>
                <w:szCs w:val="24"/>
                <w:highlight w:val="none"/>
                <w14:textFill>
                  <w14:solidFill>
                    <w14:schemeClr w14:val="tx1"/>
                  </w14:solidFill>
                </w14:textFill>
              </w:rPr>
              <w:t>城市电力规划规范</w:t>
            </w:r>
            <w:r>
              <w:rPr>
                <w:rFonts w:ascii="Times New Roman" w:hAnsi="Times New Roman" w:cs="Times New Roman"/>
                <w:color w:val="000000" w:themeColor="text1"/>
                <w:sz w:val="24"/>
                <w:szCs w:val="24"/>
                <w:highlight w:val="none"/>
                <w14:textFill>
                  <w14:solidFill>
                    <w14:schemeClr w14:val="tx1"/>
                  </w14:solidFill>
                </w14:textFill>
              </w:rPr>
              <w:t>》（GB</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/T</w:t>
            </w:r>
            <w:r>
              <w:rPr>
                <w:rFonts w:ascii="Times New Roman" w:hAnsi="Times New Roman" w:cs="Times New Roman"/>
                <w:color w:val="000000" w:themeColor="text1"/>
                <w:sz w:val="24"/>
                <w:szCs w:val="24"/>
                <w:highlight w:val="none"/>
                <w14:textFill>
                  <w14:solidFill>
                    <w14:schemeClr w14:val="tx1"/>
                  </w14:solidFill>
                </w14:textFill>
              </w:rPr>
              <w:t>50293-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2014</w:t>
            </w:r>
            <w:r>
              <w:rPr>
                <w:rFonts w:ascii="Times New Roman" w:hAnsi="Times New Roman" w:cs="Times New Roman"/>
                <w:color w:val="000000" w:themeColor="text1"/>
                <w:sz w:val="24"/>
                <w:szCs w:val="24"/>
                <w:highlight w:val="none"/>
                <w14:textFill>
                  <w14:solidFill>
                    <w14:schemeClr w14:val="tx1"/>
                  </w14:solidFill>
                </w14:textFill>
              </w:rPr>
              <w:t>）的规定，</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架空电力线路边导线与建筑物之间的水平距离如下：</w:t>
            </w:r>
          </w:p>
          <w:p w14:paraId="68A8577D">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ind w:firstLine="0"/>
              <w:textAlignment w:val="auto"/>
              <w:rPr>
                <w:rFonts w:hint="default" w:ascii="Times New Roman" w:hAnsi="Times New Roman" w:cs="Times New Roman"/>
                <w:bCs/>
                <w:color w:val="000000" w:themeColor="text1"/>
                <w:kern w:val="2"/>
                <w:sz w:val="24"/>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4"/>
                <w:highlight w:val="none"/>
                <w:lang w:val="en-US" w:eastAsia="zh-CN"/>
                <w14:textFill>
                  <w14:solidFill>
                    <w14:schemeClr w14:val="tx1"/>
                  </w14:solidFill>
                </w14:textFill>
              </w:rPr>
              <w:t>架空电力线路边导线与建筑物之间的水平距离</w:t>
            </w:r>
          </w:p>
          <w:tbl>
            <w:tblPr>
              <w:tblStyle w:val="35"/>
              <w:tblW w:w="83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171"/>
              <w:gridCol w:w="1068"/>
              <w:gridCol w:w="1098"/>
              <w:gridCol w:w="1142"/>
              <w:gridCol w:w="1083"/>
              <w:gridCol w:w="1046"/>
            </w:tblGrid>
            <w:tr w14:paraId="42480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2" w:type="dxa"/>
                  <w:tcBorders>
                    <w:tl2br w:val="nil"/>
                    <w:tr2bl w:val="nil"/>
                  </w:tcBorders>
                  <w:vAlign w:val="center"/>
                </w:tcPr>
                <w:p w14:paraId="32A4B329">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t>线路电压（kV）</w:t>
                  </w:r>
                </w:p>
              </w:tc>
              <w:tc>
                <w:tcPr>
                  <w:tcW w:w="1171" w:type="dxa"/>
                  <w:tcBorders>
                    <w:tl2br w:val="nil"/>
                    <w:tr2bl w:val="nil"/>
                  </w:tcBorders>
                  <w:vAlign w:val="center"/>
                </w:tcPr>
                <w:p w14:paraId="41D90B4F">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t>110（66）</w:t>
                  </w:r>
                </w:p>
              </w:tc>
              <w:tc>
                <w:tcPr>
                  <w:tcW w:w="1068" w:type="dxa"/>
                  <w:tcBorders>
                    <w:tl2br w:val="nil"/>
                    <w:tr2bl w:val="nil"/>
                  </w:tcBorders>
                  <w:vAlign w:val="center"/>
                </w:tcPr>
                <w:p w14:paraId="62D49E8A">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t>220</w:t>
                  </w:r>
                </w:p>
              </w:tc>
              <w:tc>
                <w:tcPr>
                  <w:tcW w:w="1098" w:type="dxa"/>
                  <w:tcBorders>
                    <w:tl2br w:val="nil"/>
                    <w:tr2bl w:val="nil"/>
                  </w:tcBorders>
                  <w:vAlign w:val="center"/>
                </w:tcPr>
                <w:p w14:paraId="0901DB73">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t>330</w:t>
                  </w:r>
                </w:p>
              </w:tc>
              <w:tc>
                <w:tcPr>
                  <w:tcW w:w="1142" w:type="dxa"/>
                  <w:tcBorders>
                    <w:tl2br w:val="nil"/>
                    <w:tr2bl w:val="nil"/>
                  </w:tcBorders>
                  <w:vAlign w:val="center"/>
                </w:tcPr>
                <w:p w14:paraId="3D47EAC4">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t>500</w:t>
                  </w:r>
                </w:p>
              </w:tc>
              <w:tc>
                <w:tcPr>
                  <w:tcW w:w="1083" w:type="dxa"/>
                  <w:tcBorders>
                    <w:tl2br w:val="nil"/>
                    <w:tr2bl w:val="nil"/>
                  </w:tcBorders>
                  <w:vAlign w:val="center"/>
                </w:tcPr>
                <w:p w14:paraId="27335E1F">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t>750</w:t>
                  </w:r>
                </w:p>
              </w:tc>
              <w:tc>
                <w:tcPr>
                  <w:tcW w:w="1046" w:type="dxa"/>
                  <w:tcBorders>
                    <w:tl2br w:val="nil"/>
                    <w:tr2bl w:val="nil"/>
                  </w:tcBorders>
                  <w:vAlign w:val="center"/>
                </w:tcPr>
                <w:p w14:paraId="35294693">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t>1000</w:t>
                  </w:r>
                </w:p>
              </w:tc>
            </w:tr>
            <w:tr w14:paraId="5D391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2" w:type="dxa"/>
                  <w:tcBorders>
                    <w:tl2br w:val="nil"/>
                    <w:tr2bl w:val="nil"/>
                  </w:tcBorders>
                  <w:vAlign w:val="center"/>
                </w:tcPr>
                <w:p w14:paraId="26BF20E8">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t>水平距离（m）</w:t>
                  </w:r>
                </w:p>
              </w:tc>
              <w:tc>
                <w:tcPr>
                  <w:tcW w:w="1171" w:type="dxa"/>
                  <w:tcBorders>
                    <w:tl2br w:val="nil"/>
                    <w:tr2bl w:val="nil"/>
                  </w:tcBorders>
                  <w:vAlign w:val="center"/>
                </w:tcPr>
                <w:p w14:paraId="72F20862">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t>2.0</w:t>
                  </w:r>
                </w:p>
              </w:tc>
              <w:tc>
                <w:tcPr>
                  <w:tcW w:w="1068" w:type="dxa"/>
                  <w:tcBorders>
                    <w:tl2br w:val="nil"/>
                    <w:tr2bl w:val="nil"/>
                  </w:tcBorders>
                  <w:vAlign w:val="center"/>
                </w:tcPr>
                <w:p w14:paraId="633F1E94">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t>2.5</w:t>
                  </w:r>
                </w:p>
              </w:tc>
              <w:tc>
                <w:tcPr>
                  <w:tcW w:w="1098" w:type="dxa"/>
                  <w:tcBorders>
                    <w:tl2br w:val="nil"/>
                    <w:tr2bl w:val="nil"/>
                  </w:tcBorders>
                  <w:vAlign w:val="center"/>
                </w:tcPr>
                <w:p w14:paraId="71229906">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t>3.0</w:t>
                  </w:r>
                </w:p>
              </w:tc>
              <w:tc>
                <w:tcPr>
                  <w:tcW w:w="1142" w:type="dxa"/>
                  <w:tcBorders>
                    <w:tl2br w:val="nil"/>
                    <w:tr2bl w:val="nil"/>
                  </w:tcBorders>
                  <w:vAlign w:val="center"/>
                </w:tcPr>
                <w:p w14:paraId="72527B16">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t>5.0</w:t>
                  </w:r>
                </w:p>
              </w:tc>
              <w:tc>
                <w:tcPr>
                  <w:tcW w:w="1083" w:type="dxa"/>
                  <w:tcBorders>
                    <w:tl2br w:val="nil"/>
                    <w:tr2bl w:val="nil"/>
                  </w:tcBorders>
                  <w:vAlign w:val="center"/>
                </w:tcPr>
                <w:p w14:paraId="6446DB6C">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t>6.0</w:t>
                  </w:r>
                </w:p>
              </w:tc>
              <w:tc>
                <w:tcPr>
                  <w:tcW w:w="1046" w:type="dxa"/>
                  <w:tcBorders>
                    <w:tl2br w:val="nil"/>
                    <w:tr2bl w:val="nil"/>
                  </w:tcBorders>
                  <w:vAlign w:val="center"/>
                </w:tcPr>
                <w:p w14:paraId="453E66F1">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14:textFill>
                        <w14:solidFill>
                          <w14:schemeClr w14:val="tx1"/>
                        </w14:solidFill>
                      </w14:textFill>
                    </w:rPr>
                    <w:t>7.0</w:t>
                  </w:r>
                </w:p>
              </w:tc>
            </w:tr>
          </w:tbl>
          <w:p w14:paraId="5C3EAC41">
            <w:pPr>
              <w:pStyle w:val="118"/>
              <w:keepNext w:val="0"/>
              <w:keepLines w:val="0"/>
              <w:pageBreakBefore w:val="0"/>
              <w:widowControl w:val="0"/>
              <w:kinsoku/>
              <w:wordWrap/>
              <w:overflowPunct/>
              <w:topLinePunct w:val="0"/>
              <w:autoSpaceDE/>
              <w:autoSpaceDN/>
              <w:bidi w:val="0"/>
              <w:adjustRightInd/>
              <w:snapToGrid/>
              <w:spacing w:before="157" w:beforeLines="50" w:line="420" w:lineRule="auto"/>
              <w:ind w:firstLine="480"/>
              <w:textAlignment w:val="auto"/>
              <w:rPr>
                <w:rFonts w:hint="default" w:ascii="Times New Roman" w:hAnsi="Times New Roman" w:cs="Times New Roman"/>
                <w:color w:val="000000" w:themeColor="text1"/>
                <w:kern w:val="28"/>
                <w:sz w:val="24"/>
                <w:szCs w:val="20"/>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扩建</w:t>
            </w:r>
            <w:r>
              <w:rPr>
                <w:rFonts w:ascii="Times New Roman" w:hAnsi="Times New Roman" w:cs="Times New Roman"/>
                <w:color w:val="000000" w:themeColor="text1"/>
                <w:sz w:val="24"/>
                <w:szCs w:val="24"/>
                <w:highlight w:val="none"/>
                <w14:textFill>
                  <w14:solidFill>
                    <w14:schemeClr w14:val="tx1"/>
                  </w14:solidFill>
                </w14:textFill>
              </w:rPr>
              <w:t>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位于渑池县城关镇，东、西两侧各</w:t>
            </w:r>
            <w:r>
              <w:rPr>
                <w:rFonts w:ascii="Times New Roman" w:hAnsi="Times New Roman" w:cs="Times New Roman"/>
                <w:color w:val="000000" w:themeColor="text1"/>
                <w:sz w:val="24"/>
                <w:szCs w:val="24"/>
                <w:highlight w:val="none"/>
                <w14:textFill>
                  <w14:solidFill>
                    <w14:schemeClr w14:val="tx1"/>
                  </w14:solidFill>
                </w14:textFill>
              </w:rPr>
              <w:t>有一</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条110kV高压走廊。由</w:t>
            </w:r>
            <w:r>
              <w:rPr>
                <w:rFonts w:ascii="Times New Roman" w:hAnsi="Times New Roman" w:cs="Times New Roman"/>
                <w:color w:val="000000" w:themeColor="text1"/>
                <w:sz w:val="24"/>
                <w:szCs w:val="24"/>
                <w:highlight w:val="none"/>
                <w14:textFill>
                  <w14:solidFill>
                    <w14:schemeClr w14:val="tx1"/>
                  </w14:solidFill>
                </w14:textFill>
              </w:rPr>
              <w:t>上述</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要求</w:t>
            </w:r>
            <w:r>
              <w:rPr>
                <w:rFonts w:ascii="Times New Roman" w:hAnsi="Times New Roman" w:cs="Times New Roman"/>
                <w:color w:val="000000" w:themeColor="text1"/>
                <w:sz w:val="24"/>
                <w:szCs w:val="24"/>
                <w:highlight w:val="none"/>
                <w14:textFill>
                  <w14:solidFill>
                    <w14:schemeClr w14:val="tx1"/>
                  </w14:solidFill>
                </w14:textFill>
              </w:rPr>
              <w:t>，110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kV</w:t>
            </w:r>
            <w:r>
              <w:rPr>
                <w:rFonts w:ascii="Times New Roman" w:hAnsi="Times New Roman" w:cs="Times New Roman"/>
                <w:color w:val="000000" w:themeColor="text1"/>
                <w:sz w:val="24"/>
                <w:szCs w:val="24"/>
                <w:highlight w:val="none"/>
                <w14:textFill>
                  <w14:solidFill>
                    <w14:schemeClr w14:val="tx1"/>
                  </w14:solidFill>
                </w14:textFill>
              </w:rPr>
              <w:t>架空电力线路保护区为导线边线向外侧水平延伸</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w:t>
            </w:r>
            <w:r>
              <w:rPr>
                <w:rFonts w:ascii="Times New Roman" w:hAnsi="Times New Roman" w:cs="Times New Roman"/>
                <w:color w:val="000000" w:themeColor="text1"/>
                <w:sz w:val="24"/>
                <w:szCs w:val="24"/>
                <w:highlight w:val="none"/>
                <w14:textFill>
                  <w14:solidFill>
                    <w14:schemeClr w14:val="tx1"/>
                  </w14:solidFill>
                </w14:textFill>
              </w:rPr>
              <w:t>m并垂直于地面所形成的的区域。根据</w:t>
            </w:r>
            <w:r>
              <w:rPr>
                <w:rFonts w:hint="eastAsia" w:ascii="Times New Roman" w:hAnsi="Times New Roman" w:cs="Times New Roman"/>
                <w:color w:val="000000" w:themeColor="text1"/>
                <w:sz w:val="24"/>
                <w:szCs w:val="24"/>
                <w:highlight w:val="none"/>
                <w:lang w:eastAsia="zh-CN"/>
                <w14:textFill>
                  <w14:solidFill>
                    <w14:schemeClr w14:val="tx1"/>
                  </w14:solidFill>
                </w14:textFill>
              </w:rPr>
              <w:t>已批复的</w:t>
            </w:r>
            <w:r>
              <w:rPr>
                <w:rFonts w:ascii="Times New Roman" w:hAnsi="Times New Roman" w:cs="Times New Roman"/>
                <w:color w:val="000000" w:themeColor="text1"/>
                <w:sz w:val="24"/>
                <w:szCs w:val="24"/>
                <w:highlight w:val="none"/>
                <w14:textFill>
                  <w14:solidFill>
                    <w14:schemeClr w14:val="tx1"/>
                  </w14:solidFill>
                </w14:textFill>
              </w:rPr>
              <w:t>项目可研</w:t>
            </w:r>
            <w:r>
              <w:rPr>
                <w:rFonts w:hint="eastAsia" w:ascii="Times New Roman" w:hAnsi="Times New Roman" w:cs="Times New Roman"/>
                <w:color w:val="000000" w:themeColor="text1"/>
                <w:sz w:val="24"/>
                <w:szCs w:val="24"/>
                <w:highlight w:val="none"/>
                <w:lang w:eastAsia="zh-CN"/>
                <w14:textFill>
                  <w14:solidFill>
                    <w14:schemeClr w14:val="tx1"/>
                  </w14:solidFill>
                </w14:textFill>
              </w:rPr>
              <w:t>报告中资料</w:t>
            </w:r>
            <w:r>
              <w:rPr>
                <w:rFonts w:ascii="Times New Roman" w:hAnsi="Times New Roman" w:cs="Times New Roman"/>
                <w:color w:val="000000" w:themeColor="text1"/>
                <w:sz w:val="24"/>
                <w:szCs w:val="24"/>
                <w:highlight w:val="none"/>
                <w14:textFill>
                  <w14:solidFill>
                    <w14:schemeClr w14:val="tx1"/>
                  </w14:solidFill>
                </w14:textFill>
              </w:rPr>
              <w:t>可知，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西侧</w:t>
            </w:r>
            <w:r>
              <w:rPr>
                <w:rFonts w:ascii="Times New Roman" w:hAnsi="Times New Roman" w:cs="Times New Roman"/>
                <w:color w:val="000000" w:themeColor="text1"/>
                <w:sz w:val="24"/>
                <w:szCs w:val="24"/>
                <w:highlight w:val="none"/>
                <w14:textFill>
                  <w14:solidFill>
                    <w14:schemeClr w14:val="tx1"/>
                  </w14:solidFill>
                </w14:textFill>
              </w:rPr>
              <w:t>110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kV高压走廊</w:t>
            </w:r>
            <w:r>
              <w:rPr>
                <w:rFonts w:ascii="Times New Roman" w:hAnsi="Times New Roman" w:cs="Times New Roman"/>
                <w:color w:val="000000" w:themeColor="text1"/>
                <w:sz w:val="24"/>
                <w:szCs w:val="24"/>
                <w:highlight w:val="none"/>
                <w14:textFill>
                  <w14:solidFill>
                    <w14:schemeClr w14:val="tx1"/>
                  </w14:solidFill>
                </w14:textFill>
              </w:rPr>
              <w:t>保护区向外侧水平延伸</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ascii="Times New Roman" w:hAnsi="Times New Roman" w:cs="Times New Roman"/>
                <w:color w:val="000000" w:themeColor="text1"/>
                <w:sz w:val="24"/>
                <w:szCs w:val="24"/>
                <w:highlight w:val="none"/>
                <w14:textFill>
                  <w14:solidFill>
                    <w14:schemeClr w14:val="tx1"/>
                  </w14:solidFill>
                </w14:textFill>
              </w:rPr>
              <w:t>m并垂直于地面所形成的的区域范围内</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无建筑物、构筑物等；东侧110kv高压走廊</w:t>
            </w:r>
            <w:r>
              <w:rPr>
                <w:rFonts w:ascii="Times New Roman" w:hAnsi="Times New Roman" w:cs="Times New Roman"/>
                <w:color w:val="000000" w:themeColor="text1"/>
                <w:sz w:val="24"/>
                <w:szCs w:val="24"/>
                <w:highlight w:val="none"/>
                <w14:textFill>
                  <w14:solidFill>
                    <w14:schemeClr w14:val="tx1"/>
                  </w14:solidFill>
                </w14:textFill>
              </w:rPr>
              <w:t>保护区向外侧水平延伸</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28.43</w:t>
            </w:r>
            <w:r>
              <w:rPr>
                <w:rFonts w:ascii="Times New Roman" w:hAnsi="Times New Roman" w:cs="Times New Roman"/>
                <w:color w:val="000000" w:themeColor="text1"/>
                <w:sz w:val="24"/>
                <w:szCs w:val="24"/>
                <w:highlight w:val="none"/>
                <w14:textFill>
                  <w14:solidFill>
                    <w14:schemeClr w14:val="tx1"/>
                  </w14:solidFill>
                </w14:textFill>
              </w:rPr>
              <w:t>m并垂直于地面所形成的的区域范围内</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无建筑物、构筑物等</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因此，扩建项目对东、西两侧高压走廊不会</w:t>
            </w:r>
            <w:r>
              <w:rPr>
                <w:rFonts w:ascii="Times New Roman" w:hAnsi="Times New Roman" w:cs="Times New Roman"/>
                <w:color w:val="000000" w:themeColor="text1"/>
                <w:sz w:val="24"/>
                <w:szCs w:val="24"/>
                <w:highlight w:val="none"/>
                <w14:textFill>
                  <w14:solidFill>
                    <w14:schemeClr w14:val="tx1"/>
                  </w14:solidFill>
                </w14:textFill>
              </w:rPr>
              <w:t>产生大的影响</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szCs w:val="24"/>
                <w:highlight w:val="none"/>
                <w14:textFill>
                  <w14:solidFill>
                    <w14:schemeClr w14:val="tx1"/>
                  </w14:solidFill>
                </w14:textFill>
              </w:rPr>
              <w:t>符合《</w:t>
            </w:r>
            <w:r>
              <w:rPr>
                <w:rFonts w:hint="eastAsia" w:ascii="Times New Roman" w:hAnsi="Times New Roman" w:cs="Times New Roman"/>
                <w:color w:val="000000" w:themeColor="text1"/>
                <w:sz w:val="24"/>
                <w:szCs w:val="24"/>
                <w:highlight w:val="none"/>
                <w14:textFill>
                  <w14:solidFill>
                    <w14:schemeClr w14:val="tx1"/>
                  </w14:solidFill>
                </w14:textFill>
              </w:rPr>
              <w:t>城市电力规划规范</w:t>
            </w:r>
            <w:r>
              <w:rPr>
                <w:rFonts w:ascii="Times New Roman" w:hAnsi="Times New Roman" w:cs="Times New Roman"/>
                <w:color w:val="000000" w:themeColor="text1"/>
                <w:sz w:val="24"/>
                <w:szCs w:val="24"/>
                <w:highlight w:val="none"/>
                <w14:textFill>
                  <w14:solidFill>
                    <w14:schemeClr w14:val="tx1"/>
                  </w14:solidFill>
                </w14:textFill>
              </w:rPr>
              <w:t>》（GB</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/T</w:t>
            </w:r>
            <w:r>
              <w:rPr>
                <w:rFonts w:ascii="Times New Roman" w:hAnsi="Times New Roman" w:cs="Times New Roman"/>
                <w:color w:val="000000" w:themeColor="text1"/>
                <w:sz w:val="24"/>
                <w:szCs w:val="24"/>
                <w:highlight w:val="none"/>
                <w14:textFill>
                  <w14:solidFill>
                    <w14:schemeClr w14:val="tx1"/>
                  </w14:solidFill>
                </w14:textFill>
              </w:rPr>
              <w:t>50293-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2014</w:t>
            </w:r>
            <w:r>
              <w:rPr>
                <w:rFonts w:ascii="Times New Roman" w:hAnsi="Times New Roman" w:cs="Times New Roman"/>
                <w:color w:val="000000" w:themeColor="text1"/>
                <w:sz w:val="24"/>
                <w:szCs w:val="24"/>
                <w:highlight w:val="none"/>
                <w14:textFill>
                  <w14:solidFill>
                    <w14:schemeClr w14:val="tx1"/>
                  </w14:solidFill>
                </w14:textFill>
              </w:rPr>
              <w:t>）的规定。</w:t>
            </w:r>
          </w:p>
        </w:tc>
      </w:tr>
    </w:tbl>
    <w:p w14:paraId="0F640A3A">
      <w:pPr>
        <w:pStyle w:val="30"/>
        <w:tabs>
          <w:tab w:val="left" w:pos="195"/>
          <w:tab w:val="center" w:pos="4422"/>
        </w:tabs>
        <w:spacing w:line="0" w:lineRule="atLeast"/>
        <w:jc w:val="center"/>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二、建设项目工程分析</w:t>
      </w:r>
    </w:p>
    <w:tbl>
      <w:tblPr>
        <w:tblStyle w:val="34"/>
        <w:tblW w:w="92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730"/>
      </w:tblGrid>
      <w:tr w14:paraId="0AB5E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496" w:type="dxa"/>
            <w:noWrap w:val="0"/>
            <w:vAlign w:val="center"/>
          </w:tcPr>
          <w:p w14:paraId="46292725">
            <w:pPr>
              <w:pStyle w:val="30"/>
              <w:adjustRightInd w:val="0"/>
              <w:snapToGrid w:val="0"/>
              <w:spacing w:before="0" w:beforeAutospacing="0" w:after="0" w:afterAutospacing="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建设内容</w:t>
            </w:r>
          </w:p>
        </w:tc>
        <w:tc>
          <w:tcPr>
            <w:tcW w:w="8730" w:type="dxa"/>
            <w:noWrap w:val="0"/>
            <w:vAlign w:val="top"/>
          </w:tcPr>
          <w:p w14:paraId="03C81517">
            <w:pPr>
              <w:spacing w:line="520" w:lineRule="exact"/>
              <w:rPr>
                <w:rFonts w:hint="default" w:ascii="Times New Roman" w:hAnsi="Times New Roman" w:cs="Times New Roman"/>
                <w:b/>
                <w:color w:val="000000" w:themeColor="text1"/>
                <w:sz w:val="24"/>
                <w:highlight w:val="none"/>
                <w:lang w:val="en-US" w:eastAsia="zh-CN"/>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1、项目由来</w:t>
            </w:r>
          </w:p>
          <w:p w14:paraId="77C6838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随着经济社会快速发展，生活节奏明显加快，心理应激因素日益增加，焦虑症、抑郁症等常见精神障碍及心理行为问题逐年增多，心理应激事件及精神障碍患者肇事肇祸案</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件时有发生，老年痴呆症、儿童孤独症等特定人群疾病干预取需加强，我国精神卫生工作仍然面临严峻挑战。目前，精神疾病已经成为一类严重影响群众身心健康的疾病。据我国卫生部的一份报告显示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神经精神疾病在我国疾病总负担中排名首位，约占疾病总负担的五分之一。因此如何做好精神病的预防、治疗和康复，成为现代医学的重大课题之一。精神病患者作为一个特殊的群体，越来越受到社会泛的关注，成为不容忽视的社会问题。</w:t>
            </w:r>
          </w:p>
          <w:p w14:paraId="0CB2013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渑池县中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医</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院</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（曾用名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渑池县中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医</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医院</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始建于1982年，经过近四十年的发展，目前已成为一所以中医为特色，中西医并重发展的二级甲等中医院。新院位于韶州路，占地70亩，建筑面积42884.21平方米，批准床位350张。现有职工400人，其中专业技术251人，高级职称11人，中级职称36人。近年来，医院整体业务快速发展，医疗服务能力持续提升，脑病科、心病科、康复科、颈肩腿疼科、耳鼻喉科等一大批特色科室发展势头强劲，率先在全县开展了经十二指肠镜胆总管取石术、乳腺癌保乳术、微创、心脏康复等新业务、新技术。</w:t>
            </w:r>
          </w:p>
          <w:p w14:paraId="065788D3">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default"/>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历年环保手续情况：</w:t>
            </w:r>
          </w:p>
          <w:p w14:paraId="5629470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2013年11月，</w:t>
            </w:r>
            <w:r>
              <w:rPr>
                <w:rFonts w:hint="default" w:ascii="Times New Roman" w:hAnsi="Times New Roman" w:cs="Times New Roman"/>
                <w:color w:val="000000" w:themeColor="text1"/>
                <w:sz w:val="24"/>
                <w:szCs w:val="22"/>
                <w:highlight w:val="none"/>
                <w14:textFill>
                  <w14:solidFill>
                    <w14:schemeClr w14:val="tx1"/>
                  </w14:solidFill>
                </w14:textFill>
              </w:rPr>
              <w:t>渑池县中医医院</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规划</w:t>
            </w:r>
            <w:r>
              <w:rPr>
                <w:rFonts w:hint="default" w:ascii="Times New Roman" w:hAnsi="Times New Roman" w:cs="Times New Roman"/>
                <w:color w:val="000000" w:themeColor="text1"/>
                <w:sz w:val="24"/>
                <w:szCs w:val="22"/>
                <w:highlight w:val="none"/>
                <w14:textFill>
                  <w14:solidFill>
                    <w14:schemeClr w14:val="tx1"/>
                  </w14:solidFill>
                </w14:textFill>
              </w:rPr>
              <w:t>迁建</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至韶州路孟岭桥西南角处，</w:t>
            </w:r>
            <w:r>
              <w:rPr>
                <w:rFonts w:hint="default" w:ascii="Times New Roman" w:hAnsi="Times New Roman" w:cs="Times New Roman"/>
                <w:color w:val="000000" w:themeColor="text1"/>
                <w:sz w:val="24"/>
                <w:szCs w:val="22"/>
                <w:highlight w:val="none"/>
                <w14:textFill>
                  <w14:solidFill>
                    <w14:schemeClr w14:val="tx1"/>
                  </w14:solidFill>
                </w14:textFill>
              </w:rPr>
              <w:t>建设规模为350张床位，总用地面积41369m</w:t>
            </w:r>
            <w:r>
              <w:rPr>
                <w:rFonts w:hint="default" w:ascii="Times New Roman" w:hAnsi="Times New Roman" w:cs="Times New Roman"/>
                <w:color w:val="000000" w:themeColor="text1"/>
                <w:sz w:val="24"/>
                <w:szCs w:val="22"/>
                <w:highlight w:val="none"/>
                <w:vertAlign w:val="superscript"/>
                <w14:textFill>
                  <w14:solidFill>
                    <w14:schemeClr w14:val="tx1"/>
                  </w14:solidFill>
                </w14:textFill>
              </w:rPr>
              <w:t>2</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；2014年8月，渑池县中医医院委托河南汇能阜力科技有限公司编制完成了《渑池县中医医院迁建项目环境影响报告书》；2014年9月11日，三门峡市环境保护局</w:t>
            </w:r>
            <w:r>
              <w:rPr>
                <w:rFonts w:hint="eastAsia" w:ascii="宋体" w:hAnsi="宋体" w:eastAsia="宋体" w:cs="宋体"/>
                <w:color w:val="000000" w:themeColor="text1"/>
                <w:sz w:val="24"/>
                <w:szCs w:val="22"/>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关于渑池县中医医院迁建项目环境影响报告书的审批意见</w:t>
            </w:r>
            <w:r>
              <w:rPr>
                <w:rFonts w:hint="eastAsia" w:ascii="宋体" w:hAnsi="宋体" w:eastAsia="宋体" w:cs="宋体"/>
                <w:color w:val="000000" w:themeColor="text1"/>
                <w:sz w:val="24"/>
                <w:szCs w:val="22"/>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，文号：三环审[2014]82号</w:t>
            </w:r>
            <w:r>
              <w:rPr>
                <w:rFonts w:hint="default" w:ascii="Times New Roman" w:hAnsi="Times New Roman" w:cs="Times New Roman"/>
                <w:color w:val="000000" w:themeColor="text1"/>
                <w:sz w:val="24"/>
                <w:szCs w:val="22"/>
                <w:highlight w:val="none"/>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目前，该医院正常运行，以下简称“现有工程”。</w:t>
            </w:r>
          </w:p>
          <w:p w14:paraId="7CC4F67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2020年，渑池县中医院决定在中医院东侧建设感染病房楼1栋（含门诊、急诊、医技、感染病房），共设计床位100张。2021年12月，渑池县中医院委托河北创录环保科技有限公司编制完成了《渑池县中医院感染病房楼工程项目环境影响报告表》；2021年12月28日，三门峡市环境保护局渑池分局出具了</w:t>
            </w:r>
            <w:r>
              <w:rPr>
                <w:rFonts w:hint="eastAsia" w:ascii="宋体" w:hAnsi="宋体" w:eastAsia="宋体" w:cs="宋体"/>
                <w:color w:val="000000" w:themeColor="text1"/>
                <w:sz w:val="24"/>
                <w:szCs w:val="22"/>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关于渑池县中医院感染病房楼工程项目环境影响报告表的批复</w:t>
            </w:r>
            <w:r>
              <w:rPr>
                <w:rFonts w:hint="eastAsia" w:ascii="宋体" w:hAnsi="宋体" w:eastAsia="宋体" w:cs="宋体"/>
                <w:color w:val="000000" w:themeColor="text1"/>
                <w:sz w:val="24"/>
                <w:szCs w:val="22"/>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，文号：三环渑局审〔2021〕35号</w:t>
            </w:r>
            <w:r>
              <w:rPr>
                <w:rFonts w:hint="default" w:ascii="Times New Roman" w:hAnsi="Times New Roman" w:cs="Times New Roman"/>
                <w:color w:val="000000" w:themeColor="text1"/>
                <w:sz w:val="24"/>
                <w:szCs w:val="22"/>
                <w:highlight w:val="none"/>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目前，项目正在建设中，以下简称“在建工程①”。</w:t>
            </w:r>
          </w:p>
          <w:p w14:paraId="10C3EC3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2019年，渑池县中医院决定在中医院西侧建设医养结合项目，共设置1260张床位，其中养老床位910张，住院床位350张。2022年07月，渑池县中医院委托陕西尚绿高科环境科技有限公司编制完成了《渑池县中医院医养结合项目环境影响报告表》；2022年9月19日，三门峡市环境保护局渑池分局出具了</w:t>
            </w:r>
            <w:r>
              <w:rPr>
                <w:rFonts w:hint="eastAsia" w:ascii="宋体" w:hAnsi="宋体" w:eastAsia="宋体" w:cs="宋体"/>
                <w:color w:val="000000" w:themeColor="text1"/>
                <w:sz w:val="24"/>
                <w:szCs w:val="22"/>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关于渑池县中医院医养结合项目环境影响报告表告知承诺制审批申请的批复</w:t>
            </w:r>
            <w:r>
              <w:rPr>
                <w:rFonts w:hint="eastAsia" w:ascii="宋体" w:hAnsi="宋体" w:eastAsia="宋体" w:cs="宋体"/>
                <w:color w:val="000000" w:themeColor="text1"/>
                <w:sz w:val="24"/>
                <w:szCs w:val="22"/>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，文号：三环渑局审〔2022〕19号</w:t>
            </w:r>
            <w:r>
              <w:rPr>
                <w:rFonts w:hint="default" w:ascii="Times New Roman" w:hAnsi="Times New Roman" w:cs="Times New Roman"/>
                <w:color w:val="000000" w:themeColor="text1"/>
                <w:sz w:val="24"/>
                <w:szCs w:val="22"/>
                <w:highlight w:val="none"/>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目前，项目正在建设中，以下简称“在建工程②”。</w:t>
            </w:r>
          </w:p>
          <w:p w14:paraId="6ED0C80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2023年05月15日，渑池县中医院完成了排污许可证延续，证书编号：12411221418285269H001U，有效期限：自2023年07月14日至2028年07月13日止。</w:t>
            </w:r>
          </w:p>
          <w:p w14:paraId="062794CC">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Times New Roman" w:hAnsi="Times New Roman" w:cs="Times New Roman"/>
                <w:b/>
                <w:bCs/>
                <w:color w:val="000000" w:themeColor="text1"/>
                <w:sz w:val="24"/>
                <w:szCs w:val="22"/>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2"/>
                <w:highlight w:val="none"/>
                <w:lang w:val="en-US" w:eastAsia="zh-CN"/>
                <w14:textFill>
                  <w14:solidFill>
                    <w14:schemeClr w14:val="tx1"/>
                  </w14:solidFill>
                </w14:textFill>
              </w:rPr>
              <w:t>本次扩建项目情况：</w:t>
            </w:r>
          </w:p>
          <w:p w14:paraId="4645AF6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color w:val="000000" w:themeColor="text1"/>
                <w:highlight w:val="yellow"/>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为促进</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渑池</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县精神专科医疗服务体系持续健康发展，提高精神疾病防治能力及服务水平，满足群众精神健康需求，</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渑池县中医院拟在“渑池县中医院感染病房楼工程项目（在建工程①）”</w:t>
            </w:r>
            <w:r>
              <w:rPr>
                <w:rFonts w:hint="eastAsia" w:ascii="Times New Roman" w:hAnsi="Times New Roman" w:cs="Times New Roman"/>
                <w:color w:val="000000" w:themeColor="text1"/>
                <w:sz w:val="24"/>
                <w:highlight w:val="none"/>
                <w:lang w:eastAsia="zh-CN"/>
                <w14:textFill>
                  <w14:solidFill>
                    <w14:schemeClr w14:val="tx1"/>
                  </w14:solidFill>
                </w14:textFill>
              </w:rPr>
              <w:t>院内</w:t>
            </w:r>
            <w:r>
              <w:rPr>
                <w:rFonts w:hint="eastAsia" w:ascii="Times New Roman" w:hAnsi="Times New Roman" w:cs="Times New Roman"/>
                <w:color w:val="000000" w:themeColor="text1"/>
                <w:sz w:val="24"/>
                <w:highlight w:val="none"/>
                <w:lang w:val="en-US" w:eastAsia="zh-CN"/>
                <w14:textFill>
                  <w14:solidFill>
                    <w14:schemeClr w14:val="tx1"/>
                  </w14:solidFill>
                </w14:textFill>
              </w:rPr>
              <w:t>扩建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精神卫生和心理健康防治中心项目，主要建设精神病房楼1栋，拟设105张床位。</w:t>
            </w:r>
          </w:p>
          <w:p w14:paraId="7B1EF90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根据《中华人民共和国环境保护法》、《中华人民共和国环境影响评价法》和《建设项目环境保护管理条例》的规定和要求，</w:t>
            </w:r>
            <w:r>
              <w:rPr>
                <w:rFonts w:hint="eastAsia" w:ascii="Times New Roman" w:hAnsi="Times New Roman" w:cs="Times New Roman"/>
                <w:bCs/>
                <w:color w:val="000000" w:themeColor="text1"/>
                <w:sz w:val="24"/>
                <w:highlight w:val="none"/>
                <w:lang w:eastAsia="zh-CN"/>
                <w14:textFill>
                  <w14:solidFill>
                    <w14:schemeClr w14:val="tx1"/>
                  </w14:solidFill>
                </w14:textFill>
              </w:rPr>
              <w:t>扩建项目</w:t>
            </w:r>
            <w:r>
              <w:rPr>
                <w:rFonts w:hint="default" w:ascii="Times New Roman" w:hAnsi="Times New Roman" w:cs="Times New Roman"/>
                <w:bCs/>
                <w:color w:val="000000" w:themeColor="text1"/>
                <w:sz w:val="24"/>
                <w:highlight w:val="none"/>
                <w14:textFill>
                  <w14:solidFill>
                    <w14:schemeClr w14:val="tx1"/>
                  </w14:solidFill>
                </w14:textFill>
              </w:rPr>
              <w:t>需进行环境影响评价。根据《建设项目环境影响评价分类管理名录》（2021年版），</w:t>
            </w:r>
            <w:r>
              <w:rPr>
                <w:rFonts w:hint="eastAsia" w:ascii="Times New Roman" w:hAnsi="Times New Roman" w:cs="Times New Roman"/>
                <w:bCs/>
                <w:color w:val="000000" w:themeColor="text1"/>
                <w:sz w:val="24"/>
                <w:highlight w:val="none"/>
                <w:lang w:eastAsia="zh-CN"/>
                <w14:textFill>
                  <w14:solidFill>
                    <w14:schemeClr w14:val="tx1"/>
                  </w14:solidFill>
                </w14:textFill>
              </w:rPr>
              <w:t>扩建项目</w:t>
            </w:r>
            <w:r>
              <w:rPr>
                <w:rFonts w:hint="eastAsia" w:ascii="Times New Roman" w:hAnsi="Times New Roman" w:cs="Times New Roman"/>
                <w:bCs/>
                <w:color w:val="000000" w:themeColor="text1"/>
                <w:sz w:val="24"/>
                <w:highlight w:val="none"/>
                <w:lang w:val="en-US" w:eastAsia="zh-CN"/>
                <w14:textFill>
                  <w14:solidFill>
                    <w14:schemeClr w14:val="tx1"/>
                  </w14:solidFill>
                </w14:textFill>
              </w:rPr>
              <w:t>为</w:t>
            </w:r>
            <w:r>
              <w:rPr>
                <w:rFonts w:hint="eastAsia" w:ascii="Times New Roman" w:hAnsi="Times New Roman" w:cs="Times New Roman"/>
                <w:bCs/>
                <w:color w:val="000000" w:themeColor="text1"/>
                <w:sz w:val="24"/>
                <w:highlight w:val="none"/>
                <w:lang w:eastAsia="zh-CN"/>
                <w14:textFill>
                  <w14:solidFill>
                    <w14:schemeClr w14:val="tx1"/>
                  </w14:solidFill>
                </w14:textFill>
              </w:rPr>
              <w:t>精神卫生和心理健康防治中心</w:t>
            </w:r>
            <w:r>
              <w:rPr>
                <w:rFonts w:hint="eastAsia" w:ascii="Times New Roman" w:hAnsi="Times New Roman" w:cs="Times New Roman"/>
                <w:bCs/>
                <w:color w:val="000000" w:themeColor="text1"/>
                <w:sz w:val="24"/>
                <w:highlight w:val="none"/>
                <w:lang w:val="en-US" w:eastAsia="zh-CN"/>
                <w14:textFill>
                  <w14:solidFill>
                    <w14:schemeClr w14:val="tx1"/>
                  </w14:solidFill>
                </w14:textFill>
              </w:rPr>
              <w:t>，拟设床位105张，</w:t>
            </w:r>
            <w:r>
              <w:rPr>
                <w:rFonts w:hint="default" w:ascii="Times New Roman" w:hAnsi="Times New Roman" w:cs="Times New Roman"/>
                <w:bCs/>
                <w:color w:val="000000" w:themeColor="text1"/>
                <w:sz w:val="24"/>
                <w:highlight w:val="none"/>
                <w14:textFill>
                  <w14:solidFill>
                    <w14:schemeClr w14:val="tx1"/>
                  </w14:solidFill>
                </w14:textFill>
              </w:rPr>
              <w:t>属于</w:t>
            </w:r>
            <w:r>
              <w:rPr>
                <w:rFonts w:hint="eastAsia" w:ascii="宋体" w:hAnsi="宋体" w:eastAsia="宋体" w:cs="宋体"/>
                <w:bCs/>
                <w:color w:val="000000" w:themeColor="text1"/>
                <w:sz w:val="24"/>
                <w:highlight w:val="none"/>
                <w14:textFill>
                  <w14:solidFill>
                    <w14:schemeClr w14:val="tx1"/>
                  </w14:solidFill>
                </w14:textFill>
              </w:rPr>
              <w:t>“</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四十九、卫生</w:t>
            </w:r>
            <w:r>
              <w:rPr>
                <w:rFonts w:hint="default" w:ascii="Times New Roman" w:hAnsi="Times New Roman" w:cs="Times New Roman"/>
                <w:bCs/>
                <w:color w:val="000000" w:themeColor="text1"/>
                <w:sz w:val="24"/>
                <w:highlight w:val="none"/>
                <w:lang w:val="en-US" w:eastAsia="zh-CN"/>
                <w14:textFill>
                  <w14:solidFill>
                    <w14:schemeClr w14:val="tx1"/>
                  </w14:solidFill>
                </w14:textFill>
              </w:rPr>
              <w:t xml:space="preserve"> </w:t>
            </w:r>
            <w:r>
              <w:rPr>
                <w:rFonts w:hint="eastAsia" w:ascii="Times New Roman" w:hAnsi="Times New Roman" w:cs="Times New Roman"/>
                <w:bCs/>
                <w:color w:val="000000" w:themeColor="text1"/>
                <w:sz w:val="24"/>
                <w:highlight w:val="none"/>
                <w:lang w:val="en-US" w:eastAsia="zh-CN"/>
                <w14:textFill>
                  <w14:solidFill>
                    <w14:schemeClr w14:val="tx1"/>
                  </w14:solidFill>
                </w14:textFill>
              </w:rPr>
              <w:t>108.</w:t>
            </w:r>
            <w:r>
              <w:rPr>
                <w:rFonts w:hint="default" w:ascii="Times New Roman" w:hAnsi="Times New Roman" w:cs="Times New Roman"/>
                <w:bCs/>
                <w:color w:val="000000" w:themeColor="text1"/>
                <w:sz w:val="24"/>
                <w:highlight w:val="none"/>
                <w:lang w:val="en-US" w:eastAsia="zh-CN"/>
                <w14:textFill>
                  <w14:solidFill>
                    <w14:schemeClr w14:val="tx1"/>
                  </w14:solidFill>
                </w14:textFill>
              </w:rPr>
              <w:t>专科疾病防治院(所、站)8432</w:t>
            </w:r>
            <w:r>
              <w:rPr>
                <w:rFonts w:hint="default" w:ascii="宋体" w:hAnsi="宋体" w:eastAsia="宋体" w:cs="宋体"/>
                <w:bCs/>
                <w:color w:val="000000" w:themeColor="text1"/>
                <w:sz w:val="24"/>
                <w:highlight w:val="none"/>
                <w:lang w:eastAsia="zh-CN"/>
                <w14:textFill>
                  <w14:solidFill>
                    <w14:schemeClr w14:val="tx1"/>
                  </w14:solidFill>
                </w14:textFill>
              </w:rPr>
              <w:t>”“</w:t>
            </w:r>
            <w:r>
              <w:rPr>
                <w:rFonts w:hint="default" w:ascii="宋体" w:hAnsi="宋体" w:eastAsia="宋体" w:cs="宋体"/>
                <w:bCs/>
                <w:color w:val="000000" w:themeColor="text1"/>
                <w:sz w:val="24"/>
                <w:highlight w:val="none"/>
                <w:lang w:val="en-US" w:eastAsia="zh-CN"/>
                <w14:textFill>
                  <w14:solidFill>
                    <w14:schemeClr w14:val="tx1"/>
                  </w14:solidFill>
                </w14:textFill>
              </w:rPr>
              <w:t>其</w:t>
            </w:r>
            <w:r>
              <w:rPr>
                <w:rFonts w:hint="default" w:ascii="Times New Roman" w:hAnsi="Times New Roman" w:cs="Times New Roman"/>
                <w:bCs/>
                <w:color w:val="000000" w:themeColor="text1"/>
                <w:sz w:val="24"/>
                <w:highlight w:val="none"/>
                <w:lang w:val="en-US" w:eastAsia="zh-CN"/>
                <w14:textFill>
                  <w14:solidFill>
                    <w14:schemeClr w14:val="tx1"/>
                  </w14:solidFill>
                </w14:textFill>
              </w:rPr>
              <w:t>他</w:t>
            </w:r>
            <w:r>
              <w:rPr>
                <w:rFonts w:hint="eastAsia" w:ascii="Times New Roman" w:hAnsi="Times New Roman" w:cs="Times New Roman"/>
                <w:bCs/>
                <w:color w:val="000000" w:themeColor="text1"/>
                <w:sz w:val="24"/>
                <w:highlight w:val="none"/>
                <w:lang w:val="en-US" w:eastAsia="zh-CN"/>
                <w14:textFill>
                  <w14:solidFill>
                    <w14:schemeClr w14:val="tx1"/>
                  </w14:solidFill>
                </w14:textFill>
              </w:rPr>
              <w:t>（住院床位20张以下的除外）</w:t>
            </w:r>
            <w:r>
              <w:rPr>
                <w:rFonts w:hint="eastAsia" w:ascii="宋体" w:hAnsi="宋体" w:eastAsia="宋体" w:cs="宋体"/>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类，需要编制环境影响报告表。为此，建设单位委托</w:t>
            </w:r>
            <w:r>
              <w:rPr>
                <w:rFonts w:hint="eastAsia" w:ascii="Times New Roman" w:hAnsi="Times New Roman" w:cs="Times New Roman"/>
                <w:bCs/>
                <w:color w:val="000000" w:themeColor="text1"/>
                <w:sz w:val="24"/>
                <w:highlight w:val="none"/>
                <w:lang w:val="en-US" w:eastAsia="zh-CN"/>
                <w14:textFill>
                  <w14:solidFill>
                    <w14:schemeClr w14:val="tx1"/>
                  </w14:solidFill>
                </w14:textFill>
              </w:rPr>
              <w:t>我公司</w:t>
            </w:r>
            <w:r>
              <w:rPr>
                <w:rFonts w:hint="default" w:ascii="Times New Roman" w:hAnsi="Times New Roman" w:cs="Times New Roman"/>
                <w:bCs/>
                <w:color w:val="000000" w:themeColor="text1"/>
                <w:sz w:val="24"/>
                <w:highlight w:val="none"/>
                <w14:textFill>
                  <w14:solidFill>
                    <w14:schemeClr w14:val="tx1"/>
                  </w14:solidFill>
                </w14:textFill>
              </w:rPr>
              <w:t>承担该项目的环境影响评价工作（见附件</w:t>
            </w:r>
            <w:r>
              <w:rPr>
                <w:rFonts w:hint="eastAsia" w:ascii="Times New Roman" w:hAnsi="Times New Roman"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Cs/>
                <w:color w:val="000000" w:themeColor="text1"/>
                <w:sz w:val="24"/>
                <w:highlight w:val="none"/>
                <w14:textFill>
                  <w14:solidFill>
                    <w14:schemeClr w14:val="tx1"/>
                  </w14:solidFill>
                </w14:textFill>
              </w:rPr>
              <w:t>）。公司在接受委托后，组织人员对项目场地进行了现场踏勘，在了解区域环境现状，对建设项目进行充分分析的基础上，根据国家和</w:t>
            </w:r>
            <w:r>
              <w:rPr>
                <w:rFonts w:hint="default" w:ascii="Times New Roman" w:hAnsi="Times New Roman" w:cs="Times New Roman"/>
                <w:bCs/>
                <w:color w:val="000000" w:themeColor="text1"/>
                <w:sz w:val="24"/>
                <w:highlight w:val="none"/>
                <w:lang w:val="en-US" w:eastAsia="zh-CN"/>
                <w14:textFill>
                  <w14:solidFill>
                    <w14:schemeClr w14:val="tx1"/>
                  </w14:solidFill>
                </w14:textFill>
              </w:rPr>
              <w:t>河南</w:t>
            </w:r>
            <w:r>
              <w:rPr>
                <w:rFonts w:hint="default" w:ascii="Times New Roman" w:hAnsi="Times New Roman" w:cs="Times New Roman"/>
                <w:bCs/>
                <w:color w:val="000000" w:themeColor="text1"/>
                <w:sz w:val="24"/>
                <w:highlight w:val="none"/>
                <w14:textFill>
                  <w14:solidFill>
                    <w14:schemeClr w14:val="tx1"/>
                  </w14:solidFill>
                </w14:textFill>
              </w:rPr>
              <w:t>省环保法规、标准和环境影响评价技术导则相关要求，编制完成了《</w:t>
            </w:r>
            <w:r>
              <w:rPr>
                <w:rFonts w:hint="eastAsia" w:ascii="Times New Roman" w:hAnsi="Times New Roman" w:cs="Times New Roman"/>
                <w:bCs/>
                <w:color w:val="000000" w:themeColor="text1"/>
                <w:sz w:val="24"/>
                <w:highlight w:val="none"/>
                <w:lang w:eastAsia="zh-CN"/>
                <w14:textFill>
                  <w14:solidFill>
                    <w14:schemeClr w14:val="tx1"/>
                  </w14:solidFill>
                </w14:textFill>
              </w:rPr>
              <w:t>渑池县中医院精神卫生和心理健康防治中心项目</w:t>
            </w:r>
            <w:r>
              <w:rPr>
                <w:rFonts w:hint="default" w:ascii="Times New Roman" w:hAnsi="Times New Roman" w:cs="Times New Roman"/>
                <w:bCs/>
                <w:color w:val="000000" w:themeColor="text1"/>
                <w:sz w:val="24"/>
                <w:highlight w:val="none"/>
                <w14:textFill>
                  <w14:solidFill>
                    <w14:schemeClr w14:val="tx1"/>
                  </w14:solidFill>
                </w14:textFill>
              </w:rPr>
              <w:t>环境影响报告表》。</w:t>
            </w:r>
          </w:p>
          <w:p w14:paraId="18CA7394">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outlineLvl w:val="9"/>
              <w:rPr>
                <w:rFonts w:hint="default"/>
                <w:b w:val="0"/>
                <w:bCs w:val="0"/>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t>本</w:t>
            </w:r>
            <w:r>
              <w:rPr>
                <w:rFonts w:hint="eastAsia" w:ascii="Times New Roman" w:hAnsi="Times New Roman" w:cs="Times New Roman"/>
                <w:b/>
                <w:bCs/>
                <w:color w:val="000000" w:themeColor="text1"/>
                <w:sz w:val="24"/>
                <w:szCs w:val="24"/>
                <w:highlight w:val="none"/>
                <w:u w:val="none"/>
                <w:lang w:eastAsia="zh-CN"/>
                <w14:textFill>
                  <w14:solidFill>
                    <w14:schemeClr w14:val="tx1"/>
                  </w14:solidFill>
                </w14:textFill>
              </w:rPr>
              <w:t>项目</w:t>
            </w:r>
            <w:r>
              <w:rPr>
                <w:rFonts w:hint="default" w:ascii="Times New Roman" w:hAnsi="Times New Roman" w:cs="Times New Roman"/>
                <w:b/>
                <w:bCs/>
                <w:color w:val="000000" w:themeColor="text1"/>
                <w:sz w:val="24"/>
                <w:szCs w:val="24"/>
                <w:highlight w:val="none"/>
                <w:u w:val="none"/>
                <w14:textFill>
                  <w14:solidFill>
                    <w14:schemeClr w14:val="tx1"/>
                  </w14:solidFill>
                </w14:textFill>
              </w:rPr>
              <w:t>设置有影像服务，CT等设备在使用的过程中会产生电磁辐射，根据《放射性同位素与射线装置安全许可政管理办法》（2008年11月21日修改）中规定，涉及放射性同位素与射线装置的环评应委托有资质的机构对其另行环评，本次环评不对放射科设备的电磁辐射进行环评。</w:t>
            </w:r>
          </w:p>
          <w:p w14:paraId="1A06D49A">
            <w:pPr>
              <w:keepNext w:val="0"/>
              <w:keepLines w:val="0"/>
              <w:pageBreakBefore w:val="0"/>
              <w:widowControl w:val="0"/>
              <w:kinsoku/>
              <w:wordWrap/>
              <w:overflowPunct/>
              <w:topLinePunct w:val="0"/>
              <w:autoSpaceDE/>
              <w:autoSpaceDN/>
              <w:bidi w:val="0"/>
              <w:adjustRightInd/>
              <w:snapToGrid/>
              <w:spacing w:line="500" w:lineRule="exact"/>
              <w:outlineLvl w:val="9"/>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2</w:t>
            </w:r>
            <w:r>
              <w:rPr>
                <w:rFonts w:hint="default" w:ascii="Times New Roman" w:hAnsi="Times New Roman" w:cs="Times New Roman"/>
                <w:b/>
                <w:color w:val="000000" w:themeColor="text1"/>
                <w:sz w:val="24"/>
                <w:highlight w:val="none"/>
                <w14:textFill>
                  <w14:solidFill>
                    <w14:schemeClr w14:val="tx1"/>
                  </w14:solidFill>
                </w14:textFill>
              </w:rPr>
              <w:t>、地理位置及周围环境概况</w:t>
            </w:r>
          </w:p>
          <w:p w14:paraId="489548D8">
            <w:pPr>
              <w:keepNext w:val="0"/>
              <w:keepLines w:val="0"/>
              <w:pageBreakBefore w:val="0"/>
              <w:widowControl w:val="0"/>
              <w:kinsoku/>
              <w:wordWrap/>
              <w:overflowPunct/>
              <w:topLinePunct w:val="0"/>
              <w:autoSpaceDE/>
              <w:autoSpaceDN/>
              <w:bidi w:val="0"/>
              <w:adjustRightInd/>
              <w:snapToGrid/>
              <w:spacing w:line="500" w:lineRule="exact"/>
              <w:ind w:firstLine="480" w:firstLineChars="200"/>
              <w:outlineLvl w:val="9"/>
              <w:rPr>
                <w:rFonts w:hint="default"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扩建</w:t>
            </w:r>
            <w:r>
              <w:rPr>
                <w:rFonts w:hint="default" w:ascii="Times New Roman" w:hAnsi="Times New Roman" w:cs="Times New Roman"/>
                <w:color w:val="000000" w:themeColor="text1"/>
                <w:kern w:val="24"/>
                <w:sz w:val="24"/>
                <w:highlight w:val="none"/>
                <w14:textFill>
                  <w14:solidFill>
                    <w14:schemeClr w14:val="tx1"/>
                  </w14:solidFill>
                </w14:textFill>
              </w:rPr>
              <w:t>项目位于</w:t>
            </w:r>
            <w:r>
              <w:rPr>
                <w:rFonts w:hint="eastAsia" w:ascii="Times New Roman" w:hAnsi="Times New Roman" w:cs="Times New Roman"/>
                <w:color w:val="000000" w:themeColor="text1"/>
                <w:sz w:val="24"/>
                <w:highlight w:val="none"/>
                <w:lang w:eastAsia="zh-CN"/>
                <w14:textFill>
                  <w14:solidFill>
                    <w14:schemeClr w14:val="tx1"/>
                  </w14:solidFill>
                </w14:textFill>
              </w:rPr>
              <w:t>渑池县城关镇孟岭村韶州路东段、县中医院东侧感染病房楼院内</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kern w:val="24"/>
                <w:sz w:val="24"/>
                <w:highlight w:val="none"/>
                <w14:textFill>
                  <w14:solidFill>
                    <w14:schemeClr w14:val="tx1"/>
                  </w14:solidFill>
                </w14:textFill>
              </w:rPr>
              <w:t>详</w:t>
            </w:r>
            <w:r>
              <w:rPr>
                <w:rFonts w:hint="default" w:ascii="Times New Roman" w:hAnsi="Times New Roman" w:cs="Times New Roman"/>
                <w:color w:val="000000" w:themeColor="text1"/>
                <w:sz w:val="24"/>
                <w:highlight w:val="none"/>
                <w14:textFill>
                  <w14:solidFill>
                    <w14:schemeClr w14:val="tx1"/>
                  </w14:solidFill>
                </w14:textFill>
              </w:rPr>
              <w:t>见附图</w:t>
            </w:r>
            <w:r>
              <w:rPr>
                <w:rFonts w:hint="eastAsia" w:ascii="Times New Roman" w:hAnsi="Times New Roman"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14:textFill>
                  <w14:solidFill>
                    <w14:schemeClr w14:val="tx1"/>
                  </w14:solidFill>
                </w14:textFill>
              </w:rPr>
              <w:t>。</w:t>
            </w:r>
          </w:p>
          <w:p w14:paraId="1594D9D0">
            <w:pPr>
              <w:keepNext w:val="0"/>
              <w:keepLines w:val="0"/>
              <w:pageBreakBefore w:val="0"/>
              <w:widowControl w:val="0"/>
              <w:kinsoku/>
              <w:wordWrap/>
              <w:overflowPunct/>
              <w:topLinePunct w:val="0"/>
              <w:autoSpaceDE/>
              <w:autoSpaceDN/>
              <w:bidi w:val="0"/>
              <w:adjustRightInd/>
              <w:snapToGrid/>
              <w:spacing w:line="500" w:lineRule="exact"/>
              <w:ind w:firstLine="480" w:firstLineChars="200"/>
              <w:outlineLvl w:val="9"/>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kern w:val="24"/>
                <w:sz w:val="24"/>
                <w:highlight w:val="none"/>
                <w14:textFill>
                  <w14:solidFill>
                    <w14:schemeClr w14:val="tx1"/>
                  </w14:solidFill>
                </w14:textFill>
              </w:rPr>
              <w:t>根据现场调查可知，</w:t>
            </w:r>
            <w:r>
              <w:rPr>
                <w:rFonts w:hint="eastAsia" w:ascii="Times New Roman" w:hAnsi="Times New Roman" w:cs="Times New Roman"/>
                <w:color w:val="000000" w:themeColor="text1"/>
                <w:sz w:val="24"/>
                <w:highlight w:val="none"/>
                <w:lang w:val="en-US" w:eastAsia="zh-CN"/>
                <w14:textFill>
                  <w14:solidFill>
                    <w14:schemeClr w14:val="tx1"/>
                  </w14:solidFill>
                </w14:textFill>
              </w:rPr>
              <w:t>扩建项目所在</w:t>
            </w:r>
            <w:r>
              <w:rPr>
                <w:rFonts w:hint="eastAsia" w:ascii="Times New Roman" w:hAnsi="Times New Roman" w:cs="Times New Roman"/>
                <w:color w:val="000000" w:themeColor="text1"/>
                <w:kern w:val="24"/>
                <w:sz w:val="24"/>
                <w:highlight w:val="none"/>
                <w:lang w:val="en-US" w:eastAsia="zh-CN"/>
                <w14:textFill>
                  <w14:solidFill>
                    <w14:schemeClr w14:val="tx1"/>
                  </w14:solidFill>
                </w14:textFill>
              </w:rPr>
              <w:t>院区东侧为绿化树林及农田，南侧为空地，西侧为荒沟，北侧为韶州路</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24"/>
                <w:sz w:val="24"/>
                <w:highlight w:val="none"/>
                <w14:textFill>
                  <w14:solidFill>
                    <w14:schemeClr w14:val="tx1"/>
                  </w14:solidFill>
                </w14:textFill>
              </w:rPr>
              <w:t>周围敏感点主要为</w:t>
            </w:r>
            <w:r>
              <w:rPr>
                <w:rFonts w:hint="eastAsia" w:ascii="Times New Roman" w:hAnsi="Times New Roman" w:cs="Times New Roman"/>
                <w:color w:val="000000" w:themeColor="text1"/>
                <w:kern w:val="24"/>
                <w:sz w:val="24"/>
                <w:highlight w:val="none"/>
                <w:lang w:val="en-US" w:eastAsia="zh-CN"/>
                <w14:textFill>
                  <w14:solidFill>
                    <w14:schemeClr w14:val="tx1"/>
                  </w14:solidFill>
                </w14:textFill>
              </w:rPr>
              <w:t>院区西南12</w:t>
            </w:r>
            <w:r>
              <w:rPr>
                <w:rFonts w:hint="default" w:ascii="Times New Roman" w:hAnsi="Times New Roman" w:cs="Times New Roman"/>
                <w:color w:val="000000" w:themeColor="text1"/>
                <w:kern w:val="24"/>
                <w:sz w:val="24"/>
                <w:highlight w:val="none"/>
                <w:lang w:val="en-US" w:eastAsia="zh-CN"/>
                <w14:textFill>
                  <w14:solidFill>
                    <w14:schemeClr w14:val="tx1"/>
                  </w14:solidFill>
                </w14:textFill>
              </w:rPr>
              <w:t>0m</w:t>
            </w:r>
            <w:r>
              <w:rPr>
                <w:rFonts w:hint="default" w:ascii="Times New Roman" w:hAnsi="Times New Roman" w:cs="Times New Roman"/>
                <w:color w:val="000000" w:themeColor="text1"/>
                <w:kern w:val="24"/>
                <w:sz w:val="24"/>
                <w:highlight w:val="none"/>
                <w14:textFill>
                  <w14:solidFill>
                    <w14:schemeClr w14:val="tx1"/>
                  </w14:solidFill>
                </w14:textFill>
              </w:rPr>
              <w:t>处的</w:t>
            </w:r>
            <w:r>
              <w:rPr>
                <w:rFonts w:hint="eastAsia" w:ascii="Times New Roman" w:hAnsi="Times New Roman" w:cs="Times New Roman"/>
                <w:color w:val="000000" w:themeColor="text1"/>
                <w:kern w:val="24"/>
                <w:sz w:val="24"/>
                <w:highlight w:val="none"/>
                <w:lang w:val="en-US" w:eastAsia="zh-CN"/>
                <w14:textFill>
                  <w14:solidFill>
                    <w14:schemeClr w14:val="tx1"/>
                  </w14:solidFill>
                </w14:textFill>
              </w:rPr>
              <w:t>翰林实验学校、西北260</w:t>
            </w:r>
            <w:r>
              <w:rPr>
                <w:rFonts w:hint="default" w:ascii="Times New Roman" w:hAnsi="Times New Roman" w:cs="Times New Roman"/>
                <w:color w:val="000000" w:themeColor="text1"/>
                <w:kern w:val="24"/>
                <w:sz w:val="24"/>
                <w:highlight w:val="none"/>
                <w14:textFill>
                  <w14:solidFill>
                    <w14:schemeClr w14:val="tx1"/>
                  </w14:solidFill>
                </w14:textFill>
              </w:rPr>
              <w:t>m</w:t>
            </w:r>
            <w:r>
              <w:rPr>
                <w:rFonts w:hint="eastAsia" w:ascii="Times New Roman" w:hAnsi="Times New Roman" w:cs="Times New Roman"/>
                <w:color w:val="000000" w:themeColor="text1"/>
                <w:kern w:val="24"/>
                <w:sz w:val="24"/>
                <w:highlight w:val="none"/>
                <w:lang w:val="en-US" w:eastAsia="zh-CN"/>
                <w14:textFill>
                  <w14:solidFill>
                    <w14:schemeClr w14:val="tx1"/>
                  </w14:solidFill>
                </w14:textFill>
              </w:rPr>
              <w:t>处的乔岭村、西南290处的后窑等</w:t>
            </w:r>
            <w:r>
              <w:rPr>
                <w:rFonts w:hint="default" w:ascii="Times New Roman" w:hAnsi="Times New Roman" w:cs="Times New Roman"/>
                <w:color w:val="000000" w:themeColor="text1"/>
                <w:kern w:val="24"/>
                <w:sz w:val="24"/>
                <w:highlight w:val="none"/>
                <w14:textFill>
                  <w14:solidFill>
                    <w14:schemeClr w14:val="tx1"/>
                  </w14:solidFill>
                </w14:textFill>
              </w:rPr>
              <w:t>，</w:t>
            </w:r>
            <w:r>
              <w:rPr>
                <w:rFonts w:hint="eastAsia" w:ascii="Times New Roman" w:hAnsi="Times New Roman" w:cs="Times New Roman"/>
                <w:color w:val="000000" w:themeColor="text1"/>
                <w:kern w:val="24"/>
                <w:sz w:val="24"/>
                <w:highlight w:val="none"/>
                <w:lang w:val="en-US" w:eastAsia="zh-CN"/>
                <w14:textFill>
                  <w14:solidFill>
                    <w14:schemeClr w14:val="tx1"/>
                  </w14:solidFill>
                </w14:textFill>
              </w:rPr>
              <w:t>周围概况详见</w:t>
            </w:r>
            <w:r>
              <w:rPr>
                <w:rFonts w:hint="default" w:ascii="Times New Roman" w:hAnsi="Times New Roman" w:cs="Times New Roman"/>
                <w:color w:val="000000" w:themeColor="text1"/>
                <w:kern w:val="24"/>
                <w:sz w:val="24"/>
                <w:highlight w:val="none"/>
                <w14:textFill>
                  <w14:solidFill>
                    <w14:schemeClr w14:val="tx1"/>
                  </w14:solidFill>
                </w14:textFill>
              </w:rPr>
              <w:t>附图</w:t>
            </w:r>
            <w:r>
              <w:rPr>
                <w:rFonts w:hint="eastAsia" w:ascii="Times New Roman" w:hAnsi="Times New Roman" w:cs="Times New Roman"/>
                <w:color w:val="000000" w:themeColor="text1"/>
                <w:kern w:val="24"/>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w:t>
            </w:r>
          </w:p>
          <w:p w14:paraId="2BAC7AA2">
            <w:pPr>
              <w:keepNext w:val="0"/>
              <w:keepLines w:val="0"/>
              <w:pageBreakBefore w:val="0"/>
              <w:widowControl w:val="0"/>
              <w:kinsoku/>
              <w:wordWrap/>
              <w:overflowPunct/>
              <w:topLinePunct w:val="0"/>
              <w:autoSpaceDE/>
              <w:autoSpaceDN/>
              <w:bidi w:val="0"/>
              <w:adjustRightInd/>
              <w:snapToGrid/>
              <w:spacing w:line="500" w:lineRule="exact"/>
              <w:outlineLvl w:val="9"/>
              <w:rPr>
                <w:rFonts w:hint="default"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lang w:val="en-US" w:eastAsia="zh-CN"/>
                <w14:textFill>
                  <w14:solidFill>
                    <w14:schemeClr w14:val="tx1"/>
                  </w14:solidFill>
                </w14:textFill>
              </w:rPr>
              <w:t>3</w:t>
            </w:r>
            <w:r>
              <w:rPr>
                <w:rFonts w:hint="default" w:ascii="Times New Roman" w:hAnsi="Times New Roman" w:cs="Times New Roman"/>
                <w:b/>
                <w:color w:val="000000" w:themeColor="text1"/>
                <w:sz w:val="24"/>
                <w:highlight w:val="none"/>
                <w14:textFill>
                  <w14:solidFill>
                    <w14:schemeClr w14:val="tx1"/>
                  </w14:solidFill>
                </w14:textFill>
              </w:rPr>
              <w:t>、建设内容</w:t>
            </w:r>
          </w:p>
          <w:p w14:paraId="49D26EFA">
            <w:pPr>
              <w:keepNext w:val="0"/>
              <w:keepLines w:val="0"/>
              <w:pageBreakBefore w:val="0"/>
              <w:widowControl w:val="0"/>
              <w:kinsoku/>
              <w:wordWrap/>
              <w:overflowPunct/>
              <w:topLinePunct w:val="0"/>
              <w:autoSpaceDE/>
              <w:autoSpaceDN/>
              <w:bidi w:val="0"/>
              <w:adjustRightInd/>
              <w:snapToGrid/>
              <w:spacing w:after="157" w:afterLines="50" w:line="500" w:lineRule="exact"/>
              <w:ind w:firstLine="360" w:firstLineChars="150"/>
              <w:textAlignment w:val="baseline"/>
              <w:outlineLvl w:val="9"/>
              <w:rPr>
                <w:rFonts w:hint="default" w:ascii="Times New Roman" w:hAnsi="Times New Roman" w:cs="Times New Roman"/>
                <w:b w:val="0"/>
                <w:bCs/>
                <w:color w:val="000000" w:themeColor="text1"/>
                <w:sz w:val="24"/>
                <w:highlight w:val="none"/>
                <w:u w:val="none"/>
                <w14:textFill>
                  <w14:solidFill>
                    <w14:schemeClr w14:val="tx1"/>
                  </w14:solidFill>
                </w14:textFill>
              </w:rPr>
            </w:pPr>
            <w:r>
              <w:rPr>
                <w:rFonts w:hint="eastAsia" w:ascii="Times New Roman" w:hAnsi="Times New Roman" w:cs="Times New Roman"/>
                <w:b w:val="0"/>
                <w:bCs/>
                <w:color w:val="000000" w:themeColor="text1"/>
                <w:kern w:val="24"/>
                <w:sz w:val="24"/>
                <w:highlight w:val="none"/>
                <w:u w:val="none"/>
                <w:lang w:val="en-US" w:eastAsia="zh-CN"/>
                <w14:textFill>
                  <w14:solidFill>
                    <w14:schemeClr w14:val="tx1"/>
                  </w14:solidFill>
                </w14:textFill>
              </w:rPr>
              <w:t>本项目系</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在渑池县中医院感染病房楼工程项目（在建工程①）</w:t>
            </w:r>
            <w:r>
              <w:rPr>
                <w:rFonts w:hint="eastAsia" w:ascii="Times New Roman" w:hAnsi="Times New Roman" w:cs="Times New Roman"/>
                <w:color w:val="000000" w:themeColor="text1"/>
                <w:sz w:val="24"/>
                <w:highlight w:val="none"/>
                <w:lang w:eastAsia="zh-CN"/>
                <w14:textFill>
                  <w14:solidFill>
                    <w14:schemeClr w14:val="tx1"/>
                  </w14:solidFill>
                </w14:textFill>
              </w:rPr>
              <w:t>院内</w:t>
            </w:r>
            <w:r>
              <w:rPr>
                <w:rFonts w:hint="eastAsia" w:ascii="Times New Roman" w:hAnsi="Times New Roman" w:cs="Times New Roman"/>
                <w:color w:val="000000" w:themeColor="text1"/>
                <w:sz w:val="24"/>
                <w:highlight w:val="none"/>
                <w:lang w:val="en-US" w:eastAsia="zh-CN"/>
                <w14:textFill>
                  <w14:solidFill>
                    <w14:schemeClr w14:val="tx1"/>
                  </w14:solidFill>
                </w14:textFill>
              </w:rPr>
              <w:t>扩建</w:t>
            </w:r>
            <w:r>
              <w:rPr>
                <w:rFonts w:hint="eastAsia" w:ascii="Times New Roman" w:hAnsi="Times New Roman" w:cs="Times New Roman"/>
                <w:b w:val="0"/>
                <w:bCs/>
                <w:color w:val="000000" w:themeColor="text1"/>
                <w:kern w:val="24"/>
                <w:sz w:val="24"/>
                <w:highlight w:val="none"/>
                <w:u w:val="none"/>
                <w:lang w:val="en-US" w:eastAsia="zh-CN"/>
                <w14:textFill>
                  <w14:solidFill>
                    <w14:schemeClr w14:val="tx1"/>
                  </w14:solidFill>
                </w14:textFill>
              </w:rPr>
              <w:t>一栋6层精神病房楼，设计床位数105张。主要包括建设工程、道路广场工程、绿化工程以及相关医疗设备购置。</w:t>
            </w:r>
            <w:r>
              <w:rPr>
                <w:rFonts w:hint="default" w:ascii="Times New Roman" w:hAnsi="Times New Roman" w:cs="Times New Roman"/>
                <w:b w:val="0"/>
                <w:bCs/>
                <w:color w:val="000000" w:themeColor="text1"/>
                <w:kern w:val="24"/>
                <w:sz w:val="24"/>
                <w:highlight w:val="none"/>
                <w:u w:val="none"/>
                <w:lang w:val="en-US" w:eastAsia="zh-CN"/>
                <w14:textFill>
                  <w14:solidFill>
                    <w14:schemeClr w14:val="tx1"/>
                  </w14:solidFill>
                </w14:textFill>
              </w:rPr>
              <w:t>项目的具体建设规模与内容</w:t>
            </w:r>
            <w:r>
              <w:rPr>
                <w:rFonts w:hint="eastAsia" w:ascii="Times New Roman" w:hAnsi="Times New Roman" w:cs="Times New Roman"/>
                <w:b w:val="0"/>
                <w:bCs/>
                <w:color w:val="000000" w:themeColor="text1"/>
                <w:kern w:val="24"/>
                <w:sz w:val="24"/>
                <w:highlight w:val="none"/>
                <w:u w:val="none"/>
                <w:lang w:val="en-US" w:eastAsia="zh-CN"/>
                <w14:textFill>
                  <w14:solidFill>
                    <w14:schemeClr w14:val="tx1"/>
                  </w14:solidFill>
                </w14:textFill>
              </w:rPr>
              <w:t>见</w:t>
            </w:r>
            <w:r>
              <w:rPr>
                <w:rFonts w:hint="default" w:ascii="Times New Roman" w:hAnsi="Times New Roman" w:cs="Times New Roman"/>
                <w:b w:val="0"/>
                <w:bCs/>
                <w:color w:val="000000" w:themeColor="text1"/>
                <w:kern w:val="24"/>
                <w:sz w:val="24"/>
                <w:highlight w:val="none"/>
                <w:u w:val="none"/>
                <w:lang w:val="en-US" w:eastAsia="zh-CN"/>
                <w14:textFill>
                  <w14:solidFill>
                    <w14:schemeClr w14:val="tx1"/>
                  </w14:solidFill>
                </w14:textFill>
              </w:rPr>
              <w:t>下表</w:t>
            </w:r>
            <w:r>
              <w:rPr>
                <w:rFonts w:hint="eastAsia" w:ascii="Times New Roman" w:hAnsi="Times New Roman" w:cs="Times New Roman"/>
                <w:b w:val="0"/>
                <w:bCs/>
                <w:color w:val="000000" w:themeColor="text1"/>
                <w:kern w:val="24"/>
                <w:sz w:val="24"/>
                <w:highlight w:val="none"/>
                <w:u w:val="none"/>
                <w:lang w:val="en-US" w:eastAsia="zh-CN"/>
                <w14:textFill>
                  <w14:solidFill>
                    <w14:schemeClr w14:val="tx1"/>
                  </w14:solidFill>
                </w14:textFill>
              </w:rPr>
              <w:t>。</w:t>
            </w:r>
          </w:p>
          <w:p w14:paraId="36A29C89">
            <w:pPr>
              <w:pStyle w:val="104"/>
              <w:keepNext w:val="0"/>
              <w:keepLines w:val="0"/>
              <w:pageBreakBefore w:val="0"/>
              <w:widowControl w:val="0"/>
              <w:numPr>
                <w:ilvl w:val="0"/>
                <w:numId w:val="1"/>
              </w:numPr>
              <w:kinsoku/>
              <w:wordWrap/>
              <w:overflowPunct/>
              <w:topLinePunct w:val="0"/>
              <w:autoSpaceDE/>
              <w:autoSpaceDN/>
              <w:bidi w:val="0"/>
              <w:adjustRightInd/>
              <w:snapToGrid/>
              <w:spacing w:after="157" w:afterLines="50" w:line="240" w:lineRule="auto"/>
              <w:ind w:firstLine="0"/>
              <w:textAlignment w:val="auto"/>
              <w:rPr>
                <w:rFonts w:hint="default" w:ascii="Times New Roman" w:hAnsi="Times New Roman" w:cs="Times New Roman"/>
                <w:bCs/>
                <w:color w:val="000000" w:themeColor="text1"/>
                <w:kern w:val="2"/>
                <w:sz w:val="24"/>
                <w:highlight w:val="none"/>
                <w14:textFill>
                  <w14:solidFill>
                    <w14:schemeClr w14:val="tx1"/>
                  </w14:solidFill>
                </w14:textFill>
              </w:rPr>
            </w:pPr>
            <w:r>
              <w:rPr>
                <w:rFonts w:hint="default" w:ascii="Times New Roman" w:hAnsi="Times New Roman" w:cs="Times New Roman"/>
                <w:bCs/>
                <w:color w:val="000000" w:themeColor="text1"/>
                <w:kern w:val="2"/>
                <w:sz w:val="24"/>
                <w:highlight w:val="none"/>
                <w14:textFill>
                  <w14:solidFill>
                    <w14:schemeClr w14:val="tx1"/>
                  </w14:solidFill>
                </w14:textFill>
              </w:rPr>
              <w:t xml:space="preserve">   </w:t>
            </w:r>
            <w:r>
              <w:rPr>
                <w:rFonts w:hint="eastAsia" w:ascii="Times New Roman" w:hAnsi="Times New Roman" w:cs="Times New Roman"/>
                <w:color w:val="000000" w:themeColor="text1"/>
                <w:sz w:val="24"/>
                <w:highlight w:val="none"/>
                <w:lang w:val="en-US" w:eastAsia="zh-CN"/>
                <w14:textFill>
                  <w14:solidFill>
                    <w14:schemeClr w14:val="tx1"/>
                  </w14:solidFill>
                </w14:textFill>
              </w:rPr>
              <w:t>扩建</w:t>
            </w:r>
            <w:r>
              <w:rPr>
                <w:rFonts w:hint="eastAsia" w:cs="Times New Roman"/>
                <w:color w:val="000000" w:themeColor="text1"/>
                <w:sz w:val="24"/>
                <w:highlight w:val="none"/>
                <w:lang w:val="en-US" w:eastAsia="zh-CN"/>
                <w14:textFill>
                  <w14:solidFill>
                    <w14:schemeClr w14:val="tx1"/>
                  </w14:solidFill>
                </w14:textFill>
              </w:rPr>
              <w:t>前、后</w:t>
            </w:r>
            <w:r>
              <w:rPr>
                <w:rFonts w:hint="default" w:ascii="Times New Roman" w:hAnsi="Times New Roman" w:cs="Times New Roman"/>
                <w:bCs/>
                <w:color w:val="000000" w:themeColor="text1"/>
                <w:kern w:val="2"/>
                <w:sz w:val="24"/>
                <w:highlight w:val="none"/>
                <w14:textFill>
                  <w14:solidFill>
                    <w14:schemeClr w14:val="tx1"/>
                  </w14:solidFill>
                </w14:textFill>
              </w:rPr>
              <w:t>项目建设内容一览表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4"/>
              <w:gridCol w:w="667"/>
              <w:gridCol w:w="3487"/>
              <w:gridCol w:w="1314"/>
              <w:gridCol w:w="637"/>
              <w:gridCol w:w="1895"/>
            </w:tblGrid>
            <w:tr w14:paraId="26241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1" w:type="dxa"/>
                  <w:gridSpan w:val="2"/>
                  <w:tcBorders>
                    <w:tl2br w:val="nil"/>
                    <w:tr2bl w:val="nil"/>
                  </w:tcBorders>
                  <w:noWrap w:val="0"/>
                  <w:vAlign w:val="center"/>
                </w:tcPr>
                <w:p w14:paraId="5245A63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建设内容</w:t>
                  </w:r>
                </w:p>
              </w:tc>
              <w:tc>
                <w:tcPr>
                  <w:tcW w:w="3487" w:type="dxa"/>
                  <w:tcBorders>
                    <w:tl2br w:val="nil"/>
                    <w:tr2bl w:val="nil"/>
                  </w:tcBorders>
                  <w:noWrap w:val="0"/>
                  <w:vAlign w:val="center"/>
                </w:tcPr>
                <w:p w14:paraId="0079850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在建工程①建设内容及规模</w:t>
                  </w:r>
                </w:p>
              </w:tc>
              <w:tc>
                <w:tcPr>
                  <w:tcW w:w="3846" w:type="dxa"/>
                  <w:gridSpan w:val="3"/>
                  <w:tcBorders>
                    <w:tl2br w:val="nil"/>
                    <w:tr2bl w:val="nil"/>
                  </w:tcBorders>
                  <w:noWrap w:val="0"/>
                  <w:vAlign w:val="center"/>
                </w:tcPr>
                <w:p w14:paraId="5A7B6D8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扩建项目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建设内容及规模</w:t>
                  </w:r>
                </w:p>
              </w:tc>
            </w:tr>
            <w:tr w14:paraId="36F79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restart"/>
                  <w:tcBorders>
                    <w:tl2br w:val="nil"/>
                    <w:tr2bl w:val="nil"/>
                  </w:tcBorders>
                  <w:noWrap w:val="0"/>
                  <w:vAlign w:val="center"/>
                </w:tcPr>
                <w:p w14:paraId="1041390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主体工程</w:t>
                  </w:r>
                </w:p>
              </w:tc>
              <w:tc>
                <w:tcPr>
                  <w:tcW w:w="667" w:type="dxa"/>
                  <w:vMerge w:val="restart"/>
                  <w:tcBorders>
                    <w:tl2br w:val="nil"/>
                    <w:tr2bl w:val="nil"/>
                  </w:tcBorders>
                  <w:noWrap w:val="0"/>
                  <w:vAlign w:val="center"/>
                </w:tcPr>
                <w:p w14:paraId="7AEA3F5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感染病房楼</w:t>
                  </w:r>
                </w:p>
              </w:tc>
              <w:tc>
                <w:tcPr>
                  <w:tcW w:w="3487" w:type="dxa"/>
                  <w:tcBorders>
                    <w:tl2br w:val="nil"/>
                    <w:tr2bl w:val="nil"/>
                  </w:tcBorders>
                  <w:noWrap w:val="0"/>
                  <w:vAlign w:val="center"/>
                </w:tcPr>
                <w:p w14:paraId="6922283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地下1F，占地面积1900m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，主要为营养食堂、变配电室、消防水泵房、新风机房、柴油发电机房、负压吸引、真空泵房等功能</w:t>
                  </w:r>
                </w:p>
              </w:tc>
              <w:tc>
                <w:tcPr>
                  <w:tcW w:w="3846" w:type="dxa"/>
                  <w:gridSpan w:val="3"/>
                  <w:vMerge w:val="restart"/>
                  <w:tcBorders>
                    <w:tl2br w:val="nil"/>
                    <w:tr2bl w:val="nil"/>
                  </w:tcBorders>
                  <w:noWrap w:val="0"/>
                  <w:vAlign w:val="center"/>
                </w:tcPr>
                <w:p w14:paraId="59FC311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2CA64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continue"/>
                  <w:tcBorders>
                    <w:tl2br w:val="nil"/>
                    <w:tr2bl w:val="nil"/>
                  </w:tcBorders>
                  <w:noWrap w:val="0"/>
                  <w:vAlign w:val="center"/>
                </w:tcPr>
                <w:p w14:paraId="7C48EDC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667" w:type="dxa"/>
                  <w:vMerge w:val="continue"/>
                  <w:tcBorders>
                    <w:tl2br w:val="nil"/>
                    <w:tr2bl w:val="nil"/>
                  </w:tcBorders>
                  <w:noWrap w:val="0"/>
                  <w:vAlign w:val="center"/>
                </w:tcPr>
                <w:p w14:paraId="1604BDC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487" w:type="dxa"/>
                  <w:tcBorders>
                    <w:tl2br w:val="nil"/>
                    <w:tr2bl w:val="nil"/>
                  </w:tcBorders>
                  <w:noWrap w:val="0"/>
                  <w:vAlign w:val="center"/>
                </w:tcPr>
                <w:p w14:paraId="6968327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1F，建筑面积1650m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主要为肠道门诊、呼吸道门诊、心电、B超、化验、治疗、观察室、值班室、设备用房、主任办公室、医生办公室、护士办公室</w:t>
                  </w:r>
                  <w:r>
                    <w:rPr>
                      <w:rFonts w:hint="eastAsia" w:ascii="Times New Roman" w:hAnsi="Times New Roman" w:cs="Times New Roman"/>
                      <w:color w:val="000000" w:themeColor="text1"/>
                      <w:sz w:val="21"/>
                      <w:szCs w:val="21"/>
                      <w:highlight w:val="none"/>
                      <w:lang w:eastAsia="zh-CN"/>
                      <w14:textFill>
                        <w14:solidFill>
                          <w14:schemeClr w14:val="tx1"/>
                        </w14:solidFill>
                      </w14:textFill>
                    </w:rPr>
                    <w:t>、会议室、更衣室、卫生间、出入院、药房等用房</w:t>
                  </w:r>
                </w:p>
              </w:tc>
              <w:tc>
                <w:tcPr>
                  <w:tcW w:w="3846" w:type="dxa"/>
                  <w:gridSpan w:val="3"/>
                  <w:vMerge w:val="continue"/>
                  <w:tcBorders>
                    <w:tl2br w:val="nil"/>
                    <w:tr2bl w:val="nil"/>
                  </w:tcBorders>
                  <w:noWrap w:val="0"/>
                  <w:vAlign w:val="center"/>
                </w:tcPr>
                <w:p w14:paraId="59C2C72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38AB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continue"/>
                  <w:tcBorders>
                    <w:tl2br w:val="nil"/>
                    <w:tr2bl w:val="nil"/>
                  </w:tcBorders>
                  <w:noWrap w:val="0"/>
                  <w:vAlign w:val="center"/>
                </w:tcPr>
                <w:p w14:paraId="6142927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667" w:type="dxa"/>
                  <w:vMerge w:val="continue"/>
                  <w:tcBorders>
                    <w:tl2br w:val="nil"/>
                    <w:tr2bl w:val="nil"/>
                  </w:tcBorders>
                  <w:noWrap w:val="0"/>
                  <w:vAlign w:val="center"/>
                </w:tcPr>
                <w:p w14:paraId="18E1F80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487" w:type="dxa"/>
                  <w:tcBorders>
                    <w:tl2br w:val="nil"/>
                    <w:tr2bl w:val="nil"/>
                  </w:tcBorders>
                  <w:noWrap w:val="0"/>
                  <w:vAlign w:val="center"/>
                </w:tcPr>
                <w:p w14:paraId="3CAF265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2F~4F，均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为标准层，</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单层建筑面积1650m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主要为病房、医生办公室、值班室、护士站、抢救室、设备用房、治疗、处置、活动室、更衣室、卫生间、污洗间、新风机房等</w:t>
                  </w:r>
                </w:p>
              </w:tc>
              <w:tc>
                <w:tcPr>
                  <w:tcW w:w="3846" w:type="dxa"/>
                  <w:gridSpan w:val="3"/>
                  <w:vMerge w:val="continue"/>
                  <w:tcBorders>
                    <w:tl2br w:val="nil"/>
                    <w:tr2bl w:val="nil"/>
                  </w:tcBorders>
                  <w:noWrap w:val="0"/>
                  <w:vAlign w:val="center"/>
                </w:tcPr>
                <w:p w14:paraId="2D7DB0C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A74A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continue"/>
                  <w:tcBorders>
                    <w:tl2br w:val="nil"/>
                    <w:tr2bl w:val="nil"/>
                  </w:tcBorders>
                  <w:noWrap w:val="0"/>
                  <w:vAlign w:val="center"/>
                </w:tcPr>
                <w:p w14:paraId="6326107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667" w:type="dxa"/>
                  <w:vMerge w:val="restart"/>
                  <w:tcBorders>
                    <w:tl2br w:val="nil"/>
                    <w:tr2bl w:val="nil"/>
                  </w:tcBorders>
                  <w:noWrap w:val="0"/>
                  <w:vAlign w:val="center"/>
                </w:tcPr>
                <w:p w14:paraId="4875906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精神病房楼</w:t>
                  </w:r>
                </w:p>
              </w:tc>
              <w:tc>
                <w:tcPr>
                  <w:tcW w:w="3487" w:type="dxa"/>
                  <w:vMerge w:val="restart"/>
                  <w:tcBorders>
                    <w:tl2br w:val="nil"/>
                    <w:tr2bl w:val="nil"/>
                  </w:tcBorders>
                  <w:noWrap w:val="0"/>
                  <w:vAlign w:val="center"/>
                </w:tcPr>
                <w:p w14:paraId="065C6ED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3846" w:type="dxa"/>
                  <w:gridSpan w:val="3"/>
                  <w:tcBorders>
                    <w:tl2br w:val="nil"/>
                    <w:tr2bl w:val="nil"/>
                  </w:tcBorders>
                  <w:noWrap w:val="0"/>
                  <w:vAlign w:val="center"/>
                </w:tcPr>
                <w:p w14:paraId="5CDF1AB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在感染病房楼北侧预留发展用房处进行扩建</w:t>
                  </w:r>
                </w:p>
              </w:tc>
            </w:tr>
            <w:tr w14:paraId="35C0C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continue"/>
                  <w:tcBorders>
                    <w:tl2br w:val="nil"/>
                    <w:tr2bl w:val="nil"/>
                  </w:tcBorders>
                  <w:noWrap w:val="0"/>
                  <w:vAlign w:val="center"/>
                </w:tcPr>
                <w:p w14:paraId="27F60F1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667" w:type="dxa"/>
                  <w:vMerge w:val="continue"/>
                  <w:tcBorders>
                    <w:tl2br w:val="nil"/>
                    <w:tr2bl w:val="nil"/>
                  </w:tcBorders>
                  <w:noWrap w:val="0"/>
                  <w:vAlign w:val="center"/>
                </w:tcPr>
                <w:p w14:paraId="5FD1342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487" w:type="dxa"/>
                  <w:vMerge w:val="continue"/>
                  <w:tcBorders>
                    <w:tl2br w:val="nil"/>
                    <w:tr2bl w:val="nil"/>
                  </w:tcBorders>
                  <w:noWrap w:val="0"/>
                  <w:vAlign w:val="center"/>
                </w:tcPr>
                <w:p w14:paraId="17E49CB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314" w:type="dxa"/>
                  <w:vMerge w:val="restart"/>
                  <w:tcBorders>
                    <w:tl2br w:val="nil"/>
                    <w:tr2bl w:val="nil"/>
                  </w:tcBorders>
                  <w:noWrap w:val="0"/>
                  <w:vAlign w:val="center"/>
                </w:tcPr>
                <w:p w14:paraId="3843BEC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1栋6F，占地面积1026.16m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，总建筑面积7183.12m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，建筑高度23.2m。其中地上建筑 6156.96m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，地下建筑面积1026.16m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，内设床位105张</w:t>
                  </w:r>
                </w:p>
              </w:tc>
              <w:tc>
                <w:tcPr>
                  <w:tcW w:w="637" w:type="dxa"/>
                  <w:tcBorders>
                    <w:tl2br w:val="nil"/>
                    <w:tr2bl w:val="nil"/>
                  </w:tcBorders>
                  <w:noWrap w:val="0"/>
                  <w:vAlign w:val="center"/>
                </w:tcPr>
                <w:p w14:paraId="7E3D91C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地下1F</w:t>
                  </w:r>
                </w:p>
              </w:tc>
              <w:tc>
                <w:tcPr>
                  <w:tcW w:w="1895" w:type="dxa"/>
                  <w:tcBorders>
                    <w:tl2br w:val="nil"/>
                    <w:tr2bl w:val="nil"/>
                  </w:tcBorders>
                  <w:noWrap w:val="0"/>
                  <w:vAlign w:val="center"/>
                </w:tcPr>
                <w:p w14:paraId="60F25B6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建筑面积821.04m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主要</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设储藏室</w:t>
                  </w:r>
                </w:p>
              </w:tc>
            </w:tr>
            <w:tr w14:paraId="0E3B1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continue"/>
                  <w:tcBorders>
                    <w:tl2br w:val="nil"/>
                    <w:tr2bl w:val="nil"/>
                  </w:tcBorders>
                  <w:noWrap w:val="0"/>
                  <w:vAlign w:val="center"/>
                </w:tcPr>
                <w:p w14:paraId="4DB3387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c>
                <w:tcPr>
                  <w:tcW w:w="667" w:type="dxa"/>
                  <w:vMerge w:val="continue"/>
                  <w:tcBorders>
                    <w:tl2br w:val="nil"/>
                    <w:tr2bl w:val="nil"/>
                  </w:tcBorders>
                  <w:noWrap w:val="0"/>
                  <w:vAlign w:val="center"/>
                </w:tcPr>
                <w:p w14:paraId="1C5D611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3487" w:type="dxa"/>
                  <w:vMerge w:val="continue"/>
                  <w:tcBorders>
                    <w:tl2br w:val="nil"/>
                    <w:tr2bl w:val="nil"/>
                  </w:tcBorders>
                  <w:noWrap w:val="0"/>
                  <w:vAlign w:val="center"/>
                </w:tcPr>
                <w:p w14:paraId="7C0AFA7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314" w:type="dxa"/>
                  <w:vMerge w:val="continue"/>
                  <w:tcBorders>
                    <w:tl2br w:val="nil"/>
                    <w:tr2bl w:val="nil"/>
                  </w:tcBorders>
                  <w:noWrap w:val="0"/>
                  <w:vAlign w:val="center"/>
                </w:tcPr>
                <w:p w14:paraId="7526A97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000000" w:themeColor="text1"/>
                      <w:sz w:val="21"/>
                      <w:szCs w:val="21"/>
                      <w:highlight w:val="yellow"/>
                      <w:lang w:eastAsia="zh-CN"/>
                      <w14:textFill>
                        <w14:solidFill>
                          <w14:schemeClr w14:val="tx1"/>
                        </w14:solidFill>
                      </w14:textFill>
                    </w:rPr>
                  </w:pPr>
                </w:p>
              </w:tc>
              <w:tc>
                <w:tcPr>
                  <w:tcW w:w="637" w:type="dxa"/>
                  <w:tcBorders>
                    <w:tl2br w:val="nil"/>
                    <w:tr2bl w:val="nil"/>
                  </w:tcBorders>
                  <w:noWrap w:val="0"/>
                  <w:vAlign w:val="center"/>
                </w:tcPr>
                <w:p w14:paraId="35624C1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1F</w:t>
                  </w:r>
                </w:p>
              </w:tc>
              <w:tc>
                <w:tcPr>
                  <w:tcW w:w="1895" w:type="dxa"/>
                  <w:tcBorders>
                    <w:tl2br w:val="nil"/>
                    <w:tr2bl w:val="nil"/>
                  </w:tcBorders>
                  <w:noWrap w:val="0"/>
                  <w:vAlign w:val="center"/>
                </w:tcPr>
                <w:p w14:paraId="46CABE9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建筑面积1012.85m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主要</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设会诊室、门诊、检验室、观察室、治疗室、药房、值班室等</w:t>
                  </w:r>
                </w:p>
              </w:tc>
            </w:tr>
            <w:tr w14:paraId="2C9FE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continue"/>
                  <w:tcBorders>
                    <w:tl2br w:val="nil"/>
                    <w:tr2bl w:val="nil"/>
                  </w:tcBorders>
                  <w:noWrap w:val="0"/>
                  <w:vAlign w:val="center"/>
                </w:tcPr>
                <w:p w14:paraId="7BFDCE1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667" w:type="dxa"/>
                  <w:vMerge w:val="continue"/>
                  <w:tcBorders>
                    <w:tl2br w:val="nil"/>
                    <w:tr2bl w:val="nil"/>
                  </w:tcBorders>
                  <w:noWrap w:val="0"/>
                  <w:vAlign w:val="center"/>
                </w:tcPr>
                <w:p w14:paraId="672F674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yellow"/>
                      <w:lang w:val="en-US" w:eastAsia="zh-CN"/>
                      <w14:textFill>
                        <w14:solidFill>
                          <w14:schemeClr w14:val="tx1"/>
                        </w14:solidFill>
                      </w14:textFill>
                    </w:rPr>
                  </w:pPr>
                </w:p>
              </w:tc>
              <w:tc>
                <w:tcPr>
                  <w:tcW w:w="3487" w:type="dxa"/>
                  <w:vMerge w:val="continue"/>
                  <w:tcBorders>
                    <w:tl2br w:val="nil"/>
                    <w:tr2bl w:val="nil"/>
                  </w:tcBorders>
                  <w:noWrap w:val="0"/>
                  <w:vAlign w:val="center"/>
                </w:tcPr>
                <w:p w14:paraId="4BB2196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yellow"/>
                      <w:lang w:val="en-US" w:eastAsia="zh-CN"/>
                      <w14:textFill>
                        <w14:solidFill>
                          <w14:schemeClr w14:val="tx1"/>
                        </w14:solidFill>
                      </w14:textFill>
                    </w:rPr>
                  </w:pPr>
                </w:p>
              </w:tc>
              <w:tc>
                <w:tcPr>
                  <w:tcW w:w="1314" w:type="dxa"/>
                  <w:vMerge w:val="continue"/>
                  <w:tcBorders>
                    <w:tl2br w:val="nil"/>
                    <w:tr2bl w:val="nil"/>
                  </w:tcBorders>
                  <w:noWrap w:val="0"/>
                  <w:vAlign w:val="center"/>
                </w:tcPr>
                <w:p w14:paraId="363CB4A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637" w:type="dxa"/>
                  <w:tcBorders>
                    <w:tl2br w:val="nil"/>
                    <w:tr2bl w:val="nil"/>
                  </w:tcBorders>
                  <w:noWrap w:val="0"/>
                  <w:vAlign w:val="center"/>
                </w:tcPr>
                <w:p w14:paraId="40F8E27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2F</w:t>
                  </w:r>
                </w:p>
              </w:tc>
              <w:tc>
                <w:tcPr>
                  <w:tcW w:w="1895" w:type="dxa"/>
                  <w:tcBorders>
                    <w:tl2br w:val="nil"/>
                    <w:tr2bl w:val="nil"/>
                  </w:tcBorders>
                  <w:noWrap w:val="0"/>
                  <w:vAlign w:val="center"/>
                </w:tcPr>
                <w:p w14:paraId="41EF2C8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建筑面积998.48m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主要</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设病房、康复治疗室、观察室、值班室、医生办公室、餐厅、活动室等</w:t>
                  </w:r>
                </w:p>
              </w:tc>
            </w:tr>
            <w:tr w14:paraId="52788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continue"/>
                  <w:tcBorders>
                    <w:tl2br w:val="nil"/>
                    <w:tr2bl w:val="nil"/>
                  </w:tcBorders>
                  <w:noWrap w:val="0"/>
                  <w:vAlign w:val="center"/>
                </w:tcPr>
                <w:p w14:paraId="1527DB6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667" w:type="dxa"/>
                  <w:vMerge w:val="continue"/>
                  <w:tcBorders>
                    <w:tl2br w:val="nil"/>
                    <w:tr2bl w:val="nil"/>
                  </w:tcBorders>
                  <w:noWrap w:val="0"/>
                  <w:vAlign w:val="center"/>
                </w:tcPr>
                <w:p w14:paraId="1DE055A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yellow"/>
                      <w:lang w:val="en-US" w:eastAsia="zh-CN"/>
                      <w14:textFill>
                        <w14:solidFill>
                          <w14:schemeClr w14:val="tx1"/>
                        </w14:solidFill>
                      </w14:textFill>
                    </w:rPr>
                  </w:pPr>
                </w:p>
              </w:tc>
              <w:tc>
                <w:tcPr>
                  <w:tcW w:w="3487" w:type="dxa"/>
                  <w:vMerge w:val="continue"/>
                  <w:tcBorders>
                    <w:tl2br w:val="nil"/>
                    <w:tr2bl w:val="nil"/>
                  </w:tcBorders>
                  <w:noWrap w:val="0"/>
                  <w:vAlign w:val="center"/>
                </w:tcPr>
                <w:p w14:paraId="538BE59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yellow"/>
                      <w:lang w:val="en-US" w:eastAsia="zh-CN"/>
                      <w14:textFill>
                        <w14:solidFill>
                          <w14:schemeClr w14:val="tx1"/>
                        </w14:solidFill>
                      </w14:textFill>
                    </w:rPr>
                  </w:pPr>
                </w:p>
              </w:tc>
              <w:tc>
                <w:tcPr>
                  <w:tcW w:w="1314" w:type="dxa"/>
                  <w:vMerge w:val="continue"/>
                  <w:tcBorders>
                    <w:tl2br w:val="nil"/>
                    <w:tr2bl w:val="nil"/>
                  </w:tcBorders>
                  <w:noWrap w:val="0"/>
                  <w:vAlign w:val="center"/>
                </w:tcPr>
                <w:p w14:paraId="09060C9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637" w:type="dxa"/>
                  <w:tcBorders>
                    <w:tl2br w:val="nil"/>
                    <w:tr2bl w:val="nil"/>
                  </w:tcBorders>
                  <w:noWrap w:val="0"/>
                  <w:vAlign w:val="center"/>
                </w:tcPr>
                <w:p w14:paraId="1BDA3D6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3F~6F</w:t>
                  </w:r>
                </w:p>
              </w:tc>
              <w:tc>
                <w:tcPr>
                  <w:tcW w:w="1895" w:type="dxa"/>
                  <w:tcBorders>
                    <w:tl2br w:val="nil"/>
                    <w:tr2bl w:val="nil"/>
                  </w:tcBorders>
                  <w:noWrap w:val="0"/>
                  <w:vAlign w:val="center"/>
                </w:tcPr>
                <w:p w14:paraId="47B8072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各层建筑面积均为985.49m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，布局一致，</w:t>
                  </w:r>
                  <w:r>
                    <w:rPr>
                      <w:rFonts w:hint="default" w:ascii="Times New Roman" w:hAnsi="Times New Roman" w:cs="Times New Roman"/>
                      <w:color w:val="000000" w:themeColor="text1"/>
                      <w:sz w:val="21"/>
                      <w:szCs w:val="21"/>
                      <w:highlight w:val="none"/>
                      <w14:textFill>
                        <w14:solidFill>
                          <w14:schemeClr w14:val="tx1"/>
                        </w14:solidFill>
                      </w14:textFill>
                    </w:rPr>
                    <w:t>主要</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设病房、康复治疗室、观察室、值班室、医生办公室、餐厅、活动室等</w:t>
                  </w:r>
                </w:p>
              </w:tc>
            </w:tr>
            <w:tr w14:paraId="134BF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restart"/>
                  <w:tcBorders>
                    <w:tl2br w:val="nil"/>
                    <w:tr2bl w:val="nil"/>
                  </w:tcBorders>
                  <w:noWrap w:val="0"/>
                  <w:vAlign w:val="center"/>
                </w:tcPr>
                <w:p w14:paraId="13DC10A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辅助工程</w:t>
                  </w:r>
                </w:p>
              </w:tc>
              <w:tc>
                <w:tcPr>
                  <w:tcW w:w="667" w:type="dxa"/>
                  <w:tcBorders>
                    <w:tl2br w:val="nil"/>
                    <w:tr2bl w:val="nil"/>
                  </w:tcBorders>
                  <w:noWrap w:val="0"/>
                  <w:vAlign w:val="center"/>
                </w:tcPr>
                <w:p w14:paraId="1C03A29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汇流排间</w:t>
                  </w:r>
                </w:p>
              </w:tc>
              <w:tc>
                <w:tcPr>
                  <w:tcW w:w="3487" w:type="dxa"/>
                  <w:tcBorders>
                    <w:tl2br w:val="nil"/>
                    <w:tr2bl w:val="nil"/>
                  </w:tcBorders>
                  <w:noWrap w:val="0"/>
                  <w:vAlign w:val="center"/>
                </w:tcPr>
                <w:p w14:paraId="4AC636D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占地面积47.5m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，所需氧气由现有工程制氧站供给</w:t>
                  </w:r>
                </w:p>
              </w:tc>
              <w:tc>
                <w:tcPr>
                  <w:tcW w:w="3846" w:type="dxa"/>
                  <w:gridSpan w:val="3"/>
                  <w:tcBorders>
                    <w:tl2br w:val="nil"/>
                    <w:tr2bl w:val="nil"/>
                  </w:tcBorders>
                  <w:noWrap w:val="0"/>
                  <w:vAlign w:val="center"/>
                </w:tcPr>
                <w:p w14:paraId="50F50E4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依托在建工程①</w:t>
                  </w:r>
                </w:p>
              </w:tc>
            </w:tr>
            <w:tr w14:paraId="4A3B6B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continue"/>
                  <w:tcBorders>
                    <w:tl2br w:val="nil"/>
                    <w:tr2bl w:val="nil"/>
                  </w:tcBorders>
                  <w:noWrap w:val="0"/>
                  <w:vAlign w:val="center"/>
                </w:tcPr>
                <w:p w14:paraId="0DF789F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667" w:type="dxa"/>
                  <w:tcBorders>
                    <w:tl2br w:val="nil"/>
                    <w:tr2bl w:val="nil"/>
                  </w:tcBorders>
                  <w:noWrap w:val="0"/>
                  <w:vAlign w:val="center"/>
                </w:tcPr>
                <w:p w14:paraId="65583C4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消防水池</w:t>
                  </w:r>
                </w:p>
              </w:tc>
              <w:tc>
                <w:tcPr>
                  <w:tcW w:w="3487" w:type="dxa"/>
                  <w:tcBorders>
                    <w:tl2br w:val="nil"/>
                    <w:tr2bl w:val="nil"/>
                  </w:tcBorders>
                  <w:noWrap w:val="0"/>
                  <w:vAlign w:val="center"/>
                </w:tcPr>
                <w:p w14:paraId="14A66E4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占地面积316.88m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3846" w:type="dxa"/>
                  <w:gridSpan w:val="3"/>
                  <w:tcBorders>
                    <w:tl2br w:val="nil"/>
                    <w:tr2bl w:val="nil"/>
                  </w:tcBorders>
                  <w:noWrap w:val="0"/>
                  <w:vAlign w:val="center"/>
                </w:tcPr>
                <w:p w14:paraId="5EB8D21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依托在建工程①</w:t>
                  </w:r>
                </w:p>
              </w:tc>
            </w:tr>
            <w:tr w14:paraId="2C15B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restart"/>
                  <w:tcBorders>
                    <w:tl2br w:val="nil"/>
                    <w:tr2bl w:val="nil"/>
                  </w:tcBorders>
                  <w:noWrap w:val="0"/>
                  <w:vAlign w:val="center"/>
                </w:tcPr>
                <w:p w14:paraId="741D001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公用工程</w:t>
                  </w:r>
                </w:p>
              </w:tc>
              <w:tc>
                <w:tcPr>
                  <w:tcW w:w="667" w:type="dxa"/>
                  <w:tcBorders>
                    <w:tl2br w:val="nil"/>
                    <w:tr2bl w:val="nil"/>
                  </w:tcBorders>
                  <w:noWrap w:val="0"/>
                  <w:vAlign w:val="center"/>
                </w:tcPr>
                <w:p w14:paraId="4A99AA4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供水</w:t>
                  </w:r>
                </w:p>
              </w:tc>
              <w:tc>
                <w:tcPr>
                  <w:tcW w:w="3487" w:type="dxa"/>
                  <w:tcBorders>
                    <w:tl2br w:val="nil"/>
                    <w:tr2bl w:val="nil"/>
                  </w:tcBorders>
                  <w:noWrap w:val="0"/>
                  <w:vAlign w:val="center"/>
                </w:tcPr>
                <w:p w14:paraId="1BE2590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市政管网</w:t>
                  </w:r>
                </w:p>
              </w:tc>
              <w:tc>
                <w:tcPr>
                  <w:tcW w:w="3846" w:type="dxa"/>
                  <w:gridSpan w:val="3"/>
                  <w:tcBorders>
                    <w:tl2br w:val="nil"/>
                    <w:tr2bl w:val="nil"/>
                  </w:tcBorders>
                  <w:noWrap w:val="0"/>
                  <w:vAlign w:val="center"/>
                </w:tcPr>
                <w:p w14:paraId="5C22C8B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依托在建工程①</w:t>
                  </w:r>
                </w:p>
              </w:tc>
            </w:tr>
            <w:tr w14:paraId="5B913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continue"/>
                  <w:tcBorders>
                    <w:tl2br w:val="nil"/>
                    <w:tr2bl w:val="nil"/>
                  </w:tcBorders>
                  <w:noWrap w:val="0"/>
                  <w:vAlign w:val="center"/>
                </w:tcPr>
                <w:p w14:paraId="40C84DF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p>
              </w:tc>
              <w:tc>
                <w:tcPr>
                  <w:tcW w:w="667" w:type="dxa"/>
                  <w:tcBorders>
                    <w:tl2br w:val="nil"/>
                    <w:tr2bl w:val="nil"/>
                  </w:tcBorders>
                  <w:noWrap w:val="0"/>
                  <w:vAlign w:val="center"/>
                </w:tcPr>
                <w:p w14:paraId="29AADC2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排水</w:t>
                  </w:r>
                </w:p>
              </w:tc>
              <w:tc>
                <w:tcPr>
                  <w:tcW w:w="3487" w:type="dxa"/>
                  <w:tcBorders>
                    <w:tl2br w:val="nil"/>
                    <w:tr2bl w:val="nil"/>
                  </w:tcBorders>
                  <w:noWrap w:val="0"/>
                  <w:vAlign w:val="center"/>
                </w:tcPr>
                <w:p w14:paraId="4141C87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雨水由雨水管</w:t>
                  </w:r>
                  <w:r>
                    <w:rPr>
                      <w:rFonts w:hint="default" w:ascii="Times New Roman" w:hAnsi="Times New Roman" w:cs="Times New Roman"/>
                      <w:color w:val="000000" w:themeColor="text1"/>
                      <w:szCs w:val="21"/>
                      <w:highlight w:val="none"/>
                      <w:lang w:val="en-US" w:eastAsia="zh-CN"/>
                      <w14:textFill>
                        <w14:solidFill>
                          <w14:schemeClr w14:val="tx1"/>
                        </w14:solidFill>
                      </w14:textFill>
                    </w:rPr>
                    <w:t>网排出厂外；</w:t>
                  </w:r>
                  <w:r>
                    <w:rPr>
                      <w:rFonts w:hint="eastAsia" w:ascii="Times New Roman" w:hAnsi="Times New Roman" w:cs="Times New Roman"/>
                      <w:color w:val="000000" w:themeColor="text1"/>
                      <w:szCs w:val="21"/>
                      <w:highlight w:val="none"/>
                      <w:lang w:val="en-US" w:eastAsia="zh-CN"/>
                      <w14:textFill>
                        <w14:solidFill>
                          <w14:schemeClr w14:val="tx1"/>
                        </w14:solidFill>
                      </w14:textFill>
                    </w:rPr>
                    <w:t>食堂废水经隔油池处理后与其他废水一起进入院内污水处理站（100m</w:t>
                  </w:r>
                  <w:r>
                    <w:rPr>
                      <w:rFonts w:hint="eastAsia" w:ascii="Times New Roman" w:hAnsi="Times New Roman"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Cs w:val="21"/>
                      <w:highlight w:val="none"/>
                      <w:lang w:val="en-US" w:eastAsia="zh-CN"/>
                      <w14:textFill>
                        <w14:solidFill>
                          <w14:schemeClr w14:val="tx1"/>
                        </w14:solidFill>
                      </w14:textFill>
                    </w:rPr>
                    <w:t>/d），经处理并消毒后通过市政污水管进入渑池县第二污水处理厂进一步处理</w:t>
                  </w:r>
                </w:p>
              </w:tc>
              <w:tc>
                <w:tcPr>
                  <w:tcW w:w="3846" w:type="dxa"/>
                  <w:gridSpan w:val="3"/>
                  <w:tcBorders>
                    <w:tl2br w:val="nil"/>
                    <w:tr2bl w:val="nil"/>
                  </w:tcBorders>
                  <w:noWrap w:val="0"/>
                  <w:vAlign w:val="center"/>
                </w:tcPr>
                <w:p w14:paraId="539BA22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依托在建工程①并进行扩建，扩建后污水处理站规模为</w:t>
                  </w:r>
                  <w:r>
                    <w:rPr>
                      <w:rFonts w:hint="eastAsia" w:ascii="Times New Roman" w:hAnsi="Times New Roman" w:cs="Times New Roman"/>
                      <w:color w:val="000000" w:themeColor="text1"/>
                      <w:szCs w:val="21"/>
                      <w:highlight w:val="none"/>
                      <w:lang w:val="en-US" w:eastAsia="zh-CN"/>
                      <w14:textFill>
                        <w14:solidFill>
                          <w14:schemeClr w14:val="tx1"/>
                        </w14:solidFill>
                      </w14:textFill>
                    </w:rPr>
                    <w:t>160m</w:t>
                  </w:r>
                  <w:r>
                    <w:rPr>
                      <w:rFonts w:hint="eastAsia" w:ascii="Times New Roman" w:hAnsi="Times New Roman"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Cs w:val="21"/>
                      <w:highlight w:val="none"/>
                      <w:lang w:val="en-US" w:eastAsia="zh-CN"/>
                      <w14:textFill>
                        <w14:solidFill>
                          <w14:schemeClr w14:val="tx1"/>
                        </w14:solidFill>
                      </w14:textFill>
                    </w:rPr>
                    <w:t>/d</w:t>
                  </w:r>
                </w:p>
              </w:tc>
            </w:tr>
            <w:tr w14:paraId="701F9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14" w:type="dxa"/>
                  <w:vMerge w:val="continue"/>
                  <w:tcBorders>
                    <w:tl2br w:val="nil"/>
                    <w:tr2bl w:val="nil"/>
                  </w:tcBorders>
                  <w:noWrap w:val="0"/>
                  <w:vAlign w:val="center"/>
                </w:tcPr>
                <w:p w14:paraId="504F55C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p>
              </w:tc>
              <w:tc>
                <w:tcPr>
                  <w:tcW w:w="667" w:type="dxa"/>
                  <w:tcBorders>
                    <w:tl2br w:val="nil"/>
                    <w:tr2bl w:val="nil"/>
                  </w:tcBorders>
                  <w:noWrap w:val="0"/>
                  <w:vAlign w:val="center"/>
                </w:tcPr>
                <w:p w14:paraId="631A0A4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供气</w:t>
                  </w:r>
                </w:p>
              </w:tc>
              <w:tc>
                <w:tcPr>
                  <w:tcW w:w="3487" w:type="dxa"/>
                  <w:tcBorders>
                    <w:tl2br w:val="nil"/>
                    <w:tr2bl w:val="nil"/>
                  </w:tcBorders>
                  <w:noWrap w:val="0"/>
                  <w:vAlign w:val="center"/>
                </w:tcPr>
                <w:p w14:paraId="258D6F5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市政天然气管道</w:t>
                  </w:r>
                </w:p>
              </w:tc>
              <w:tc>
                <w:tcPr>
                  <w:tcW w:w="3846" w:type="dxa"/>
                  <w:gridSpan w:val="3"/>
                  <w:tcBorders>
                    <w:tl2br w:val="nil"/>
                    <w:tr2bl w:val="nil"/>
                  </w:tcBorders>
                  <w:noWrap w:val="0"/>
                  <w:vAlign w:val="center"/>
                </w:tcPr>
                <w:p w14:paraId="5C5EA54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依托在建工程①</w:t>
                  </w:r>
                </w:p>
              </w:tc>
            </w:tr>
            <w:tr w14:paraId="487A7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14" w:type="dxa"/>
                  <w:vMerge w:val="continue"/>
                  <w:tcBorders>
                    <w:tl2br w:val="nil"/>
                    <w:tr2bl w:val="nil"/>
                  </w:tcBorders>
                  <w:noWrap w:val="0"/>
                  <w:vAlign w:val="center"/>
                </w:tcPr>
                <w:p w14:paraId="5C0CE2F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p>
              </w:tc>
              <w:tc>
                <w:tcPr>
                  <w:tcW w:w="667" w:type="dxa"/>
                  <w:tcBorders>
                    <w:tl2br w:val="nil"/>
                    <w:tr2bl w:val="nil"/>
                  </w:tcBorders>
                  <w:noWrap w:val="0"/>
                  <w:vAlign w:val="center"/>
                </w:tcPr>
                <w:p w14:paraId="727312D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供电</w:t>
                  </w:r>
                </w:p>
              </w:tc>
              <w:tc>
                <w:tcPr>
                  <w:tcW w:w="3487" w:type="dxa"/>
                  <w:tcBorders>
                    <w:tl2br w:val="nil"/>
                    <w:tr2bl w:val="nil"/>
                  </w:tcBorders>
                  <w:noWrap w:val="0"/>
                  <w:vAlign w:val="center"/>
                </w:tcPr>
                <w:p w14:paraId="522285E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市政电网</w:t>
                  </w:r>
                </w:p>
              </w:tc>
              <w:tc>
                <w:tcPr>
                  <w:tcW w:w="3846" w:type="dxa"/>
                  <w:gridSpan w:val="3"/>
                  <w:tcBorders>
                    <w:tl2br w:val="nil"/>
                    <w:tr2bl w:val="nil"/>
                  </w:tcBorders>
                  <w:noWrap w:val="0"/>
                  <w:vAlign w:val="center"/>
                </w:tcPr>
                <w:p w14:paraId="6D8C3E9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依托在建工程①</w:t>
                  </w:r>
                </w:p>
              </w:tc>
            </w:tr>
            <w:tr w14:paraId="3439A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restart"/>
                  <w:tcBorders>
                    <w:tl2br w:val="nil"/>
                    <w:tr2bl w:val="nil"/>
                  </w:tcBorders>
                  <w:noWrap w:val="0"/>
                  <w:vAlign w:val="center"/>
                </w:tcPr>
                <w:p w14:paraId="1AE7BC4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环保工程</w:t>
                  </w:r>
                </w:p>
              </w:tc>
              <w:tc>
                <w:tcPr>
                  <w:tcW w:w="667" w:type="dxa"/>
                  <w:tcBorders>
                    <w:tl2br w:val="nil"/>
                    <w:tr2bl w:val="nil"/>
                  </w:tcBorders>
                  <w:noWrap w:val="0"/>
                  <w:vAlign w:val="center"/>
                </w:tcPr>
                <w:p w14:paraId="54DE6A3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废气处理</w:t>
                  </w:r>
                </w:p>
              </w:tc>
              <w:tc>
                <w:tcPr>
                  <w:tcW w:w="3487" w:type="dxa"/>
                  <w:tcBorders>
                    <w:tl2br w:val="nil"/>
                    <w:tr2bl w:val="nil"/>
                  </w:tcBorders>
                  <w:noWrap w:val="0"/>
                  <w:vAlign w:val="center"/>
                </w:tcPr>
                <w:p w14:paraId="645E3E1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污水处理站恶臭气体收集后经活性炭吸附处理后引至感染病楼房顶（20m）排放（DA001）；食堂油烟经油烟净化器处理后由8m高烟囱排放（DA002）</w:t>
                  </w:r>
                </w:p>
              </w:tc>
              <w:tc>
                <w:tcPr>
                  <w:tcW w:w="3846" w:type="dxa"/>
                  <w:gridSpan w:val="3"/>
                  <w:tcBorders>
                    <w:tl2br w:val="nil"/>
                    <w:tr2bl w:val="nil"/>
                  </w:tcBorders>
                  <w:noWrap w:val="0"/>
                  <w:vAlign w:val="center"/>
                </w:tcPr>
                <w:p w14:paraId="16EF2AE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依托在建工程①</w:t>
                  </w:r>
                </w:p>
              </w:tc>
            </w:tr>
            <w:tr w14:paraId="49ED1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continue"/>
                  <w:tcBorders>
                    <w:tl2br w:val="nil"/>
                    <w:tr2bl w:val="nil"/>
                  </w:tcBorders>
                  <w:noWrap w:val="0"/>
                  <w:vAlign w:val="center"/>
                </w:tcPr>
                <w:p w14:paraId="0D38C6F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p>
              </w:tc>
              <w:tc>
                <w:tcPr>
                  <w:tcW w:w="667" w:type="dxa"/>
                  <w:tcBorders>
                    <w:tl2br w:val="nil"/>
                    <w:tr2bl w:val="nil"/>
                  </w:tcBorders>
                  <w:noWrap w:val="0"/>
                  <w:vAlign w:val="center"/>
                </w:tcPr>
                <w:p w14:paraId="0746099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Cs w:val="21"/>
                      <w:highlight w:val="none"/>
                      <w:u w:val="none"/>
                      <w14:textFill>
                        <w14:solidFill>
                          <w14:schemeClr w14:val="tx1"/>
                        </w14:solidFill>
                      </w14:textFill>
                    </w:rPr>
                    <w:t>废水处理</w:t>
                  </w:r>
                </w:p>
              </w:tc>
              <w:tc>
                <w:tcPr>
                  <w:tcW w:w="3487" w:type="dxa"/>
                  <w:tcBorders>
                    <w:tl2br w:val="nil"/>
                    <w:tr2bl w:val="nil"/>
                  </w:tcBorders>
                  <w:noWrap w:val="0"/>
                  <w:vAlign w:val="center"/>
                </w:tcPr>
                <w:p w14:paraId="10D0609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食堂废水经隔油池处理后与其他废水一起进入院内污水处理站（100m</w:t>
                  </w:r>
                  <w:r>
                    <w:rPr>
                      <w:rFonts w:hint="eastAsia" w:ascii="Times New Roman" w:hAnsi="Times New Roman"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Cs w:val="21"/>
                      <w:highlight w:val="none"/>
                      <w:lang w:val="en-US" w:eastAsia="zh-CN"/>
                      <w14:textFill>
                        <w14:solidFill>
                          <w14:schemeClr w14:val="tx1"/>
                        </w14:solidFill>
                      </w14:textFill>
                    </w:rPr>
                    <w:t>/d），经“预消毒+AO生物接触氧化法+消毒工艺”处理后通过总排口（DW001）由市政污水管网进入渑池县第二污水处理厂进一步处理</w:t>
                  </w:r>
                </w:p>
              </w:tc>
              <w:tc>
                <w:tcPr>
                  <w:tcW w:w="3846" w:type="dxa"/>
                  <w:gridSpan w:val="3"/>
                  <w:tcBorders>
                    <w:tl2br w:val="nil"/>
                    <w:tr2bl w:val="nil"/>
                  </w:tcBorders>
                  <w:noWrap w:val="0"/>
                  <w:vAlign w:val="center"/>
                </w:tcPr>
                <w:p w14:paraId="65D7522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依托在建工程①污水处理站并进行扩建，</w:t>
                  </w:r>
                  <w:r>
                    <w:rPr>
                      <w:rFonts w:hint="eastAsia" w:ascii="Times New Roman" w:hAnsi="Times New Roman" w:cs="Times New Roman"/>
                      <w:color w:val="000000" w:themeColor="text1"/>
                      <w:szCs w:val="21"/>
                      <w:highlight w:val="none"/>
                      <w:lang w:val="en-US" w:eastAsia="zh-CN"/>
                      <w14:textFill>
                        <w14:solidFill>
                          <w14:schemeClr w14:val="tx1"/>
                        </w14:solidFill>
                      </w14:textFill>
                    </w:rPr>
                    <w:t>废水进入污水处理站（160m</w:t>
                  </w:r>
                  <w:r>
                    <w:rPr>
                      <w:rFonts w:hint="eastAsia" w:ascii="Times New Roman" w:hAnsi="Times New Roman" w:cs="Times New Roman"/>
                      <w:color w:val="000000" w:themeColor="text1"/>
                      <w:szCs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Cs w:val="21"/>
                      <w:highlight w:val="none"/>
                      <w:lang w:val="en-US" w:eastAsia="zh-CN"/>
                      <w14:textFill>
                        <w14:solidFill>
                          <w14:schemeClr w14:val="tx1"/>
                        </w14:solidFill>
                      </w14:textFill>
                    </w:rPr>
                    <w:t>/d）经“预消毒+AO生物接触氧化法+消毒工艺”处理后通过总排口（DW001）由市政污水管网进入渑池县第二污水处理厂进一步处理</w:t>
                  </w:r>
                </w:p>
              </w:tc>
            </w:tr>
            <w:tr w14:paraId="36931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continue"/>
                  <w:tcBorders>
                    <w:tl2br w:val="nil"/>
                    <w:tr2bl w:val="nil"/>
                  </w:tcBorders>
                  <w:noWrap w:val="0"/>
                  <w:vAlign w:val="center"/>
                </w:tcPr>
                <w:p w14:paraId="7E8D5AA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p>
              </w:tc>
              <w:tc>
                <w:tcPr>
                  <w:tcW w:w="667" w:type="dxa"/>
                  <w:vMerge w:val="restart"/>
                  <w:tcBorders>
                    <w:tl2br w:val="nil"/>
                    <w:tr2bl w:val="nil"/>
                  </w:tcBorders>
                  <w:noWrap w:val="0"/>
                  <w:vAlign w:val="center"/>
                </w:tcPr>
                <w:p w14:paraId="43E9292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固废处置</w:t>
                  </w:r>
                </w:p>
              </w:tc>
              <w:tc>
                <w:tcPr>
                  <w:tcW w:w="3487" w:type="dxa"/>
                  <w:tcBorders>
                    <w:tl2br w:val="nil"/>
                    <w:tr2bl w:val="nil"/>
                  </w:tcBorders>
                  <w:noWrap w:val="0"/>
                  <w:vAlign w:val="center"/>
                </w:tcPr>
                <w:p w14:paraId="2C4D33B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医疗废物经30m</w:t>
                  </w:r>
                  <w:r>
                    <w:rPr>
                      <w:rFonts w:hint="eastAsia"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Cs w:val="21"/>
                      <w:highlight w:val="none"/>
                      <w:lang w:val="en-US" w:eastAsia="zh-CN"/>
                      <w14:textFill>
                        <w14:solidFill>
                          <w14:schemeClr w14:val="tx1"/>
                        </w14:solidFill>
                      </w14:textFill>
                    </w:rPr>
                    <w:t>危废暂存间</w:t>
                  </w:r>
                  <w:r>
                    <w:rPr>
                      <w:rFonts w:hint="default" w:ascii="Times New Roman" w:hAnsi="Times New Roman" w:cs="Times New Roman"/>
                      <w:color w:val="000000" w:themeColor="text1"/>
                      <w:szCs w:val="21"/>
                      <w:highlight w:val="none"/>
                      <w14:textFill>
                        <w14:solidFill>
                          <w14:schemeClr w14:val="tx1"/>
                        </w14:solidFill>
                      </w14:textFill>
                    </w:rPr>
                    <w:t>内</w:t>
                  </w:r>
                  <w:r>
                    <w:rPr>
                      <w:rFonts w:hint="default" w:ascii="Times New Roman" w:hAnsi="Times New Roman" w:cs="Times New Roman"/>
                      <w:color w:val="000000" w:themeColor="text1"/>
                      <w:szCs w:val="21"/>
                      <w:highlight w:val="none"/>
                      <w:lang w:val="en-US" w:eastAsia="zh-CN"/>
                      <w14:textFill>
                        <w14:solidFill>
                          <w14:schemeClr w14:val="tx1"/>
                        </w14:solidFill>
                      </w14:textFill>
                    </w:rPr>
                    <w:t>分类收集</w:t>
                  </w:r>
                  <w:r>
                    <w:rPr>
                      <w:rFonts w:hint="default" w:ascii="Times New Roman" w:hAnsi="Times New Roman" w:cs="Times New Roman"/>
                      <w:color w:val="000000" w:themeColor="text1"/>
                      <w:szCs w:val="21"/>
                      <w:highlight w:val="none"/>
                      <w14:textFill>
                        <w14:solidFill>
                          <w14:schemeClr w14:val="tx1"/>
                        </w14:solidFill>
                      </w14:textFill>
                    </w:rPr>
                    <w:t>暂存后定期交三门峡天蓝环保科技有限公司</w:t>
                  </w:r>
                  <w:r>
                    <w:rPr>
                      <w:rFonts w:hint="eastAsia" w:ascii="Times New Roman" w:hAnsi="Times New Roman" w:cs="Times New Roman"/>
                      <w:color w:val="000000" w:themeColor="text1"/>
                      <w:szCs w:val="21"/>
                      <w:highlight w:val="none"/>
                      <w:lang w:val="en-US" w:eastAsia="zh-CN"/>
                      <w14:textFill>
                        <w14:solidFill>
                          <w14:schemeClr w14:val="tx1"/>
                        </w14:solidFill>
                      </w14:textFill>
                    </w:rPr>
                    <w:t>安全</w:t>
                  </w:r>
                  <w:r>
                    <w:rPr>
                      <w:rFonts w:hint="default" w:ascii="Times New Roman" w:hAnsi="Times New Roman" w:cs="Times New Roman"/>
                      <w:color w:val="000000" w:themeColor="text1"/>
                      <w:szCs w:val="21"/>
                      <w:highlight w:val="none"/>
                      <w14:textFill>
                        <w14:solidFill>
                          <w14:schemeClr w14:val="tx1"/>
                        </w14:solidFill>
                      </w14:textFill>
                    </w:rPr>
                    <w:t>处置</w:t>
                  </w:r>
                </w:p>
              </w:tc>
              <w:tc>
                <w:tcPr>
                  <w:tcW w:w="3846" w:type="dxa"/>
                  <w:gridSpan w:val="3"/>
                  <w:tcBorders>
                    <w:tl2br w:val="nil"/>
                    <w:tr2bl w:val="nil"/>
                  </w:tcBorders>
                  <w:noWrap w:val="0"/>
                  <w:vAlign w:val="center"/>
                </w:tcPr>
                <w:p w14:paraId="39A7E28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医疗废物经30m</w:t>
                  </w:r>
                  <w:r>
                    <w:rPr>
                      <w:rFonts w:hint="eastAsia"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Cs w:val="21"/>
                      <w:highlight w:val="none"/>
                      <w:lang w:val="en-US" w:eastAsia="zh-CN"/>
                      <w14:textFill>
                        <w14:solidFill>
                          <w14:schemeClr w14:val="tx1"/>
                        </w14:solidFill>
                      </w14:textFill>
                    </w:rPr>
                    <w:t>危废暂存间</w:t>
                  </w:r>
                  <w:r>
                    <w:rPr>
                      <w:rFonts w:hint="default" w:ascii="Times New Roman" w:hAnsi="Times New Roman" w:cs="Times New Roman"/>
                      <w:color w:val="000000" w:themeColor="text1"/>
                      <w:szCs w:val="21"/>
                      <w:highlight w:val="none"/>
                      <w14:textFill>
                        <w14:solidFill>
                          <w14:schemeClr w14:val="tx1"/>
                        </w14:solidFill>
                      </w14:textFill>
                    </w:rPr>
                    <w:t>内</w:t>
                  </w:r>
                  <w:r>
                    <w:rPr>
                      <w:rFonts w:hint="default" w:ascii="Times New Roman" w:hAnsi="Times New Roman" w:cs="Times New Roman"/>
                      <w:color w:val="000000" w:themeColor="text1"/>
                      <w:szCs w:val="21"/>
                      <w:highlight w:val="none"/>
                      <w:lang w:val="en-US" w:eastAsia="zh-CN"/>
                      <w14:textFill>
                        <w14:solidFill>
                          <w14:schemeClr w14:val="tx1"/>
                        </w14:solidFill>
                      </w14:textFill>
                    </w:rPr>
                    <w:t>分类收集</w:t>
                  </w:r>
                  <w:r>
                    <w:rPr>
                      <w:rFonts w:hint="default" w:ascii="Times New Roman" w:hAnsi="Times New Roman" w:cs="Times New Roman"/>
                      <w:color w:val="000000" w:themeColor="text1"/>
                      <w:szCs w:val="21"/>
                      <w:highlight w:val="none"/>
                      <w14:textFill>
                        <w14:solidFill>
                          <w14:schemeClr w14:val="tx1"/>
                        </w14:solidFill>
                      </w14:textFill>
                    </w:rPr>
                    <w:t>暂存后定期交三门峡天蓝环保科技有限公司</w:t>
                  </w:r>
                  <w:r>
                    <w:rPr>
                      <w:rFonts w:hint="eastAsia" w:ascii="Times New Roman" w:hAnsi="Times New Roman" w:cs="Times New Roman"/>
                      <w:color w:val="000000" w:themeColor="text1"/>
                      <w:szCs w:val="21"/>
                      <w:highlight w:val="none"/>
                      <w:lang w:val="en-US" w:eastAsia="zh-CN"/>
                      <w14:textFill>
                        <w14:solidFill>
                          <w14:schemeClr w14:val="tx1"/>
                        </w14:solidFill>
                      </w14:textFill>
                    </w:rPr>
                    <w:t>安全</w:t>
                  </w:r>
                  <w:r>
                    <w:rPr>
                      <w:rFonts w:hint="default" w:ascii="Times New Roman" w:hAnsi="Times New Roman" w:cs="Times New Roman"/>
                      <w:color w:val="000000" w:themeColor="text1"/>
                      <w:szCs w:val="21"/>
                      <w:highlight w:val="none"/>
                      <w14:textFill>
                        <w14:solidFill>
                          <w14:schemeClr w14:val="tx1"/>
                        </w14:solidFill>
                      </w14:textFill>
                    </w:rPr>
                    <w:t>处置</w:t>
                  </w:r>
                </w:p>
              </w:tc>
            </w:tr>
            <w:tr w14:paraId="11549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4" w:type="dxa"/>
                  <w:vMerge w:val="continue"/>
                  <w:tcBorders>
                    <w:tl2br w:val="nil"/>
                    <w:tr2bl w:val="nil"/>
                  </w:tcBorders>
                  <w:noWrap w:val="0"/>
                  <w:vAlign w:val="center"/>
                </w:tcPr>
                <w:p w14:paraId="3A02F17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pPr>
                </w:p>
              </w:tc>
              <w:tc>
                <w:tcPr>
                  <w:tcW w:w="667" w:type="dxa"/>
                  <w:vMerge w:val="continue"/>
                  <w:tcBorders>
                    <w:tl2br w:val="nil"/>
                    <w:tr2bl w:val="nil"/>
                  </w:tcBorders>
                  <w:noWrap w:val="0"/>
                  <w:vAlign w:val="center"/>
                </w:tcPr>
                <w:p w14:paraId="53B1D5C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3487" w:type="dxa"/>
                  <w:tcBorders>
                    <w:tl2br w:val="nil"/>
                    <w:tr2bl w:val="nil"/>
                  </w:tcBorders>
                  <w:noWrap w:val="0"/>
                  <w:vAlign w:val="center"/>
                </w:tcPr>
                <w:p w14:paraId="42A0FC3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废活性炭经30m</w:t>
                  </w:r>
                  <w:r>
                    <w:rPr>
                      <w:rFonts w:hint="eastAsia"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Cs w:val="21"/>
                      <w:highlight w:val="none"/>
                      <w:lang w:val="en-US" w:eastAsia="zh-CN"/>
                      <w14:textFill>
                        <w14:solidFill>
                          <w14:schemeClr w14:val="tx1"/>
                        </w14:solidFill>
                      </w14:textFill>
                    </w:rPr>
                    <w:t>危废暂存间</w:t>
                  </w:r>
                  <w:r>
                    <w:rPr>
                      <w:rFonts w:hint="default" w:ascii="Times New Roman" w:hAnsi="Times New Roman" w:cs="Times New Roman"/>
                      <w:color w:val="000000" w:themeColor="text1"/>
                      <w:szCs w:val="21"/>
                      <w:highlight w:val="none"/>
                      <w14:textFill>
                        <w14:solidFill>
                          <w14:schemeClr w14:val="tx1"/>
                        </w14:solidFill>
                      </w14:textFill>
                    </w:rPr>
                    <w:t>内</w:t>
                  </w:r>
                  <w:r>
                    <w:rPr>
                      <w:rFonts w:hint="default" w:ascii="Times New Roman" w:hAnsi="Times New Roman" w:cs="Times New Roman"/>
                      <w:color w:val="000000" w:themeColor="text1"/>
                      <w:szCs w:val="21"/>
                      <w:highlight w:val="none"/>
                      <w:lang w:val="en-US" w:eastAsia="zh-CN"/>
                      <w14:textFill>
                        <w14:solidFill>
                          <w14:schemeClr w14:val="tx1"/>
                        </w14:solidFill>
                      </w14:textFill>
                    </w:rPr>
                    <w:t>分类收集</w:t>
                  </w:r>
                  <w:r>
                    <w:rPr>
                      <w:rFonts w:hint="default" w:ascii="Times New Roman" w:hAnsi="Times New Roman" w:cs="Times New Roman"/>
                      <w:color w:val="000000" w:themeColor="text1"/>
                      <w:szCs w:val="21"/>
                      <w:highlight w:val="none"/>
                      <w14:textFill>
                        <w14:solidFill>
                          <w14:schemeClr w14:val="tx1"/>
                        </w14:solidFill>
                      </w14:textFill>
                    </w:rPr>
                    <w:t>暂存后定期交三门峡天蓝环保科技有限公司</w:t>
                  </w:r>
                  <w:r>
                    <w:rPr>
                      <w:rFonts w:hint="eastAsia" w:ascii="Times New Roman" w:hAnsi="Times New Roman" w:cs="Times New Roman"/>
                      <w:color w:val="000000" w:themeColor="text1"/>
                      <w:szCs w:val="21"/>
                      <w:highlight w:val="none"/>
                      <w:lang w:val="en-US" w:eastAsia="zh-CN"/>
                      <w14:textFill>
                        <w14:solidFill>
                          <w14:schemeClr w14:val="tx1"/>
                        </w14:solidFill>
                      </w14:textFill>
                    </w:rPr>
                    <w:t>安全</w:t>
                  </w:r>
                  <w:r>
                    <w:rPr>
                      <w:rFonts w:hint="default" w:ascii="Times New Roman" w:hAnsi="Times New Roman" w:cs="Times New Roman"/>
                      <w:color w:val="000000" w:themeColor="text1"/>
                      <w:szCs w:val="21"/>
                      <w:highlight w:val="none"/>
                      <w14:textFill>
                        <w14:solidFill>
                          <w14:schemeClr w14:val="tx1"/>
                        </w14:solidFill>
                      </w14:textFill>
                    </w:rPr>
                    <w:t>处置</w:t>
                  </w:r>
                  <w:r>
                    <w:rPr>
                      <w:rFonts w:hint="eastAsia" w:ascii="Times New Roman" w:hAnsi="Times New Roman" w:cs="Times New Roman"/>
                      <w:color w:val="000000" w:themeColor="text1"/>
                      <w:szCs w:val="21"/>
                      <w:highlight w:val="none"/>
                      <w:lang w:val="en-US" w:eastAsia="zh-CN"/>
                      <w14:textFill>
                        <w14:solidFill>
                          <w14:schemeClr w14:val="tx1"/>
                        </w14:solidFill>
                      </w14:textFill>
                    </w:rPr>
                    <w:t>污水处理站脱水后的泥饼袋装密封后在15m</w:t>
                  </w:r>
                  <w:r>
                    <w:rPr>
                      <w:rFonts w:hint="eastAsia"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Cs w:val="21"/>
                      <w:highlight w:val="none"/>
                      <w:lang w:val="en-US" w:eastAsia="zh-CN"/>
                      <w14:textFill>
                        <w14:solidFill>
                          <w14:schemeClr w14:val="tx1"/>
                        </w14:solidFill>
                      </w14:textFill>
                    </w:rPr>
                    <w:t>污泥暂存间内暂存，定期交由三门峡天蓝环保科技有限公司安全处置；隔油池油渣收集后定期委托有资质的单位处置；生活垃圾经36m</w:t>
                  </w:r>
                  <w:r>
                    <w:rPr>
                      <w:rFonts w:hint="eastAsia"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Cs w:val="21"/>
                      <w:highlight w:val="none"/>
                      <w:lang w:val="en-US" w:eastAsia="zh-CN"/>
                      <w14:textFill>
                        <w14:solidFill>
                          <w14:schemeClr w14:val="tx1"/>
                        </w14:solidFill>
                      </w14:textFill>
                    </w:rPr>
                    <w:t>垃圾暂存站收集后由环卫部门定期清运</w:t>
                  </w:r>
                </w:p>
              </w:tc>
              <w:tc>
                <w:tcPr>
                  <w:tcW w:w="3846" w:type="dxa"/>
                  <w:gridSpan w:val="3"/>
                  <w:tcBorders>
                    <w:tl2br w:val="nil"/>
                    <w:tr2bl w:val="nil"/>
                  </w:tcBorders>
                  <w:noWrap w:val="0"/>
                  <w:vAlign w:val="center"/>
                </w:tcPr>
                <w:p w14:paraId="76B1662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000000" w:themeColor="text1"/>
                      <w:sz w:val="21"/>
                      <w:szCs w:val="21"/>
                      <w:highlight w:val="yellow"/>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依托在建工程①</w:t>
                  </w:r>
                </w:p>
              </w:tc>
            </w:tr>
          </w:tbl>
          <w:p w14:paraId="04C7C277">
            <w:pPr>
              <w:spacing w:line="520" w:lineRule="exact"/>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eastAsia" w:ascii="Times New Roman" w:hAnsi="Times New Roman" w:cs="Times New Roman"/>
                <w:b/>
                <w:color w:val="000000" w:themeColor="text1"/>
                <w:sz w:val="24"/>
                <w:highlight w:val="none"/>
                <w:lang w:val="en-US" w:eastAsia="zh-CN"/>
                <w14:textFill>
                  <w14:solidFill>
                    <w14:schemeClr w14:val="tx1"/>
                  </w14:solidFill>
                </w14:textFill>
              </w:rPr>
              <w:t>4、平面布置</w:t>
            </w:r>
          </w:p>
          <w:p w14:paraId="4CFE35F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渑池县中医院感染病房楼工程项目</w:t>
            </w:r>
            <w:r>
              <w:rPr>
                <w:rFonts w:hint="default" w:ascii="Times New Roman" w:hAnsi="Times New Roman" w:cs="Times New Roman"/>
                <w:b w:val="0"/>
                <w:bCs/>
                <w:color w:val="000000" w:themeColor="text1"/>
                <w:kern w:val="24"/>
                <w:sz w:val="24"/>
                <w:highlight w:val="none"/>
                <w:u w:val="none"/>
                <w:lang w:val="en-US" w:eastAsia="zh-CN"/>
                <w14:textFill>
                  <w14:solidFill>
                    <w14:schemeClr w14:val="tx1"/>
                  </w14:solidFill>
                </w14:textFill>
              </w:rPr>
              <w:t>基地呈较不规则矩形</w:t>
            </w:r>
            <w:r>
              <w:rPr>
                <w:rFonts w:hint="eastAsia" w:ascii="Times New Roman" w:hAnsi="Times New Roman" w:cs="Times New Roman"/>
                <w:b w:val="0"/>
                <w:bCs/>
                <w:color w:val="000000" w:themeColor="text1"/>
                <w:kern w:val="24"/>
                <w:sz w:val="24"/>
                <w:highlight w:val="none"/>
                <w:u w:val="none"/>
                <w:lang w:val="en-US" w:eastAsia="zh-CN"/>
                <w14:textFill>
                  <w14:solidFill>
                    <w14:schemeClr w14:val="tx1"/>
                  </w14:solidFill>
                </w14:textFill>
              </w:rPr>
              <w:t>，</w:t>
            </w:r>
            <w:r>
              <w:rPr>
                <w:rFonts w:hint="default" w:ascii="Times New Roman" w:hAnsi="Times New Roman" w:cs="Times New Roman"/>
                <w:b w:val="0"/>
                <w:bCs/>
                <w:color w:val="000000" w:themeColor="text1"/>
                <w:kern w:val="24"/>
                <w:sz w:val="24"/>
                <w:highlight w:val="none"/>
                <w:u w:val="none"/>
                <w:lang w:val="en-US" w:eastAsia="zh-CN"/>
                <w14:textFill>
                  <w14:solidFill>
                    <w14:schemeClr w14:val="tx1"/>
                  </w14:solidFill>
                </w14:textFill>
              </w:rPr>
              <w:t>北侧为医院主入口，东侧为医院次出入口</w:t>
            </w:r>
            <w:r>
              <w:rPr>
                <w:rFonts w:hint="eastAsia" w:ascii="Times New Roman" w:hAnsi="Times New Roman" w:cs="Times New Roman"/>
                <w:b w:val="0"/>
                <w:bCs/>
                <w:color w:val="000000" w:themeColor="text1"/>
                <w:kern w:val="24"/>
                <w:sz w:val="24"/>
                <w:highlight w:val="none"/>
                <w:u w:val="none"/>
                <w:lang w:val="en-US" w:eastAsia="zh-CN"/>
                <w14:textFill>
                  <w14:solidFill>
                    <w14:schemeClr w14:val="tx1"/>
                  </w14:solidFill>
                </w14:textFill>
              </w:rPr>
              <w:t>；精神病房楼</w:t>
            </w:r>
            <w:r>
              <w:rPr>
                <w:rFonts w:hint="default" w:ascii="Times New Roman" w:hAnsi="Times New Roman" w:cs="Times New Roman"/>
                <w:b w:val="0"/>
                <w:bCs/>
                <w:color w:val="000000" w:themeColor="text1"/>
                <w:kern w:val="24"/>
                <w:sz w:val="24"/>
                <w:highlight w:val="none"/>
                <w:u w:val="none"/>
                <w:lang w:val="en-US" w:eastAsia="zh-CN"/>
                <w14:textFill>
                  <w14:solidFill>
                    <w14:schemeClr w14:val="tx1"/>
                  </w14:solidFill>
                </w14:textFill>
              </w:rPr>
              <w:t>位于场地</w:t>
            </w:r>
            <w:r>
              <w:rPr>
                <w:rFonts w:hint="eastAsia" w:ascii="Times New Roman" w:hAnsi="Times New Roman" w:cs="Times New Roman"/>
                <w:b w:val="0"/>
                <w:bCs/>
                <w:color w:val="000000" w:themeColor="text1"/>
                <w:kern w:val="24"/>
                <w:sz w:val="24"/>
                <w:highlight w:val="none"/>
                <w:u w:val="none"/>
                <w:lang w:val="en-US" w:eastAsia="zh-CN"/>
                <w14:textFill>
                  <w14:solidFill>
                    <w14:schemeClr w14:val="tx1"/>
                  </w14:solidFill>
                </w14:textFill>
              </w:rPr>
              <w:t>南部区域</w:t>
            </w:r>
            <w:r>
              <w:rPr>
                <w:rFonts w:hint="default" w:ascii="Times New Roman" w:hAnsi="Times New Roman" w:cs="Times New Roman"/>
                <w:b w:val="0"/>
                <w:bCs/>
                <w:color w:val="000000" w:themeColor="text1"/>
                <w:kern w:val="24"/>
                <w:sz w:val="24"/>
                <w:highlight w:val="none"/>
                <w:u w:val="none"/>
                <w:lang w:val="en-US" w:eastAsia="zh-CN"/>
                <w14:textFill>
                  <w14:solidFill>
                    <w14:schemeClr w14:val="tx1"/>
                  </w14:solidFill>
                </w14:textFill>
              </w:rPr>
              <w:t>，</w:t>
            </w:r>
            <w:r>
              <w:rPr>
                <w:rFonts w:hint="eastAsia" w:ascii="Times New Roman" w:hAnsi="Times New Roman" w:cs="Times New Roman"/>
                <w:b w:val="0"/>
                <w:bCs/>
                <w:color w:val="000000" w:themeColor="text1"/>
                <w:kern w:val="24"/>
                <w:sz w:val="24"/>
                <w:highlight w:val="none"/>
                <w:u w:val="none"/>
                <w:lang w:val="en-US" w:eastAsia="zh-CN"/>
                <w14:textFill>
                  <w14:solidFill>
                    <w14:schemeClr w14:val="tx1"/>
                  </w14:solidFill>
                </w14:textFill>
              </w:rPr>
              <w:t>本次扩建精神病房楼位于北部区域</w:t>
            </w:r>
            <w:r>
              <w:rPr>
                <w:rFonts w:hint="default" w:ascii="Times New Roman" w:hAnsi="Times New Roman" w:cs="Times New Roman"/>
                <w:b w:val="0"/>
                <w:bCs/>
                <w:color w:val="000000" w:themeColor="text1"/>
                <w:kern w:val="24"/>
                <w:sz w:val="24"/>
                <w:highlight w:val="none"/>
                <w:u w:val="none"/>
                <w:lang w:val="en-US" w:eastAsia="zh-CN"/>
                <w14:textFill>
                  <w14:solidFill>
                    <w14:schemeClr w14:val="tx1"/>
                  </w14:solidFill>
                </w14:textFill>
              </w:rPr>
              <w:t>，污水处理站</w:t>
            </w:r>
            <w:r>
              <w:rPr>
                <w:rFonts w:hint="eastAsia" w:ascii="Times New Roman" w:hAnsi="Times New Roman" w:cs="Times New Roman"/>
                <w:b w:val="0"/>
                <w:bCs/>
                <w:color w:val="000000" w:themeColor="text1"/>
                <w:kern w:val="24"/>
                <w:sz w:val="24"/>
                <w:highlight w:val="none"/>
                <w:u w:val="none"/>
                <w:lang w:val="en-US" w:eastAsia="zh-CN"/>
                <w14:textFill>
                  <w14:solidFill>
                    <w14:schemeClr w14:val="tx1"/>
                  </w14:solidFill>
                </w14:textFill>
              </w:rPr>
              <w:t>位于场地西部区域</w:t>
            </w:r>
            <w:r>
              <w:rPr>
                <w:rFonts w:hint="default" w:ascii="Times New Roman" w:hAnsi="Times New Roman" w:cs="Times New Roman"/>
                <w:b w:val="0"/>
                <w:bCs/>
                <w:color w:val="000000" w:themeColor="text1"/>
                <w:kern w:val="24"/>
                <w:sz w:val="24"/>
                <w:highlight w:val="none"/>
                <w:u w:val="none"/>
                <w:lang w:val="en-US" w:eastAsia="zh-CN"/>
                <w14:textFill>
                  <w14:solidFill>
                    <w14:schemeClr w14:val="tx1"/>
                  </w14:solidFill>
                </w14:textFill>
              </w:rPr>
              <w:t>。</w:t>
            </w:r>
            <w:r>
              <w:rPr>
                <w:rFonts w:hint="eastAsia" w:ascii="Times New Roman" w:hAnsi="Times New Roman" w:cs="Times New Roman"/>
                <w:b w:val="0"/>
                <w:bCs/>
                <w:color w:val="000000" w:themeColor="text1"/>
                <w:kern w:val="24"/>
                <w:sz w:val="24"/>
                <w:highlight w:val="none"/>
                <w:u w:val="none"/>
                <w:lang w:val="en-US" w:eastAsia="zh-CN"/>
                <w14:textFill>
                  <w14:solidFill>
                    <w14:schemeClr w14:val="tx1"/>
                  </w14:solidFill>
                </w14:textFill>
              </w:rPr>
              <w:t>院区总</w:t>
            </w:r>
            <w:r>
              <w:rPr>
                <w:rFonts w:hint="default" w:ascii="Times New Roman" w:hAnsi="Times New Roman" w:cs="Times New Roman"/>
                <w:b w:val="0"/>
                <w:bCs/>
                <w:color w:val="000000" w:themeColor="text1"/>
                <w:sz w:val="24"/>
                <w:highlight w:val="none"/>
                <w:u w:val="none"/>
                <w14:textFill>
                  <w14:solidFill>
                    <w14:schemeClr w14:val="tx1"/>
                  </w14:solidFill>
                </w14:textFill>
              </w:rPr>
              <w:t>平面布置图</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详</w:t>
            </w:r>
            <w:r>
              <w:rPr>
                <w:rFonts w:hint="default" w:ascii="Times New Roman" w:hAnsi="Times New Roman" w:cs="Times New Roman"/>
                <w:b w:val="0"/>
                <w:bCs/>
                <w:color w:val="000000" w:themeColor="text1"/>
                <w:sz w:val="24"/>
                <w:highlight w:val="none"/>
                <w:u w:val="none"/>
                <w14:textFill>
                  <w14:solidFill>
                    <w14:schemeClr w14:val="tx1"/>
                  </w14:solidFill>
                </w14:textFill>
              </w:rPr>
              <w:t>见附图</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3。</w:t>
            </w:r>
          </w:p>
          <w:p w14:paraId="1883CB50">
            <w:pPr>
              <w:spacing w:line="520" w:lineRule="exact"/>
              <w:rPr>
                <w:rFonts w:hint="default"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cs="Times New Roman"/>
                <w:b/>
                <w:color w:val="000000" w:themeColor="text1"/>
                <w:sz w:val="24"/>
                <w:highlight w:val="none"/>
                <w:lang w:val="en-US" w:eastAsia="zh-CN"/>
                <w14:textFill>
                  <w14:solidFill>
                    <w14:schemeClr w14:val="tx1"/>
                  </w14:solidFill>
                </w14:textFill>
              </w:rPr>
              <w:t>5</w:t>
            </w:r>
            <w:r>
              <w:rPr>
                <w:rFonts w:hint="default" w:ascii="Times New Roman" w:hAnsi="Times New Roman" w:cs="Times New Roman"/>
                <w:b/>
                <w:color w:val="000000" w:themeColor="text1"/>
                <w:sz w:val="24"/>
                <w:highlight w:val="none"/>
                <w14:textFill>
                  <w14:solidFill>
                    <w14:schemeClr w14:val="tx1"/>
                  </w14:solidFill>
                </w14:textFill>
              </w:rPr>
              <w:t>、主要设备</w:t>
            </w:r>
          </w:p>
          <w:p w14:paraId="5E229027">
            <w:pPr>
              <w:spacing w:line="520" w:lineRule="exact"/>
              <w:ind w:firstLine="465"/>
              <w:jc w:val="left"/>
              <w:textAlignment w:val="baseline"/>
              <w:rPr>
                <w:rFonts w:hint="default" w:ascii="Times New Roman" w:hAnsi="Times New Roman" w:cs="Times New Roman"/>
                <w:bCs/>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本次扩建</w:t>
            </w:r>
            <w:r>
              <w:rPr>
                <w:rFonts w:hint="default" w:ascii="Times New Roman" w:hAnsi="Times New Roman" w:cs="Times New Roman"/>
                <w:bCs/>
                <w:color w:val="000000" w:themeColor="text1"/>
                <w:sz w:val="24"/>
                <w:highlight w:val="none"/>
                <w:lang w:eastAsia="zh-CN"/>
                <w14:textFill>
                  <w14:solidFill>
                    <w14:schemeClr w14:val="tx1"/>
                  </w14:solidFill>
                </w14:textFill>
              </w:rPr>
              <w:t>项目</w:t>
            </w:r>
            <w:r>
              <w:rPr>
                <w:rFonts w:hint="eastAsia" w:ascii="Times New Roman" w:hAnsi="Times New Roman" w:cs="Times New Roman"/>
                <w:bCs/>
                <w:color w:val="000000" w:themeColor="text1"/>
                <w:sz w:val="24"/>
                <w:highlight w:val="none"/>
                <w:lang w:val="en-US" w:eastAsia="zh-CN"/>
                <w14:textFill>
                  <w14:solidFill>
                    <w14:schemeClr w14:val="tx1"/>
                  </w14:solidFill>
                </w14:textFill>
              </w:rPr>
              <w:t>设备全部为新增，具体</w:t>
            </w:r>
            <w:r>
              <w:rPr>
                <w:rFonts w:hint="default" w:ascii="Times New Roman" w:hAnsi="Times New Roman" w:cs="Times New Roman"/>
                <w:bCs/>
                <w:color w:val="000000" w:themeColor="text1"/>
                <w:sz w:val="24"/>
                <w:highlight w:val="none"/>
                <w14:textFill>
                  <w14:solidFill>
                    <w14:schemeClr w14:val="tx1"/>
                  </w14:solidFill>
                </w14:textFill>
              </w:rPr>
              <w:t>见下表。</w:t>
            </w:r>
          </w:p>
          <w:p w14:paraId="273DD7AE">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ind w:firstLine="0"/>
              <w:textAlignment w:val="auto"/>
              <w:rPr>
                <w:rFonts w:hint="default" w:ascii="Times New Roman" w:hAnsi="Times New Roman" w:cs="Times New Roman"/>
                <w:bCs/>
                <w:color w:val="000000" w:themeColor="text1"/>
                <w:kern w:val="2"/>
                <w:sz w:val="24"/>
                <w:highlight w:val="none"/>
                <w:u w:val="none"/>
                <w14:textFill>
                  <w14:solidFill>
                    <w14:schemeClr w14:val="tx1"/>
                  </w14:solidFill>
                </w14:textFill>
              </w:rPr>
            </w:pPr>
            <w:r>
              <w:rPr>
                <w:rFonts w:hint="default" w:ascii="Times New Roman" w:hAnsi="Times New Roman" w:cs="Times New Roman"/>
                <w:bCs/>
                <w:color w:val="000000" w:themeColor="text1"/>
                <w:kern w:val="2"/>
                <w:sz w:val="24"/>
                <w:highlight w:val="none"/>
                <w:u w:val="none"/>
                <w14:textFill>
                  <w14:solidFill>
                    <w14:schemeClr w14:val="tx1"/>
                  </w14:solidFill>
                </w14:textFill>
              </w:rPr>
              <w:t xml:space="preserve">    </w:t>
            </w:r>
            <w:r>
              <w:rPr>
                <w:rFonts w:hint="eastAsia" w:ascii="Times New Roman" w:hAnsi="Times New Roman" w:cs="Times New Roman"/>
                <w:color w:val="000000" w:themeColor="text1"/>
                <w:sz w:val="24"/>
                <w:highlight w:val="none"/>
                <w:lang w:val="en-US" w:eastAsia="zh-CN"/>
                <w14:textFill>
                  <w14:solidFill>
                    <w14:schemeClr w14:val="tx1"/>
                  </w14:solidFill>
                </w14:textFill>
              </w:rPr>
              <w:t>扩建</w:t>
            </w:r>
            <w:r>
              <w:rPr>
                <w:rFonts w:hint="default" w:ascii="Times New Roman" w:hAnsi="Times New Roman" w:cs="Times New Roman"/>
                <w:bCs/>
                <w:color w:val="000000" w:themeColor="text1"/>
                <w:kern w:val="2"/>
                <w:sz w:val="24"/>
                <w:highlight w:val="none"/>
                <w:u w:val="none"/>
                <w:lang w:val="en-US" w:eastAsia="zh-CN"/>
                <w14:textFill>
                  <w14:solidFill>
                    <w14:schemeClr w14:val="tx1"/>
                  </w14:solidFill>
                </w14:textFill>
              </w:rPr>
              <w:t>项目</w:t>
            </w:r>
            <w:r>
              <w:rPr>
                <w:rFonts w:hint="default" w:ascii="Times New Roman" w:hAnsi="Times New Roman" w:cs="Times New Roman"/>
                <w:bCs/>
                <w:color w:val="000000" w:themeColor="text1"/>
                <w:kern w:val="2"/>
                <w:sz w:val="24"/>
                <w:highlight w:val="none"/>
                <w:u w:val="none"/>
                <w14:textFill>
                  <w14:solidFill>
                    <w14:schemeClr w14:val="tx1"/>
                  </w14:solidFill>
                </w14:textFill>
              </w:rPr>
              <w:t>主要设备一览表</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3567"/>
              <w:gridCol w:w="1147"/>
              <w:gridCol w:w="1072"/>
              <w:gridCol w:w="1969"/>
            </w:tblGrid>
            <w:tr w14:paraId="4BF51E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751F6FD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序号</w:t>
                  </w:r>
                </w:p>
              </w:tc>
              <w:tc>
                <w:tcPr>
                  <w:tcW w:w="3500" w:type="dxa"/>
                  <w:tcBorders>
                    <w:tl2br w:val="nil"/>
                    <w:tr2bl w:val="nil"/>
                  </w:tcBorders>
                  <w:noWrap w:val="0"/>
                  <w:vAlign w:val="center"/>
                </w:tcPr>
                <w:p w14:paraId="1CAA8CA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设备名称</w:t>
                  </w:r>
                </w:p>
              </w:tc>
              <w:tc>
                <w:tcPr>
                  <w:tcW w:w="1125" w:type="dxa"/>
                  <w:tcBorders>
                    <w:tl2br w:val="nil"/>
                    <w:tr2bl w:val="nil"/>
                  </w:tcBorders>
                  <w:noWrap w:val="0"/>
                  <w:vAlign w:val="center"/>
                </w:tcPr>
                <w:p w14:paraId="4929B18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单位</w:t>
                  </w:r>
                </w:p>
              </w:tc>
              <w:tc>
                <w:tcPr>
                  <w:tcW w:w="1095" w:type="dxa"/>
                  <w:tcBorders>
                    <w:tl2br w:val="nil"/>
                    <w:tr2bl w:val="nil"/>
                  </w:tcBorders>
                  <w:noWrap w:val="0"/>
                  <w:vAlign w:val="center"/>
                </w:tcPr>
                <w:p w14:paraId="3D5FFE3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数量</w:t>
                  </w:r>
                </w:p>
              </w:tc>
              <w:tc>
                <w:tcPr>
                  <w:tcW w:w="2022" w:type="dxa"/>
                  <w:tcBorders>
                    <w:tl2br w:val="nil"/>
                    <w:tr2bl w:val="nil"/>
                  </w:tcBorders>
                  <w:noWrap w:val="0"/>
                  <w:vAlign w:val="center"/>
                </w:tcPr>
                <w:p w14:paraId="41487A6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i w:val="0"/>
                      <w:iCs w:val="0"/>
                      <w:color w:val="000000" w:themeColor="text1"/>
                      <w:sz w:val="21"/>
                      <w:szCs w:val="21"/>
                      <w:highlight w:val="none"/>
                      <w:u w:val="none"/>
                      <w:lang w:val="en-US" w:eastAsia="zh-CN"/>
                      <w14:textFill>
                        <w14:solidFill>
                          <w14:schemeClr w14:val="tx1"/>
                        </w14:solidFill>
                      </w14:textFill>
                    </w:rPr>
                    <w:t>备注</w:t>
                  </w:r>
                </w:p>
              </w:tc>
            </w:tr>
            <w:tr w14:paraId="1D6C00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7F24822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1</w:t>
                  </w:r>
                </w:p>
              </w:tc>
              <w:tc>
                <w:tcPr>
                  <w:tcW w:w="3500" w:type="dxa"/>
                  <w:tcBorders>
                    <w:tl2br w:val="nil"/>
                    <w:tr2bl w:val="nil"/>
                  </w:tcBorders>
                  <w:noWrap/>
                  <w:vAlign w:val="center"/>
                </w:tcPr>
                <w:p w14:paraId="325BCED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心理CT</w:t>
                  </w:r>
                </w:p>
              </w:tc>
              <w:tc>
                <w:tcPr>
                  <w:tcW w:w="1125" w:type="dxa"/>
                  <w:tcBorders>
                    <w:tl2br w:val="nil"/>
                    <w:tr2bl w:val="nil"/>
                  </w:tcBorders>
                  <w:noWrap/>
                  <w:vAlign w:val="center"/>
                </w:tcPr>
                <w:p w14:paraId="6F4CFB6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台</w:t>
                  </w:r>
                </w:p>
              </w:tc>
              <w:tc>
                <w:tcPr>
                  <w:tcW w:w="1095" w:type="dxa"/>
                  <w:tcBorders>
                    <w:tl2br w:val="nil"/>
                    <w:tr2bl w:val="nil"/>
                  </w:tcBorders>
                  <w:noWrap w:val="0"/>
                  <w:vAlign w:val="center"/>
                </w:tcPr>
                <w:p w14:paraId="6BEA12DF">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i w:val="0"/>
                      <w:iCs w:val="0"/>
                      <w:color w:val="000000" w:themeColor="text1"/>
                      <w:sz w:val="21"/>
                      <w:szCs w:val="21"/>
                      <w:highlight w:val="none"/>
                      <w:u w:val="none"/>
                      <w:lang w:val="en-US" w:eastAsia="zh-CN"/>
                      <w14:textFill>
                        <w14:solidFill>
                          <w14:schemeClr w14:val="tx1"/>
                        </w14:solidFill>
                      </w14:textFill>
                    </w:rPr>
                    <w:t>1</w:t>
                  </w:r>
                </w:p>
              </w:tc>
              <w:tc>
                <w:tcPr>
                  <w:tcW w:w="2022" w:type="dxa"/>
                  <w:tcBorders>
                    <w:tl2br w:val="nil"/>
                    <w:tr2bl w:val="nil"/>
                  </w:tcBorders>
                  <w:noWrap w:val="0"/>
                  <w:vAlign w:val="center"/>
                </w:tcPr>
                <w:p w14:paraId="2A4EA9A9">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sz w:val="21"/>
                      <w:szCs w:val="21"/>
                      <w:highlight w:val="none"/>
                      <w:u w:val="none"/>
                      <w:lang w:val="en-US" w:eastAsia="zh-CN"/>
                      <w14:textFill>
                        <w14:solidFill>
                          <w14:schemeClr w14:val="tx1"/>
                        </w14:solidFill>
                      </w14:textFill>
                    </w:rPr>
                  </w:pPr>
                </w:p>
              </w:tc>
            </w:tr>
            <w:tr w14:paraId="5FA5E2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7728421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2</w:t>
                  </w:r>
                </w:p>
              </w:tc>
              <w:tc>
                <w:tcPr>
                  <w:tcW w:w="3500" w:type="dxa"/>
                  <w:tcBorders>
                    <w:tl2br w:val="nil"/>
                    <w:tr2bl w:val="nil"/>
                  </w:tcBorders>
                  <w:noWrap/>
                  <w:vAlign w:val="center"/>
                </w:tcPr>
                <w:p w14:paraId="36CDC0F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经颅磁刺激仪(60hz)</w:t>
                  </w:r>
                </w:p>
              </w:tc>
              <w:tc>
                <w:tcPr>
                  <w:tcW w:w="1125" w:type="dxa"/>
                  <w:tcBorders>
                    <w:tl2br w:val="nil"/>
                    <w:tr2bl w:val="nil"/>
                  </w:tcBorders>
                  <w:noWrap/>
                  <w:vAlign w:val="center"/>
                </w:tcPr>
                <w:p w14:paraId="55BFEED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台</w:t>
                  </w:r>
                </w:p>
              </w:tc>
              <w:tc>
                <w:tcPr>
                  <w:tcW w:w="1095" w:type="dxa"/>
                  <w:tcBorders>
                    <w:tl2br w:val="nil"/>
                    <w:tr2bl w:val="nil"/>
                  </w:tcBorders>
                  <w:noWrap w:val="0"/>
                  <w:vAlign w:val="center"/>
                </w:tcPr>
                <w:p w14:paraId="6AFEE3E9">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i w:val="0"/>
                      <w:iCs w:val="0"/>
                      <w:color w:val="000000" w:themeColor="text1"/>
                      <w:sz w:val="21"/>
                      <w:szCs w:val="21"/>
                      <w:highlight w:val="none"/>
                      <w:u w:val="none"/>
                      <w:lang w:val="en-US" w:eastAsia="zh-CN"/>
                      <w14:textFill>
                        <w14:solidFill>
                          <w14:schemeClr w14:val="tx1"/>
                        </w14:solidFill>
                      </w14:textFill>
                    </w:rPr>
                    <w:t>1</w:t>
                  </w:r>
                </w:p>
              </w:tc>
              <w:tc>
                <w:tcPr>
                  <w:tcW w:w="2022" w:type="dxa"/>
                  <w:tcBorders>
                    <w:tl2br w:val="nil"/>
                    <w:tr2bl w:val="nil"/>
                  </w:tcBorders>
                  <w:noWrap w:val="0"/>
                  <w:vAlign w:val="center"/>
                </w:tcPr>
                <w:p w14:paraId="2072B6D9">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sz w:val="21"/>
                      <w:szCs w:val="21"/>
                      <w:highlight w:val="none"/>
                      <w:u w:val="none"/>
                      <w:lang w:val="en-US" w:eastAsia="zh-CN"/>
                      <w14:textFill>
                        <w14:solidFill>
                          <w14:schemeClr w14:val="tx1"/>
                        </w14:solidFill>
                      </w14:textFill>
                    </w:rPr>
                  </w:pPr>
                </w:p>
              </w:tc>
            </w:tr>
            <w:tr w14:paraId="0A1D89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4F418F0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3</w:t>
                  </w:r>
                </w:p>
              </w:tc>
              <w:tc>
                <w:tcPr>
                  <w:tcW w:w="3500" w:type="dxa"/>
                  <w:tcBorders>
                    <w:tl2br w:val="nil"/>
                    <w:tr2bl w:val="nil"/>
                  </w:tcBorders>
                  <w:noWrap/>
                  <w:vAlign w:val="center"/>
                </w:tcPr>
                <w:p w14:paraId="3B2A6CF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经颅微电流刺激仪</w:t>
                  </w:r>
                </w:p>
              </w:tc>
              <w:tc>
                <w:tcPr>
                  <w:tcW w:w="1125" w:type="dxa"/>
                  <w:tcBorders>
                    <w:tl2br w:val="nil"/>
                    <w:tr2bl w:val="nil"/>
                  </w:tcBorders>
                  <w:noWrap/>
                  <w:vAlign w:val="center"/>
                </w:tcPr>
                <w:p w14:paraId="31CBCE6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台</w:t>
                  </w:r>
                </w:p>
              </w:tc>
              <w:tc>
                <w:tcPr>
                  <w:tcW w:w="1095" w:type="dxa"/>
                  <w:tcBorders>
                    <w:tl2br w:val="nil"/>
                    <w:tr2bl w:val="nil"/>
                  </w:tcBorders>
                  <w:noWrap w:val="0"/>
                  <w:vAlign w:val="center"/>
                </w:tcPr>
                <w:p w14:paraId="4E7ED54E">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i w:val="0"/>
                      <w:iCs w:val="0"/>
                      <w:color w:val="000000" w:themeColor="text1"/>
                      <w:sz w:val="21"/>
                      <w:szCs w:val="21"/>
                      <w:highlight w:val="none"/>
                      <w:u w:val="none"/>
                      <w:lang w:val="en-US" w:eastAsia="zh-CN"/>
                      <w14:textFill>
                        <w14:solidFill>
                          <w14:schemeClr w14:val="tx1"/>
                        </w14:solidFill>
                      </w14:textFill>
                    </w:rPr>
                    <w:t>2</w:t>
                  </w:r>
                </w:p>
              </w:tc>
              <w:tc>
                <w:tcPr>
                  <w:tcW w:w="2022" w:type="dxa"/>
                  <w:tcBorders>
                    <w:tl2br w:val="nil"/>
                    <w:tr2bl w:val="nil"/>
                  </w:tcBorders>
                  <w:noWrap w:val="0"/>
                  <w:vAlign w:val="center"/>
                </w:tcPr>
                <w:p w14:paraId="35F82281">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sz w:val="21"/>
                      <w:szCs w:val="21"/>
                      <w:highlight w:val="none"/>
                      <w:u w:val="none"/>
                      <w:lang w:val="en-US" w:eastAsia="zh-CN"/>
                      <w14:textFill>
                        <w14:solidFill>
                          <w14:schemeClr w14:val="tx1"/>
                        </w14:solidFill>
                      </w14:textFill>
                    </w:rPr>
                  </w:pPr>
                </w:p>
              </w:tc>
            </w:tr>
            <w:tr w14:paraId="18A15B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2B5BC1D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4</w:t>
                  </w:r>
                </w:p>
              </w:tc>
              <w:tc>
                <w:tcPr>
                  <w:tcW w:w="3500" w:type="dxa"/>
                  <w:tcBorders>
                    <w:tl2br w:val="nil"/>
                    <w:tr2bl w:val="nil"/>
                  </w:tcBorders>
                  <w:noWrap/>
                  <w:vAlign w:val="center"/>
                </w:tcPr>
                <w:p w14:paraId="77EBFB2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团体生物反馈仪</w:t>
                  </w:r>
                </w:p>
              </w:tc>
              <w:tc>
                <w:tcPr>
                  <w:tcW w:w="1125" w:type="dxa"/>
                  <w:tcBorders>
                    <w:tl2br w:val="nil"/>
                    <w:tr2bl w:val="nil"/>
                  </w:tcBorders>
                  <w:noWrap/>
                  <w:vAlign w:val="center"/>
                </w:tcPr>
                <w:p w14:paraId="3778D36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2"/>
                      <w:szCs w:val="22"/>
                      <w:highlight w:val="none"/>
                      <w:u w:val="none"/>
                      <w:lang w:val="en-US" w:eastAsia="zh-CN" w:bidi="ar"/>
                      <w14:textFill>
                        <w14:solidFill>
                          <w14:schemeClr w14:val="tx1"/>
                        </w14:solidFill>
                      </w14:textFill>
                    </w:rPr>
                    <w:t>套</w:t>
                  </w:r>
                </w:p>
              </w:tc>
              <w:tc>
                <w:tcPr>
                  <w:tcW w:w="1095" w:type="dxa"/>
                  <w:tcBorders>
                    <w:tl2br w:val="nil"/>
                    <w:tr2bl w:val="nil"/>
                  </w:tcBorders>
                  <w:noWrap w:val="0"/>
                  <w:vAlign w:val="center"/>
                </w:tcPr>
                <w:p w14:paraId="6020722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2022" w:type="dxa"/>
                  <w:tcBorders>
                    <w:tl2br w:val="nil"/>
                    <w:tr2bl w:val="nil"/>
                  </w:tcBorders>
                  <w:noWrap w:val="0"/>
                  <w:vAlign w:val="center"/>
                </w:tcPr>
                <w:p w14:paraId="5702B8D3">
                  <w:pPr>
                    <w:keepNext w:val="0"/>
                    <w:keepLines w:val="0"/>
                    <w:widowControl/>
                    <w:suppressLineNumbers w:val="0"/>
                    <w:jc w:val="center"/>
                    <w:textAlignment w:val="center"/>
                    <w:rPr>
                      <w:rFonts w:hint="default"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1G-10</w:t>
                  </w:r>
                </w:p>
              </w:tc>
            </w:tr>
            <w:tr w14:paraId="638450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0512B5C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5</w:t>
                  </w:r>
                </w:p>
              </w:tc>
              <w:tc>
                <w:tcPr>
                  <w:tcW w:w="3500" w:type="dxa"/>
                  <w:tcBorders>
                    <w:tl2br w:val="nil"/>
                    <w:tr2bl w:val="nil"/>
                  </w:tcBorders>
                  <w:noWrap/>
                  <w:vAlign w:val="center"/>
                </w:tcPr>
                <w:p w14:paraId="67BC076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贝多芬心身睡眠治疗系统</w:t>
                  </w:r>
                </w:p>
              </w:tc>
              <w:tc>
                <w:tcPr>
                  <w:tcW w:w="1125" w:type="dxa"/>
                  <w:tcBorders>
                    <w:tl2br w:val="nil"/>
                    <w:tr2bl w:val="nil"/>
                  </w:tcBorders>
                  <w:noWrap/>
                  <w:vAlign w:val="center"/>
                </w:tcPr>
                <w:p w14:paraId="5DF3B40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辆</w:t>
                  </w:r>
                </w:p>
              </w:tc>
              <w:tc>
                <w:tcPr>
                  <w:tcW w:w="1095" w:type="dxa"/>
                  <w:tcBorders>
                    <w:tl2br w:val="nil"/>
                    <w:tr2bl w:val="nil"/>
                  </w:tcBorders>
                  <w:noWrap w:val="0"/>
                  <w:vAlign w:val="center"/>
                </w:tcPr>
                <w:p w14:paraId="2C6C56F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2022" w:type="dxa"/>
                  <w:tcBorders>
                    <w:tl2br w:val="nil"/>
                    <w:tr2bl w:val="nil"/>
                  </w:tcBorders>
                  <w:noWrap w:val="0"/>
                  <w:vAlign w:val="center"/>
                </w:tcPr>
                <w:p w14:paraId="3020C6FD">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r w14:paraId="14C71F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00CC4CC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6</w:t>
                  </w:r>
                </w:p>
              </w:tc>
              <w:tc>
                <w:tcPr>
                  <w:tcW w:w="3500" w:type="dxa"/>
                  <w:tcBorders>
                    <w:tl2br w:val="nil"/>
                    <w:tr2bl w:val="nil"/>
                  </w:tcBorders>
                  <w:noWrap/>
                  <w:vAlign w:val="center"/>
                </w:tcPr>
                <w:p w14:paraId="5AF53B5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心理康复训练系统(VR)</w:t>
                  </w:r>
                </w:p>
              </w:tc>
              <w:tc>
                <w:tcPr>
                  <w:tcW w:w="1125" w:type="dxa"/>
                  <w:tcBorders>
                    <w:tl2br w:val="nil"/>
                    <w:tr2bl w:val="nil"/>
                  </w:tcBorders>
                  <w:noWrap/>
                  <w:vAlign w:val="center"/>
                </w:tcPr>
                <w:p w14:paraId="42C65E5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台</w:t>
                  </w:r>
                </w:p>
              </w:tc>
              <w:tc>
                <w:tcPr>
                  <w:tcW w:w="1095" w:type="dxa"/>
                  <w:tcBorders>
                    <w:tl2br w:val="nil"/>
                    <w:tr2bl w:val="nil"/>
                  </w:tcBorders>
                  <w:noWrap w:val="0"/>
                  <w:vAlign w:val="center"/>
                </w:tcPr>
                <w:p w14:paraId="099E7C5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2022" w:type="dxa"/>
                  <w:tcBorders>
                    <w:tl2br w:val="nil"/>
                    <w:tr2bl w:val="nil"/>
                  </w:tcBorders>
                  <w:noWrap w:val="0"/>
                  <w:vAlign w:val="center"/>
                </w:tcPr>
                <w:p w14:paraId="79E952B2">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r w14:paraId="46A760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701251D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7</w:t>
                  </w:r>
                </w:p>
              </w:tc>
              <w:tc>
                <w:tcPr>
                  <w:tcW w:w="3500" w:type="dxa"/>
                  <w:tcBorders>
                    <w:tl2br w:val="nil"/>
                    <w:tr2bl w:val="nil"/>
                  </w:tcBorders>
                  <w:noWrap/>
                  <w:vAlign w:val="center"/>
                </w:tcPr>
                <w:p w14:paraId="14AC1AE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脑循环功能治疗仪</w:t>
                  </w:r>
                </w:p>
              </w:tc>
              <w:tc>
                <w:tcPr>
                  <w:tcW w:w="1125" w:type="dxa"/>
                  <w:tcBorders>
                    <w:tl2br w:val="nil"/>
                    <w:tr2bl w:val="nil"/>
                  </w:tcBorders>
                  <w:noWrap/>
                  <w:vAlign w:val="center"/>
                </w:tcPr>
                <w:p w14:paraId="47FD976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台</w:t>
                  </w:r>
                </w:p>
              </w:tc>
              <w:tc>
                <w:tcPr>
                  <w:tcW w:w="1095" w:type="dxa"/>
                  <w:tcBorders>
                    <w:tl2br w:val="nil"/>
                    <w:tr2bl w:val="nil"/>
                  </w:tcBorders>
                  <w:noWrap w:val="0"/>
                  <w:vAlign w:val="center"/>
                </w:tcPr>
                <w:p w14:paraId="4790294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w:t>
                  </w:r>
                </w:p>
              </w:tc>
              <w:tc>
                <w:tcPr>
                  <w:tcW w:w="2022" w:type="dxa"/>
                  <w:tcBorders>
                    <w:tl2br w:val="nil"/>
                    <w:tr2bl w:val="nil"/>
                  </w:tcBorders>
                  <w:noWrap w:val="0"/>
                  <w:vAlign w:val="center"/>
                </w:tcPr>
                <w:p w14:paraId="3EEC97CC">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r w14:paraId="2CD3DA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2FEC6D5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8</w:t>
                  </w:r>
                </w:p>
              </w:tc>
              <w:tc>
                <w:tcPr>
                  <w:tcW w:w="3500" w:type="dxa"/>
                  <w:tcBorders>
                    <w:tl2br w:val="nil"/>
                    <w:tr2bl w:val="nil"/>
                  </w:tcBorders>
                  <w:noWrap/>
                  <w:vAlign w:val="center"/>
                </w:tcPr>
                <w:p w14:paraId="03E5C1B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电痉挛治疗仪</w:t>
                  </w:r>
                </w:p>
              </w:tc>
              <w:tc>
                <w:tcPr>
                  <w:tcW w:w="1125" w:type="dxa"/>
                  <w:tcBorders>
                    <w:tl2br w:val="nil"/>
                    <w:tr2bl w:val="nil"/>
                  </w:tcBorders>
                  <w:noWrap/>
                  <w:vAlign w:val="center"/>
                </w:tcPr>
                <w:p w14:paraId="688BF0F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2"/>
                      <w:szCs w:val="22"/>
                      <w:highlight w:val="none"/>
                      <w:u w:val="none"/>
                      <w:lang w:val="en-US" w:eastAsia="zh-CN" w:bidi="ar"/>
                      <w14:textFill>
                        <w14:solidFill>
                          <w14:schemeClr w14:val="tx1"/>
                        </w14:solidFill>
                      </w14:textFill>
                    </w:rPr>
                    <w:t>套</w:t>
                  </w:r>
                </w:p>
              </w:tc>
              <w:tc>
                <w:tcPr>
                  <w:tcW w:w="1095" w:type="dxa"/>
                  <w:tcBorders>
                    <w:tl2br w:val="nil"/>
                    <w:tr2bl w:val="nil"/>
                  </w:tcBorders>
                  <w:noWrap w:val="0"/>
                  <w:vAlign w:val="center"/>
                </w:tcPr>
                <w:p w14:paraId="0A0E74A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2022" w:type="dxa"/>
                  <w:tcBorders>
                    <w:tl2br w:val="nil"/>
                    <w:tr2bl w:val="nil"/>
                  </w:tcBorders>
                  <w:noWrap w:val="0"/>
                  <w:vAlign w:val="center"/>
                </w:tcPr>
                <w:p w14:paraId="01E8361A">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r w14:paraId="234BEF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1DB6A24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9</w:t>
                  </w:r>
                </w:p>
              </w:tc>
              <w:tc>
                <w:tcPr>
                  <w:tcW w:w="3500" w:type="dxa"/>
                  <w:tcBorders>
                    <w:tl2br w:val="nil"/>
                    <w:tr2bl w:val="nil"/>
                  </w:tcBorders>
                  <w:noWrap/>
                  <w:vAlign w:val="center"/>
                </w:tcPr>
                <w:p w14:paraId="47B99EA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多导睡眠监测系统</w:t>
                  </w:r>
                </w:p>
              </w:tc>
              <w:tc>
                <w:tcPr>
                  <w:tcW w:w="1125" w:type="dxa"/>
                  <w:tcBorders>
                    <w:tl2br w:val="nil"/>
                    <w:tr2bl w:val="nil"/>
                  </w:tcBorders>
                  <w:noWrap/>
                  <w:vAlign w:val="center"/>
                </w:tcPr>
                <w:p w14:paraId="1FF376A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2"/>
                      <w:szCs w:val="22"/>
                      <w:highlight w:val="none"/>
                      <w:u w:val="none"/>
                      <w:lang w:val="en-US" w:eastAsia="zh-CN" w:bidi="ar"/>
                      <w14:textFill>
                        <w14:solidFill>
                          <w14:schemeClr w14:val="tx1"/>
                        </w14:solidFill>
                      </w14:textFill>
                    </w:rPr>
                    <w:t>套</w:t>
                  </w:r>
                </w:p>
              </w:tc>
              <w:tc>
                <w:tcPr>
                  <w:tcW w:w="1095" w:type="dxa"/>
                  <w:tcBorders>
                    <w:tl2br w:val="nil"/>
                    <w:tr2bl w:val="nil"/>
                  </w:tcBorders>
                  <w:noWrap w:val="0"/>
                  <w:vAlign w:val="center"/>
                </w:tcPr>
                <w:p w14:paraId="38466BE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2022" w:type="dxa"/>
                  <w:tcBorders>
                    <w:tl2br w:val="nil"/>
                    <w:tr2bl w:val="nil"/>
                  </w:tcBorders>
                  <w:noWrap w:val="0"/>
                  <w:vAlign w:val="center"/>
                </w:tcPr>
                <w:p w14:paraId="4A354BC9">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r w14:paraId="727AE9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4DF36CA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10</w:t>
                  </w:r>
                </w:p>
              </w:tc>
              <w:tc>
                <w:tcPr>
                  <w:tcW w:w="3500" w:type="dxa"/>
                  <w:tcBorders>
                    <w:tl2br w:val="nil"/>
                    <w:tr2bl w:val="nil"/>
                  </w:tcBorders>
                  <w:noWrap/>
                  <w:vAlign w:val="center"/>
                </w:tcPr>
                <w:p w14:paraId="514C473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麻醉机</w:t>
                  </w:r>
                </w:p>
              </w:tc>
              <w:tc>
                <w:tcPr>
                  <w:tcW w:w="1125" w:type="dxa"/>
                  <w:tcBorders>
                    <w:tl2br w:val="nil"/>
                    <w:tr2bl w:val="nil"/>
                  </w:tcBorders>
                  <w:noWrap/>
                  <w:vAlign w:val="center"/>
                </w:tcPr>
                <w:p w14:paraId="27F5B4C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台</w:t>
                  </w:r>
                </w:p>
              </w:tc>
              <w:tc>
                <w:tcPr>
                  <w:tcW w:w="1095" w:type="dxa"/>
                  <w:tcBorders>
                    <w:tl2br w:val="nil"/>
                    <w:tr2bl w:val="nil"/>
                  </w:tcBorders>
                  <w:noWrap w:val="0"/>
                  <w:vAlign w:val="center"/>
                </w:tcPr>
                <w:p w14:paraId="7FC27DE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2022" w:type="dxa"/>
                  <w:tcBorders>
                    <w:tl2br w:val="nil"/>
                    <w:tr2bl w:val="nil"/>
                  </w:tcBorders>
                  <w:noWrap w:val="0"/>
                  <w:vAlign w:val="center"/>
                </w:tcPr>
                <w:p w14:paraId="1BB8BBD9">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r w14:paraId="02DCFE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2DCF027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11</w:t>
                  </w:r>
                </w:p>
              </w:tc>
              <w:tc>
                <w:tcPr>
                  <w:tcW w:w="3500" w:type="dxa"/>
                  <w:tcBorders>
                    <w:tl2br w:val="nil"/>
                    <w:tr2bl w:val="nil"/>
                  </w:tcBorders>
                  <w:noWrap/>
                  <w:vAlign w:val="center"/>
                </w:tcPr>
                <w:p w14:paraId="283C45C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无创呼吸机</w:t>
                  </w:r>
                </w:p>
              </w:tc>
              <w:tc>
                <w:tcPr>
                  <w:tcW w:w="1125" w:type="dxa"/>
                  <w:tcBorders>
                    <w:tl2br w:val="nil"/>
                    <w:tr2bl w:val="nil"/>
                  </w:tcBorders>
                  <w:noWrap/>
                  <w:vAlign w:val="center"/>
                </w:tcPr>
                <w:p w14:paraId="3C5F22F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台</w:t>
                  </w:r>
                </w:p>
              </w:tc>
              <w:tc>
                <w:tcPr>
                  <w:tcW w:w="1095" w:type="dxa"/>
                  <w:tcBorders>
                    <w:tl2br w:val="nil"/>
                    <w:tr2bl w:val="nil"/>
                  </w:tcBorders>
                  <w:noWrap w:val="0"/>
                  <w:vAlign w:val="center"/>
                </w:tcPr>
                <w:p w14:paraId="3A202AE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2022" w:type="dxa"/>
                  <w:tcBorders>
                    <w:tl2br w:val="nil"/>
                    <w:tr2bl w:val="nil"/>
                  </w:tcBorders>
                  <w:noWrap w:val="0"/>
                  <w:vAlign w:val="center"/>
                </w:tcPr>
                <w:p w14:paraId="6B79EEED">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r w14:paraId="6FFC87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225C9CC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12</w:t>
                  </w:r>
                </w:p>
              </w:tc>
              <w:tc>
                <w:tcPr>
                  <w:tcW w:w="3500" w:type="dxa"/>
                  <w:tcBorders>
                    <w:tl2br w:val="nil"/>
                    <w:tr2bl w:val="nil"/>
                  </w:tcBorders>
                  <w:noWrap/>
                  <w:vAlign w:val="center"/>
                </w:tcPr>
                <w:p w14:paraId="00E9B8B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便携式心电图</w:t>
                  </w:r>
                </w:p>
              </w:tc>
              <w:tc>
                <w:tcPr>
                  <w:tcW w:w="1125" w:type="dxa"/>
                  <w:tcBorders>
                    <w:tl2br w:val="nil"/>
                    <w:tr2bl w:val="nil"/>
                  </w:tcBorders>
                  <w:noWrap/>
                  <w:vAlign w:val="center"/>
                </w:tcPr>
                <w:p w14:paraId="450F8AF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台</w:t>
                  </w:r>
                </w:p>
              </w:tc>
              <w:tc>
                <w:tcPr>
                  <w:tcW w:w="1095" w:type="dxa"/>
                  <w:tcBorders>
                    <w:tl2br w:val="nil"/>
                    <w:tr2bl w:val="nil"/>
                  </w:tcBorders>
                  <w:noWrap w:val="0"/>
                  <w:vAlign w:val="center"/>
                </w:tcPr>
                <w:p w14:paraId="771271F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w:t>
                  </w:r>
                </w:p>
              </w:tc>
              <w:tc>
                <w:tcPr>
                  <w:tcW w:w="2022" w:type="dxa"/>
                  <w:tcBorders>
                    <w:tl2br w:val="nil"/>
                    <w:tr2bl w:val="nil"/>
                  </w:tcBorders>
                  <w:noWrap w:val="0"/>
                  <w:vAlign w:val="center"/>
                </w:tcPr>
                <w:p w14:paraId="54B09B3B">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r w14:paraId="0D02DF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43B2B29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13</w:t>
                  </w:r>
                </w:p>
              </w:tc>
              <w:tc>
                <w:tcPr>
                  <w:tcW w:w="3500" w:type="dxa"/>
                  <w:tcBorders>
                    <w:tl2br w:val="nil"/>
                    <w:tr2bl w:val="nil"/>
                  </w:tcBorders>
                  <w:noWrap/>
                  <w:vAlign w:val="center"/>
                </w:tcPr>
                <w:p w14:paraId="1D0CD59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监护仪</w:t>
                  </w:r>
                </w:p>
              </w:tc>
              <w:tc>
                <w:tcPr>
                  <w:tcW w:w="1125" w:type="dxa"/>
                  <w:tcBorders>
                    <w:tl2br w:val="nil"/>
                    <w:tr2bl w:val="nil"/>
                  </w:tcBorders>
                  <w:noWrap/>
                  <w:vAlign w:val="center"/>
                </w:tcPr>
                <w:p w14:paraId="6ABD9B3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台</w:t>
                  </w:r>
                </w:p>
              </w:tc>
              <w:tc>
                <w:tcPr>
                  <w:tcW w:w="1095" w:type="dxa"/>
                  <w:tcBorders>
                    <w:tl2br w:val="nil"/>
                    <w:tr2bl w:val="nil"/>
                  </w:tcBorders>
                  <w:noWrap w:val="0"/>
                  <w:vAlign w:val="center"/>
                </w:tcPr>
                <w:p w14:paraId="3084693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15</w:t>
                  </w:r>
                </w:p>
              </w:tc>
              <w:tc>
                <w:tcPr>
                  <w:tcW w:w="2022" w:type="dxa"/>
                  <w:tcBorders>
                    <w:tl2br w:val="nil"/>
                    <w:tr2bl w:val="nil"/>
                  </w:tcBorders>
                  <w:noWrap w:val="0"/>
                  <w:vAlign w:val="center"/>
                </w:tcPr>
                <w:p w14:paraId="506E33B9">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r w14:paraId="0428BC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6CB164F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14</w:t>
                  </w:r>
                </w:p>
              </w:tc>
              <w:tc>
                <w:tcPr>
                  <w:tcW w:w="3500" w:type="dxa"/>
                  <w:tcBorders>
                    <w:tl2br w:val="nil"/>
                    <w:tr2bl w:val="nil"/>
                  </w:tcBorders>
                  <w:noWrap/>
                  <w:vAlign w:val="center"/>
                </w:tcPr>
                <w:p w14:paraId="01B27EE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救护车</w:t>
                  </w:r>
                </w:p>
              </w:tc>
              <w:tc>
                <w:tcPr>
                  <w:tcW w:w="1125" w:type="dxa"/>
                  <w:tcBorders>
                    <w:tl2br w:val="nil"/>
                    <w:tr2bl w:val="nil"/>
                  </w:tcBorders>
                  <w:noWrap/>
                  <w:vAlign w:val="center"/>
                </w:tcPr>
                <w:p w14:paraId="1BC2F55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台</w:t>
                  </w:r>
                </w:p>
              </w:tc>
              <w:tc>
                <w:tcPr>
                  <w:tcW w:w="1095" w:type="dxa"/>
                  <w:tcBorders>
                    <w:tl2br w:val="nil"/>
                    <w:tr2bl w:val="nil"/>
                  </w:tcBorders>
                  <w:noWrap w:val="0"/>
                  <w:vAlign w:val="center"/>
                </w:tcPr>
                <w:p w14:paraId="1DE43B6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2022" w:type="dxa"/>
                  <w:tcBorders>
                    <w:tl2br w:val="nil"/>
                    <w:tr2bl w:val="nil"/>
                  </w:tcBorders>
                  <w:noWrap w:val="0"/>
                  <w:vAlign w:val="center"/>
                </w:tcPr>
                <w:p w14:paraId="572FEAE4">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r w14:paraId="752596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5A65F25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15</w:t>
                  </w:r>
                </w:p>
              </w:tc>
              <w:tc>
                <w:tcPr>
                  <w:tcW w:w="3500" w:type="dxa"/>
                  <w:tcBorders>
                    <w:tl2br w:val="nil"/>
                    <w:tr2bl w:val="nil"/>
                  </w:tcBorders>
                  <w:noWrap/>
                  <w:vAlign w:val="center"/>
                </w:tcPr>
                <w:p w14:paraId="2A37207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18导心电图</w:t>
                  </w:r>
                </w:p>
              </w:tc>
              <w:tc>
                <w:tcPr>
                  <w:tcW w:w="1125" w:type="dxa"/>
                  <w:tcBorders>
                    <w:tl2br w:val="nil"/>
                    <w:tr2bl w:val="nil"/>
                  </w:tcBorders>
                  <w:noWrap/>
                  <w:vAlign w:val="center"/>
                </w:tcPr>
                <w:p w14:paraId="61D2083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台</w:t>
                  </w:r>
                </w:p>
              </w:tc>
              <w:tc>
                <w:tcPr>
                  <w:tcW w:w="1095" w:type="dxa"/>
                  <w:tcBorders>
                    <w:tl2br w:val="nil"/>
                    <w:tr2bl w:val="nil"/>
                  </w:tcBorders>
                  <w:noWrap w:val="0"/>
                  <w:vAlign w:val="center"/>
                </w:tcPr>
                <w:p w14:paraId="21B2E05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w:t>
                  </w:r>
                </w:p>
              </w:tc>
              <w:tc>
                <w:tcPr>
                  <w:tcW w:w="2022" w:type="dxa"/>
                  <w:tcBorders>
                    <w:tl2br w:val="nil"/>
                    <w:tr2bl w:val="nil"/>
                  </w:tcBorders>
                  <w:noWrap w:val="0"/>
                  <w:vAlign w:val="center"/>
                </w:tcPr>
                <w:p w14:paraId="49A8C5C4">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r w14:paraId="2BE26C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2AC46C3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16</w:t>
                  </w:r>
                </w:p>
              </w:tc>
              <w:tc>
                <w:tcPr>
                  <w:tcW w:w="3500" w:type="dxa"/>
                  <w:tcBorders>
                    <w:tl2br w:val="nil"/>
                    <w:tr2bl w:val="nil"/>
                  </w:tcBorders>
                  <w:noWrap/>
                  <w:vAlign w:val="center"/>
                </w:tcPr>
                <w:p w14:paraId="01BC8A2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智力鉴定测试系统</w:t>
                  </w:r>
                </w:p>
              </w:tc>
              <w:tc>
                <w:tcPr>
                  <w:tcW w:w="1125" w:type="dxa"/>
                  <w:tcBorders>
                    <w:tl2br w:val="nil"/>
                    <w:tr2bl w:val="nil"/>
                  </w:tcBorders>
                  <w:noWrap/>
                  <w:vAlign w:val="center"/>
                </w:tcPr>
                <w:p w14:paraId="693D272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台</w:t>
                  </w:r>
                </w:p>
              </w:tc>
              <w:tc>
                <w:tcPr>
                  <w:tcW w:w="1095" w:type="dxa"/>
                  <w:tcBorders>
                    <w:tl2br w:val="nil"/>
                    <w:tr2bl w:val="nil"/>
                  </w:tcBorders>
                  <w:noWrap w:val="0"/>
                  <w:vAlign w:val="center"/>
                </w:tcPr>
                <w:p w14:paraId="4226121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2022" w:type="dxa"/>
                  <w:tcBorders>
                    <w:tl2br w:val="nil"/>
                    <w:tr2bl w:val="nil"/>
                  </w:tcBorders>
                  <w:noWrap w:val="0"/>
                  <w:vAlign w:val="center"/>
                </w:tcPr>
                <w:p w14:paraId="3152D67D">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r w14:paraId="432063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4C690FE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17</w:t>
                  </w:r>
                </w:p>
              </w:tc>
              <w:tc>
                <w:tcPr>
                  <w:tcW w:w="3500" w:type="dxa"/>
                  <w:tcBorders>
                    <w:tl2br w:val="nil"/>
                    <w:tr2bl w:val="nil"/>
                  </w:tcBorders>
                  <w:noWrap/>
                  <w:vAlign w:val="center"/>
                </w:tcPr>
                <w:p w14:paraId="7991C24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沙盘、手工、厨艺等</w:t>
                  </w:r>
                </w:p>
              </w:tc>
              <w:tc>
                <w:tcPr>
                  <w:tcW w:w="1125" w:type="dxa"/>
                  <w:tcBorders>
                    <w:tl2br w:val="nil"/>
                    <w:tr2bl w:val="nil"/>
                  </w:tcBorders>
                  <w:noWrap/>
                  <w:vAlign w:val="center"/>
                </w:tcPr>
                <w:p w14:paraId="1B1F5DE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2"/>
                      <w:szCs w:val="22"/>
                      <w:highlight w:val="none"/>
                      <w:u w:val="none"/>
                      <w:lang w:val="en-US" w:eastAsia="zh-CN" w:bidi="ar"/>
                      <w14:textFill>
                        <w14:solidFill>
                          <w14:schemeClr w14:val="tx1"/>
                        </w14:solidFill>
                      </w14:textFill>
                    </w:rPr>
                    <w:t>套</w:t>
                  </w:r>
                </w:p>
              </w:tc>
              <w:tc>
                <w:tcPr>
                  <w:tcW w:w="1095" w:type="dxa"/>
                  <w:tcBorders>
                    <w:tl2br w:val="nil"/>
                    <w:tr2bl w:val="nil"/>
                  </w:tcBorders>
                  <w:noWrap w:val="0"/>
                  <w:vAlign w:val="center"/>
                </w:tcPr>
                <w:p w14:paraId="42630D9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2022" w:type="dxa"/>
                  <w:tcBorders>
                    <w:tl2br w:val="nil"/>
                    <w:tr2bl w:val="nil"/>
                  </w:tcBorders>
                  <w:noWrap w:val="0"/>
                  <w:vAlign w:val="center"/>
                </w:tcPr>
                <w:p w14:paraId="1AAC2FBF">
                  <w:pPr>
                    <w:keepNext w:val="0"/>
                    <w:keepLines w:val="0"/>
                    <w:widowControl/>
                    <w:suppressLineNumbers w:val="0"/>
                    <w:jc w:val="center"/>
                    <w:textAlignment w:val="center"/>
                    <w:rPr>
                      <w:rFonts w:hint="default"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作业治疗</w:t>
                  </w:r>
                </w:p>
              </w:tc>
            </w:tr>
            <w:tr w14:paraId="3ADFE8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0A5A396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18</w:t>
                  </w:r>
                </w:p>
              </w:tc>
              <w:tc>
                <w:tcPr>
                  <w:tcW w:w="3500" w:type="dxa"/>
                  <w:tcBorders>
                    <w:tl2br w:val="nil"/>
                    <w:tr2bl w:val="nil"/>
                  </w:tcBorders>
                  <w:noWrap/>
                  <w:vAlign w:val="center"/>
                </w:tcPr>
                <w:p w14:paraId="6E52969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宣泄仪器</w:t>
                  </w:r>
                </w:p>
              </w:tc>
              <w:tc>
                <w:tcPr>
                  <w:tcW w:w="1125" w:type="dxa"/>
                  <w:tcBorders>
                    <w:tl2br w:val="nil"/>
                    <w:tr2bl w:val="nil"/>
                  </w:tcBorders>
                  <w:noWrap/>
                  <w:vAlign w:val="center"/>
                </w:tcPr>
                <w:p w14:paraId="09F1537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2"/>
                      <w:szCs w:val="22"/>
                      <w:highlight w:val="none"/>
                      <w:u w:val="none"/>
                      <w:lang w:val="en-US" w:eastAsia="zh-CN" w:bidi="ar"/>
                      <w14:textFill>
                        <w14:solidFill>
                          <w14:schemeClr w14:val="tx1"/>
                        </w14:solidFill>
                      </w14:textFill>
                    </w:rPr>
                    <w:t>套</w:t>
                  </w:r>
                </w:p>
              </w:tc>
              <w:tc>
                <w:tcPr>
                  <w:tcW w:w="1095" w:type="dxa"/>
                  <w:tcBorders>
                    <w:tl2br w:val="nil"/>
                    <w:tr2bl w:val="nil"/>
                  </w:tcBorders>
                  <w:noWrap w:val="0"/>
                  <w:vAlign w:val="center"/>
                </w:tcPr>
                <w:p w14:paraId="3416B3E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2022" w:type="dxa"/>
                  <w:tcBorders>
                    <w:tl2br w:val="nil"/>
                    <w:tr2bl w:val="nil"/>
                  </w:tcBorders>
                  <w:noWrap w:val="0"/>
                  <w:vAlign w:val="center"/>
                </w:tcPr>
                <w:p w14:paraId="3488B80B">
                  <w:pPr>
                    <w:keepNext w:val="0"/>
                    <w:keepLines w:val="0"/>
                    <w:widowControl/>
                    <w:suppressLineNumbers w:val="0"/>
                    <w:jc w:val="center"/>
                    <w:textAlignment w:val="center"/>
                    <w:rPr>
                      <w:rFonts w:hint="default"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工娱训练</w:t>
                  </w:r>
                </w:p>
              </w:tc>
            </w:tr>
            <w:tr w14:paraId="0B9336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3570021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19</w:t>
                  </w:r>
                </w:p>
              </w:tc>
              <w:tc>
                <w:tcPr>
                  <w:tcW w:w="3500" w:type="dxa"/>
                  <w:tcBorders>
                    <w:tl2br w:val="nil"/>
                    <w:tr2bl w:val="nil"/>
                  </w:tcBorders>
                  <w:noWrap/>
                  <w:vAlign w:val="center"/>
                </w:tcPr>
                <w:p w14:paraId="690B500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视频脑电图</w:t>
                  </w:r>
                </w:p>
              </w:tc>
              <w:tc>
                <w:tcPr>
                  <w:tcW w:w="1125" w:type="dxa"/>
                  <w:tcBorders>
                    <w:tl2br w:val="nil"/>
                    <w:tr2bl w:val="nil"/>
                  </w:tcBorders>
                  <w:noWrap/>
                  <w:vAlign w:val="center"/>
                </w:tcPr>
                <w:p w14:paraId="63C29F5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台</w:t>
                  </w:r>
                </w:p>
              </w:tc>
              <w:tc>
                <w:tcPr>
                  <w:tcW w:w="1095" w:type="dxa"/>
                  <w:tcBorders>
                    <w:tl2br w:val="nil"/>
                    <w:tr2bl w:val="nil"/>
                  </w:tcBorders>
                  <w:noWrap w:val="0"/>
                  <w:vAlign w:val="center"/>
                </w:tcPr>
                <w:p w14:paraId="0ED01D0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2022" w:type="dxa"/>
                  <w:tcBorders>
                    <w:tl2br w:val="nil"/>
                    <w:tr2bl w:val="nil"/>
                  </w:tcBorders>
                  <w:noWrap w:val="0"/>
                  <w:vAlign w:val="center"/>
                </w:tcPr>
                <w:p w14:paraId="0A818641">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r w14:paraId="36693F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6F19F32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20</w:t>
                  </w:r>
                </w:p>
              </w:tc>
              <w:tc>
                <w:tcPr>
                  <w:tcW w:w="3500" w:type="dxa"/>
                  <w:tcBorders>
                    <w:tl2br w:val="nil"/>
                    <w:tr2bl w:val="nil"/>
                  </w:tcBorders>
                  <w:noWrap/>
                  <w:vAlign w:val="center"/>
                </w:tcPr>
                <w:p w14:paraId="355CBA9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彩超</w:t>
                  </w:r>
                </w:p>
              </w:tc>
              <w:tc>
                <w:tcPr>
                  <w:tcW w:w="1125" w:type="dxa"/>
                  <w:tcBorders>
                    <w:tl2br w:val="nil"/>
                    <w:tr2bl w:val="nil"/>
                  </w:tcBorders>
                  <w:noWrap/>
                  <w:vAlign w:val="center"/>
                </w:tcPr>
                <w:p w14:paraId="4E11E57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highlight w:val="none"/>
                      <w:u w:val="none"/>
                      <w:lang w:val="en-US" w:eastAsia="zh-CN" w:bidi="ar"/>
                      <w14:textFill>
                        <w14:solidFill>
                          <w14:schemeClr w14:val="tx1"/>
                        </w14:solidFill>
                      </w14:textFill>
                    </w:rPr>
                    <w:t>台</w:t>
                  </w:r>
                </w:p>
              </w:tc>
              <w:tc>
                <w:tcPr>
                  <w:tcW w:w="1095" w:type="dxa"/>
                  <w:tcBorders>
                    <w:tl2br w:val="nil"/>
                    <w:tr2bl w:val="nil"/>
                  </w:tcBorders>
                  <w:noWrap w:val="0"/>
                  <w:vAlign w:val="center"/>
                </w:tcPr>
                <w:p w14:paraId="4721987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2022" w:type="dxa"/>
                  <w:tcBorders>
                    <w:tl2br w:val="nil"/>
                    <w:tr2bl w:val="nil"/>
                  </w:tcBorders>
                  <w:noWrap w:val="0"/>
                  <w:vAlign w:val="center"/>
                </w:tcPr>
                <w:p w14:paraId="7FA19BF5">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r w14:paraId="22B26A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72" w:type="dxa"/>
                  <w:tcBorders>
                    <w:tl2br w:val="nil"/>
                    <w:tr2bl w:val="nil"/>
                  </w:tcBorders>
                  <w:noWrap w:val="0"/>
                  <w:vAlign w:val="center"/>
                </w:tcPr>
                <w:p w14:paraId="332B691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21</w:t>
                  </w:r>
                </w:p>
              </w:tc>
              <w:tc>
                <w:tcPr>
                  <w:tcW w:w="3500" w:type="dxa"/>
                  <w:tcBorders>
                    <w:tl2br w:val="nil"/>
                    <w:tr2bl w:val="nil"/>
                  </w:tcBorders>
                  <w:noWrap/>
                  <w:vAlign w:val="center"/>
                </w:tcPr>
                <w:p w14:paraId="71F53B9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HIS、LIS等信息化建设</w:t>
                  </w:r>
                </w:p>
              </w:tc>
              <w:tc>
                <w:tcPr>
                  <w:tcW w:w="1125" w:type="dxa"/>
                  <w:tcBorders>
                    <w:tl2br w:val="nil"/>
                    <w:tr2bl w:val="nil"/>
                  </w:tcBorders>
                  <w:noWrap/>
                  <w:vAlign w:val="center"/>
                </w:tcPr>
                <w:p w14:paraId="17389DD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i w:val="0"/>
                      <w:iCs w:val="0"/>
                      <w:color w:val="000000" w:themeColor="text1"/>
                      <w:kern w:val="0"/>
                      <w:sz w:val="22"/>
                      <w:szCs w:val="22"/>
                      <w:highlight w:val="none"/>
                      <w:u w:val="none"/>
                      <w:lang w:val="en-US" w:eastAsia="zh-CN" w:bidi="ar"/>
                      <w14:textFill>
                        <w14:solidFill>
                          <w14:schemeClr w14:val="tx1"/>
                        </w14:solidFill>
                      </w14:textFill>
                    </w:rPr>
                    <w:t>项</w:t>
                  </w:r>
                </w:p>
              </w:tc>
              <w:tc>
                <w:tcPr>
                  <w:tcW w:w="1095" w:type="dxa"/>
                  <w:tcBorders>
                    <w:tl2br w:val="nil"/>
                    <w:tr2bl w:val="nil"/>
                  </w:tcBorders>
                  <w:noWrap w:val="0"/>
                  <w:vAlign w:val="center"/>
                </w:tcPr>
                <w:p w14:paraId="3756DBE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w:t>
                  </w:r>
                </w:p>
              </w:tc>
              <w:tc>
                <w:tcPr>
                  <w:tcW w:w="2022" w:type="dxa"/>
                  <w:tcBorders>
                    <w:tl2br w:val="nil"/>
                    <w:tr2bl w:val="nil"/>
                  </w:tcBorders>
                  <w:noWrap w:val="0"/>
                  <w:vAlign w:val="center"/>
                </w:tcPr>
                <w:p w14:paraId="52433E88">
                  <w:pPr>
                    <w:keepNext w:val="0"/>
                    <w:keepLines w:val="0"/>
                    <w:widowControl/>
                    <w:suppressLineNumbers w:val="0"/>
                    <w:jc w:val="center"/>
                    <w:textAlignment w:val="center"/>
                    <w:rPr>
                      <w:rFonts w:hint="eastAsia" w:ascii="Times New Roman" w:hAnsi="Times New Roman"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r>
          </w:tbl>
          <w:p w14:paraId="1CF5AD95">
            <w:pPr>
              <w:spacing w:line="500" w:lineRule="exact"/>
              <w:rPr>
                <w:rFonts w:hint="default" w:ascii="Times New Roman" w:hAnsi="Times New Roman" w:cs="Times New Roman"/>
                <w:b/>
                <w:color w:val="000000" w:themeColor="text1"/>
                <w:sz w:val="24"/>
                <w:highlight w:val="none"/>
                <w14:textFill>
                  <w14:solidFill>
                    <w14:schemeClr w14:val="tx1"/>
                  </w14:solidFill>
                </w14:textFill>
              </w:rPr>
            </w:pPr>
            <w:r>
              <w:rPr>
                <w:rFonts w:hint="eastAsia" w:ascii="Times New Roman" w:hAnsi="Times New Roman" w:eastAsia="黑体" w:cs="Times New Roman"/>
                <w:b/>
                <w:color w:val="000000" w:themeColor="text1"/>
                <w:sz w:val="24"/>
                <w:highlight w:val="none"/>
                <w:lang w:val="en-US" w:eastAsia="zh-CN"/>
                <w14:textFill>
                  <w14:solidFill>
                    <w14:schemeClr w14:val="tx1"/>
                  </w14:solidFill>
                </w14:textFill>
              </w:rPr>
              <w:t>6</w:t>
            </w:r>
            <w:r>
              <w:rPr>
                <w:rFonts w:hint="default" w:ascii="Times New Roman" w:hAnsi="Times New Roman" w:eastAsia="黑体" w:cs="Times New Roman"/>
                <w:b/>
                <w:color w:val="000000" w:themeColor="text1"/>
                <w:sz w:val="24"/>
                <w:highlight w:val="none"/>
                <w14:textFill>
                  <w14:solidFill>
                    <w14:schemeClr w14:val="tx1"/>
                  </w14:solidFill>
                </w14:textFill>
              </w:rPr>
              <w:t>、</w:t>
            </w:r>
            <w:r>
              <w:rPr>
                <w:rFonts w:hint="default" w:ascii="Times New Roman" w:hAnsi="Times New Roman" w:cs="Times New Roman"/>
                <w:b/>
                <w:color w:val="000000" w:themeColor="text1"/>
                <w:sz w:val="24"/>
                <w:highlight w:val="none"/>
                <w14:textFill>
                  <w14:solidFill>
                    <w14:schemeClr w14:val="tx1"/>
                  </w14:solidFill>
                </w14:textFill>
              </w:rPr>
              <w:t>主要原辅材料</w:t>
            </w:r>
          </w:p>
          <w:p w14:paraId="3CC1DDED">
            <w:pPr>
              <w:adjustRightInd w:val="0"/>
              <w:snapToGrid w:val="0"/>
              <w:spacing w:line="50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本次扩建</w:t>
            </w:r>
            <w:r>
              <w:rPr>
                <w:rFonts w:hint="default" w:ascii="Times New Roman" w:hAnsi="Times New Roman" w:cs="Times New Roman"/>
                <w:bCs/>
                <w:color w:val="000000" w:themeColor="text1"/>
                <w:sz w:val="24"/>
                <w:highlight w:val="none"/>
                <w:lang w:eastAsia="zh-CN"/>
                <w14:textFill>
                  <w14:solidFill>
                    <w14:schemeClr w14:val="tx1"/>
                  </w14:solidFill>
                </w14:textFill>
              </w:rPr>
              <w:t>项目</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原辅材料全部为新增，</w:t>
            </w:r>
            <w:r>
              <w:rPr>
                <w:rFonts w:hint="eastAsia" w:ascii="Times New Roman" w:hAnsi="Times New Roman" w:cs="Times New Roman"/>
                <w:color w:val="000000" w:themeColor="text1"/>
                <w:sz w:val="24"/>
                <w:highlight w:val="none"/>
                <w:lang w:val="en-US" w:eastAsia="zh-CN"/>
                <w14:textFill>
                  <w14:solidFill>
                    <w14:schemeClr w14:val="tx1"/>
                  </w14:solidFill>
                </w14:textFill>
              </w:rPr>
              <w:t>具体</w:t>
            </w:r>
            <w:r>
              <w:rPr>
                <w:rFonts w:hint="default" w:ascii="Times New Roman" w:hAnsi="Times New Roman" w:cs="Times New Roman"/>
                <w:color w:val="000000" w:themeColor="text1"/>
                <w:sz w:val="24"/>
                <w:highlight w:val="none"/>
                <w14:textFill>
                  <w14:solidFill>
                    <w14:schemeClr w14:val="tx1"/>
                  </w14:solidFill>
                </w14:textFill>
              </w:rPr>
              <w:t>消耗</w:t>
            </w:r>
            <w:r>
              <w:rPr>
                <w:rFonts w:hint="eastAsia" w:ascii="Times New Roman" w:hAnsi="Times New Roman" w:cs="Times New Roman"/>
                <w:color w:val="000000" w:themeColor="text1"/>
                <w:sz w:val="24"/>
                <w:highlight w:val="none"/>
                <w:lang w:val="en-US" w:eastAsia="zh-CN"/>
                <w14:textFill>
                  <w14:solidFill>
                    <w14:schemeClr w14:val="tx1"/>
                  </w14:solidFill>
                </w14:textFill>
              </w:rPr>
              <w:t>情况</w:t>
            </w:r>
            <w:r>
              <w:rPr>
                <w:rFonts w:hint="default" w:ascii="Times New Roman" w:hAnsi="Times New Roman" w:cs="Times New Roman"/>
                <w:color w:val="000000" w:themeColor="text1"/>
                <w:sz w:val="24"/>
                <w:highlight w:val="none"/>
                <w14:textFill>
                  <w14:solidFill>
                    <w14:schemeClr w14:val="tx1"/>
                  </w14:solidFill>
                </w14:textFill>
              </w:rPr>
              <w:t>见下表。</w:t>
            </w:r>
          </w:p>
          <w:p w14:paraId="2DBFE92F">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ind w:firstLine="0"/>
              <w:textAlignment w:val="auto"/>
              <w:rPr>
                <w:rFonts w:hint="default" w:ascii="Times New Roman" w:hAnsi="Times New Roman" w:cs="Times New Roman"/>
                <w:bCs/>
                <w:color w:val="000000" w:themeColor="text1"/>
                <w:kern w:val="2"/>
                <w:sz w:val="24"/>
                <w:highlight w:val="none"/>
                <w14:textFill>
                  <w14:solidFill>
                    <w14:schemeClr w14:val="tx1"/>
                  </w14:solidFill>
                </w14:textFill>
              </w:rPr>
            </w:pPr>
            <w:r>
              <w:rPr>
                <w:rFonts w:hint="default" w:ascii="Times New Roman" w:hAnsi="Times New Roman" w:cs="Times New Roman"/>
                <w:bCs/>
                <w:color w:val="000000" w:themeColor="text1"/>
                <w:kern w:val="2"/>
                <w:sz w:val="24"/>
                <w:highlight w:val="none"/>
                <w14:textFill>
                  <w14:solidFill>
                    <w14:schemeClr w14:val="tx1"/>
                  </w14:solidFill>
                </w14:textFill>
              </w:rPr>
              <w:t xml:space="preserve">    </w:t>
            </w:r>
            <w:r>
              <w:rPr>
                <w:rFonts w:hint="eastAsia" w:ascii="Times New Roman" w:hAnsi="Times New Roman" w:cs="Times New Roman"/>
                <w:color w:val="000000" w:themeColor="text1"/>
                <w:sz w:val="24"/>
                <w:highlight w:val="none"/>
                <w:lang w:val="en-US" w:eastAsia="zh-CN"/>
                <w14:textFill>
                  <w14:solidFill>
                    <w14:schemeClr w14:val="tx1"/>
                  </w14:solidFill>
                </w14:textFill>
              </w:rPr>
              <w:t>扩建</w:t>
            </w:r>
            <w:r>
              <w:rPr>
                <w:rFonts w:hint="default" w:ascii="Times New Roman" w:hAnsi="Times New Roman" w:cs="Times New Roman"/>
                <w:bCs/>
                <w:color w:val="000000" w:themeColor="text1"/>
                <w:kern w:val="2"/>
                <w:sz w:val="24"/>
                <w:highlight w:val="none"/>
                <w14:textFill>
                  <w14:solidFill>
                    <w14:schemeClr w14:val="tx1"/>
                  </w14:solidFill>
                </w14:textFill>
              </w:rPr>
              <w:t>项目原</w:t>
            </w:r>
            <w:r>
              <w:rPr>
                <w:rFonts w:hint="default" w:ascii="Times New Roman" w:hAnsi="Times New Roman" w:cs="Times New Roman"/>
                <w:bCs/>
                <w:color w:val="000000" w:themeColor="text1"/>
                <w:kern w:val="2"/>
                <w:sz w:val="24"/>
                <w:highlight w:val="none"/>
                <w:lang w:eastAsia="zh-CN"/>
                <w14:textFill>
                  <w14:solidFill>
                    <w14:schemeClr w14:val="tx1"/>
                  </w14:solidFill>
                </w14:textFill>
              </w:rPr>
              <w:t>辅</w:t>
            </w:r>
            <w:r>
              <w:rPr>
                <w:rFonts w:hint="default" w:ascii="Times New Roman" w:hAnsi="Times New Roman" w:cs="Times New Roman"/>
                <w:bCs/>
                <w:color w:val="000000" w:themeColor="text1"/>
                <w:kern w:val="2"/>
                <w:sz w:val="24"/>
                <w:highlight w:val="none"/>
                <w14:textFill>
                  <w14:solidFill>
                    <w14:schemeClr w14:val="tx1"/>
                  </w14:solidFill>
                </w14:textFill>
              </w:rPr>
              <w:t>材料及能源消耗量</w:t>
            </w:r>
            <w:r>
              <w:rPr>
                <w:rFonts w:hint="default" w:ascii="Times New Roman" w:hAnsi="Times New Roman" w:cs="Times New Roman"/>
                <w:bCs/>
                <w:color w:val="000000" w:themeColor="text1"/>
                <w:kern w:val="2"/>
                <w:sz w:val="24"/>
                <w:highlight w:val="none"/>
                <w:lang w:val="en-US" w:eastAsia="zh-CN"/>
                <w14:textFill>
                  <w14:solidFill>
                    <w14:schemeClr w14:val="tx1"/>
                  </w14:solidFill>
                </w14:textFill>
              </w:rPr>
              <w:t>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800"/>
              <w:gridCol w:w="1275"/>
              <w:gridCol w:w="1500"/>
              <w:gridCol w:w="1605"/>
              <w:gridCol w:w="1497"/>
            </w:tblGrid>
            <w:tr w14:paraId="41C31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restart"/>
                  <w:tcBorders>
                    <w:tl2br w:val="nil"/>
                    <w:tr2bl w:val="nil"/>
                  </w:tcBorders>
                  <w:noWrap w:val="0"/>
                  <w:vAlign w:val="center"/>
                </w:tcPr>
                <w:p w14:paraId="17C891A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类别</w:t>
                  </w:r>
                </w:p>
              </w:tc>
              <w:tc>
                <w:tcPr>
                  <w:tcW w:w="1800" w:type="dxa"/>
                  <w:vMerge w:val="restart"/>
                  <w:tcBorders>
                    <w:tl2br w:val="nil"/>
                    <w:tr2bl w:val="nil"/>
                  </w:tcBorders>
                  <w:noWrap w:val="0"/>
                  <w:vAlign w:val="center"/>
                </w:tcPr>
                <w:p w14:paraId="2BCB514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名称</w:t>
                  </w:r>
                </w:p>
              </w:tc>
              <w:tc>
                <w:tcPr>
                  <w:tcW w:w="1275" w:type="dxa"/>
                  <w:vMerge w:val="restart"/>
                  <w:tcBorders>
                    <w:tl2br w:val="nil"/>
                    <w:tr2bl w:val="nil"/>
                  </w:tcBorders>
                  <w:noWrap w:val="0"/>
                  <w:vAlign w:val="center"/>
                </w:tcPr>
                <w:p w14:paraId="14EEC5E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重要组分、规格、指标</w:t>
                  </w:r>
                </w:p>
                <w:p w14:paraId="2CA3AD9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（平均单重）</w:t>
                  </w:r>
                </w:p>
              </w:tc>
              <w:tc>
                <w:tcPr>
                  <w:tcW w:w="4602" w:type="dxa"/>
                  <w:gridSpan w:val="3"/>
                  <w:tcBorders>
                    <w:tl2br w:val="nil"/>
                    <w:tr2bl w:val="nil"/>
                  </w:tcBorders>
                  <w:noWrap w:val="0"/>
                  <w:vAlign w:val="center"/>
                </w:tcPr>
                <w:p w14:paraId="1AA5DE2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消耗量</w:t>
                  </w:r>
                </w:p>
              </w:tc>
            </w:tr>
            <w:tr w14:paraId="21B81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continue"/>
                  <w:tcBorders>
                    <w:tl2br w:val="nil"/>
                    <w:tr2bl w:val="nil"/>
                  </w:tcBorders>
                  <w:noWrap w:val="0"/>
                  <w:vAlign w:val="center"/>
                </w:tcPr>
                <w:p w14:paraId="6FF34C6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00" w:type="dxa"/>
                  <w:vMerge w:val="continue"/>
                  <w:tcBorders>
                    <w:tl2br w:val="nil"/>
                    <w:tr2bl w:val="nil"/>
                  </w:tcBorders>
                  <w:noWrap w:val="0"/>
                  <w:vAlign w:val="center"/>
                </w:tcPr>
                <w:p w14:paraId="5EA7F95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75" w:type="dxa"/>
                  <w:vMerge w:val="continue"/>
                  <w:tcBorders>
                    <w:tl2br w:val="nil"/>
                    <w:tr2bl w:val="nil"/>
                  </w:tcBorders>
                  <w:noWrap w:val="0"/>
                  <w:vAlign w:val="center"/>
                </w:tcPr>
                <w:p w14:paraId="217D08A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500" w:type="dxa"/>
                  <w:tcBorders>
                    <w:tl2br w:val="nil"/>
                    <w:tr2bl w:val="nil"/>
                  </w:tcBorders>
                  <w:noWrap w:val="0"/>
                  <w:vAlign w:val="center"/>
                </w:tcPr>
                <w:p w14:paraId="48658F5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在建工程①</w:t>
                  </w:r>
                </w:p>
              </w:tc>
              <w:tc>
                <w:tcPr>
                  <w:tcW w:w="1605" w:type="dxa"/>
                  <w:tcBorders>
                    <w:tl2br w:val="nil"/>
                    <w:tr2bl w:val="nil"/>
                  </w:tcBorders>
                  <w:noWrap w:val="0"/>
                  <w:vAlign w:val="center"/>
                </w:tcPr>
                <w:p w14:paraId="48D84FC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扩建项目</w:t>
                  </w:r>
                </w:p>
              </w:tc>
              <w:tc>
                <w:tcPr>
                  <w:tcW w:w="1497" w:type="dxa"/>
                  <w:tcBorders>
                    <w:tl2br w:val="nil"/>
                    <w:tr2bl w:val="nil"/>
                  </w:tcBorders>
                  <w:noWrap w:val="0"/>
                  <w:vAlign w:val="center"/>
                </w:tcPr>
                <w:p w14:paraId="565B988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扩建后全院</w:t>
                  </w:r>
                </w:p>
              </w:tc>
            </w:tr>
            <w:tr w14:paraId="79EBD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restart"/>
                  <w:tcBorders>
                    <w:tl2br w:val="nil"/>
                    <w:tr2bl w:val="nil"/>
                  </w:tcBorders>
                  <w:noWrap w:val="0"/>
                  <w:vAlign w:val="center"/>
                </w:tcPr>
                <w:p w14:paraId="046687D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原辅料</w:t>
                  </w:r>
                </w:p>
              </w:tc>
              <w:tc>
                <w:tcPr>
                  <w:tcW w:w="1800" w:type="dxa"/>
                  <w:tcBorders>
                    <w:tl2br w:val="nil"/>
                    <w:tr2bl w:val="nil"/>
                  </w:tcBorders>
                  <w:noWrap w:val="0"/>
                  <w:vAlign w:val="center"/>
                </w:tcPr>
                <w:p w14:paraId="66ED53D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手术刀片</w:t>
                  </w:r>
                </w:p>
              </w:tc>
              <w:tc>
                <w:tcPr>
                  <w:tcW w:w="1275" w:type="dxa"/>
                  <w:tcBorders>
                    <w:tl2br w:val="nil"/>
                    <w:tr2bl w:val="nil"/>
                  </w:tcBorders>
                  <w:noWrap w:val="0"/>
                  <w:vAlign w:val="center"/>
                </w:tcPr>
                <w:p w14:paraId="3E5C613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50g</w:t>
                  </w:r>
                </w:p>
              </w:tc>
              <w:tc>
                <w:tcPr>
                  <w:tcW w:w="1500" w:type="dxa"/>
                  <w:tcBorders>
                    <w:tl2br w:val="nil"/>
                    <w:tr2bl w:val="nil"/>
                  </w:tcBorders>
                  <w:noWrap w:val="0"/>
                  <w:vAlign w:val="center"/>
                </w:tcPr>
                <w:p w14:paraId="35FE6B5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2000片/a</w:t>
                  </w:r>
                </w:p>
              </w:tc>
              <w:tc>
                <w:tcPr>
                  <w:tcW w:w="1605" w:type="dxa"/>
                  <w:tcBorders>
                    <w:tl2br w:val="nil"/>
                    <w:tr2bl w:val="nil"/>
                  </w:tcBorders>
                  <w:noWrap w:val="0"/>
                  <w:vAlign w:val="center"/>
                </w:tcPr>
                <w:p w14:paraId="0D3C7AF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1497" w:type="dxa"/>
                  <w:tcBorders>
                    <w:tl2br w:val="nil"/>
                    <w:tr2bl w:val="nil"/>
                  </w:tcBorders>
                  <w:noWrap w:val="0"/>
                  <w:vAlign w:val="center"/>
                </w:tcPr>
                <w:p w14:paraId="1CCD451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2000片/a</w:t>
                  </w:r>
                </w:p>
              </w:tc>
            </w:tr>
            <w:tr w14:paraId="47E2F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continue"/>
                  <w:tcBorders>
                    <w:tl2br w:val="nil"/>
                    <w:tr2bl w:val="nil"/>
                  </w:tcBorders>
                  <w:noWrap w:val="0"/>
                  <w:vAlign w:val="center"/>
                </w:tcPr>
                <w:p w14:paraId="7538979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00" w:type="dxa"/>
                  <w:tcBorders>
                    <w:tl2br w:val="nil"/>
                    <w:tr2bl w:val="nil"/>
                  </w:tcBorders>
                  <w:noWrap w:val="0"/>
                  <w:vAlign w:val="center"/>
                </w:tcPr>
                <w:p w14:paraId="3B69E86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塑胶手套</w:t>
                  </w:r>
                </w:p>
              </w:tc>
              <w:tc>
                <w:tcPr>
                  <w:tcW w:w="1275" w:type="dxa"/>
                  <w:tcBorders>
                    <w:tl2br w:val="nil"/>
                    <w:tr2bl w:val="nil"/>
                  </w:tcBorders>
                  <w:noWrap w:val="0"/>
                  <w:vAlign w:val="center"/>
                </w:tcPr>
                <w:p w14:paraId="08FFF74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30g</w:t>
                  </w:r>
                </w:p>
              </w:tc>
              <w:tc>
                <w:tcPr>
                  <w:tcW w:w="1500" w:type="dxa"/>
                  <w:tcBorders>
                    <w:tl2br w:val="nil"/>
                    <w:tr2bl w:val="nil"/>
                  </w:tcBorders>
                  <w:noWrap w:val="0"/>
                  <w:vAlign w:val="center"/>
                </w:tcPr>
                <w:p w14:paraId="7BA8A30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18万副/a</w:t>
                  </w:r>
                </w:p>
              </w:tc>
              <w:tc>
                <w:tcPr>
                  <w:tcW w:w="1605" w:type="dxa"/>
                  <w:tcBorders>
                    <w:tl2br w:val="nil"/>
                    <w:tr2bl w:val="nil"/>
                  </w:tcBorders>
                  <w:noWrap w:val="0"/>
                  <w:vAlign w:val="center"/>
                </w:tcPr>
                <w:p w14:paraId="5194A20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20万副/a</w:t>
                  </w:r>
                </w:p>
              </w:tc>
              <w:tc>
                <w:tcPr>
                  <w:tcW w:w="1497" w:type="dxa"/>
                  <w:tcBorders>
                    <w:tl2br w:val="nil"/>
                    <w:tr2bl w:val="nil"/>
                  </w:tcBorders>
                  <w:noWrap w:val="0"/>
                  <w:vAlign w:val="center"/>
                </w:tcPr>
                <w:p w14:paraId="3B798DA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38万副/a</w:t>
                  </w:r>
                </w:p>
              </w:tc>
            </w:tr>
            <w:tr w14:paraId="18ADE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continue"/>
                  <w:tcBorders>
                    <w:tl2br w:val="nil"/>
                    <w:tr2bl w:val="nil"/>
                  </w:tcBorders>
                  <w:noWrap w:val="0"/>
                  <w:vAlign w:val="center"/>
                </w:tcPr>
                <w:p w14:paraId="3831C6B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00" w:type="dxa"/>
                  <w:tcBorders>
                    <w:tl2br w:val="nil"/>
                    <w:tr2bl w:val="nil"/>
                  </w:tcBorders>
                  <w:noWrap w:val="0"/>
                  <w:vAlign w:val="center"/>
                </w:tcPr>
                <w:p w14:paraId="2581B4F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一次性输液器</w:t>
                  </w:r>
                </w:p>
              </w:tc>
              <w:tc>
                <w:tcPr>
                  <w:tcW w:w="1275" w:type="dxa"/>
                  <w:tcBorders>
                    <w:tl2br w:val="nil"/>
                    <w:tr2bl w:val="nil"/>
                  </w:tcBorders>
                  <w:noWrap w:val="0"/>
                  <w:vAlign w:val="center"/>
                </w:tcPr>
                <w:p w14:paraId="0B08D29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20g</w:t>
                  </w:r>
                </w:p>
              </w:tc>
              <w:tc>
                <w:tcPr>
                  <w:tcW w:w="1500" w:type="dxa"/>
                  <w:tcBorders>
                    <w:tl2br w:val="nil"/>
                    <w:tr2bl w:val="nil"/>
                  </w:tcBorders>
                  <w:noWrap w:val="0"/>
                  <w:vAlign w:val="center"/>
                </w:tcPr>
                <w:p w14:paraId="39D625A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7万条/a</w:t>
                  </w:r>
                </w:p>
              </w:tc>
              <w:tc>
                <w:tcPr>
                  <w:tcW w:w="1605" w:type="dxa"/>
                  <w:tcBorders>
                    <w:tl2br w:val="nil"/>
                    <w:tr2bl w:val="nil"/>
                  </w:tcBorders>
                  <w:noWrap w:val="0"/>
                  <w:vAlign w:val="center"/>
                </w:tcPr>
                <w:p w14:paraId="5EF40F4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8万条/a</w:t>
                  </w:r>
                </w:p>
              </w:tc>
              <w:tc>
                <w:tcPr>
                  <w:tcW w:w="1497" w:type="dxa"/>
                  <w:tcBorders>
                    <w:tl2br w:val="nil"/>
                    <w:tr2bl w:val="nil"/>
                  </w:tcBorders>
                  <w:noWrap w:val="0"/>
                  <w:vAlign w:val="center"/>
                </w:tcPr>
                <w:p w14:paraId="6572BAA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15万条/a</w:t>
                  </w:r>
                </w:p>
              </w:tc>
            </w:tr>
            <w:tr w14:paraId="6EBE7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continue"/>
                  <w:tcBorders>
                    <w:tl2br w:val="nil"/>
                    <w:tr2bl w:val="nil"/>
                  </w:tcBorders>
                  <w:noWrap w:val="0"/>
                  <w:vAlign w:val="center"/>
                </w:tcPr>
                <w:p w14:paraId="418551C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00" w:type="dxa"/>
                  <w:tcBorders>
                    <w:tl2br w:val="nil"/>
                    <w:tr2bl w:val="nil"/>
                  </w:tcBorders>
                  <w:noWrap w:val="0"/>
                  <w:vAlign w:val="center"/>
                </w:tcPr>
                <w:p w14:paraId="23D2B95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输血器</w:t>
                  </w:r>
                </w:p>
              </w:tc>
              <w:tc>
                <w:tcPr>
                  <w:tcW w:w="1275" w:type="dxa"/>
                  <w:tcBorders>
                    <w:tl2br w:val="nil"/>
                    <w:tr2bl w:val="nil"/>
                  </w:tcBorders>
                  <w:noWrap w:val="0"/>
                  <w:vAlign w:val="center"/>
                </w:tcPr>
                <w:p w14:paraId="5BDF6CD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30g</w:t>
                  </w:r>
                </w:p>
              </w:tc>
              <w:tc>
                <w:tcPr>
                  <w:tcW w:w="1500" w:type="dxa"/>
                  <w:tcBorders>
                    <w:tl2br w:val="nil"/>
                    <w:tr2bl w:val="nil"/>
                  </w:tcBorders>
                  <w:noWrap w:val="0"/>
                  <w:vAlign w:val="center"/>
                </w:tcPr>
                <w:p w14:paraId="0BAFAF4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2100副/a</w:t>
                  </w:r>
                </w:p>
              </w:tc>
              <w:tc>
                <w:tcPr>
                  <w:tcW w:w="1605" w:type="dxa"/>
                  <w:tcBorders>
                    <w:tl2br w:val="nil"/>
                    <w:tr2bl w:val="nil"/>
                  </w:tcBorders>
                  <w:noWrap w:val="0"/>
                  <w:vAlign w:val="center"/>
                </w:tcPr>
                <w:p w14:paraId="291BB3B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2200副/a</w:t>
                  </w:r>
                </w:p>
              </w:tc>
              <w:tc>
                <w:tcPr>
                  <w:tcW w:w="1497" w:type="dxa"/>
                  <w:tcBorders>
                    <w:tl2br w:val="nil"/>
                    <w:tr2bl w:val="nil"/>
                  </w:tcBorders>
                  <w:noWrap w:val="0"/>
                  <w:vAlign w:val="center"/>
                </w:tcPr>
                <w:p w14:paraId="697A409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4300副/a</w:t>
                  </w:r>
                </w:p>
              </w:tc>
            </w:tr>
            <w:tr w14:paraId="75B20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continue"/>
                  <w:tcBorders>
                    <w:tl2br w:val="nil"/>
                    <w:tr2bl w:val="nil"/>
                  </w:tcBorders>
                  <w:noWrap w:val="0"/>
                  <w:vAlign w:val="center"/>
                </w:tcPr>
                <w:p w14:paraId="6388F80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00" w:type="dxa"/>
                  <w:tcBorders>
                    <w:tl2br w:val="nil"/>
                    <w:tr2bl w:val="nil"/>
                  </w:tcBorders>
                  <w:noWrap w:val="0"/>
                  <w:vAlign w:val="center"/>
                </w:tcPr>
                <w:p w14:paraId="4C7E195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输液瓶（塑料）</w:t>
                  </w:r>
                </w:p>
              </w:tc>
              <w:tc>
                <w:tcPr>
                  <w:tcW w:w="1275" w:type="dxa"/>
                  <w:tcBorders>
                    <w:tl2br w:val="nil"/>
                    <w:tr2bl w:val="nil"/>
                  </w:tcBorders>
                  <w:noWrap w:val="0"/>
                  <w:vAlign w:val="center"/>
                </w:tcPr>
                <w:p w14:paraId="0F59B98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50g</w:t>
                  </w:r>
                </w:p>
              </w:tc>
              <w:tc>
                <w:tcPr>
                  <w:tcW w:w="1500" w:type="dxa"/>
                  <w:tcBorders>
                    <w:tl2br w:val="nil"/>
                    <w:tr2bl w:val="nil"/>
                  </w:tcBorders>
                  <w:noWrap w:val="0"/>
                  <w:vAlign w:val="center"/>
                </w:tcPr>
                <w:p w14:paraId="0F19669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28万只/a</w:t>
                  </w:r>
                </w:p>
              </w:tc>
              <w:tc>
                <w:tcPr>
                  <w:tcW w:w="1605" w:type="dxa"/>
                  <w:tcBorders>
                    <w:tl2br w:val="nil"/>
                    <w:tr2bl w:val="nil"/>
                  </w:tcBorders>
                  <w:noWrap w:val="0"/>
                  <w:vAlign w:val="center"/>
                </w:tcPr>
                <w:p w14:paraId="0CB7D45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30万只/a</w:t>
                  </w:r>
                </w:p>
              </w:tc>
              <w:tc>
                <w:tcPr>
                  <w:tcW w:w="1497" w:type="dxa"/>
                  <w:tcBorders>
                    <w:tl2br w:val="nil"/>
                    <w:tr2bl w:val="nil"/>
                  </w:tcBorders>
                  <w:noWrap w:val="0"/>
                  <w:vAlign w:val="center"/>
                </w:tcPr>
                <w:p w14:paraId="742924A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58万只/a</w:t>
                  </w:r>
                </w:p>
              </w:tc>
            </w:tr>
            <w:tr w14:paraId="6120B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continue"/>
                  <w:tcBorders>
                    <w:tl2br w:val="nil"/>
                    <w:tr2bl w:val="nil"/>
                  </w:tcBorders>
                  <w:noWrap w:val="0"/>
                  <w:vAlign w:val="center"/>
                </w:tcPr>
                <w:p w14:paraId="3311139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00" w:type="dxa"/>
                  <w:tcBorders>
                    <w:tl2br w:val="nil"/>
                    <w:tr2bl w:val="nil"/>
                  </w:tcBorders>
                  <w:noWrap w:val="0"/>
                  <w:vAlign w:val="center"/>
                </w:tcPr>
                <w:p w14:paraId="00DF1BB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输液瓶（玻璃）</w:t>
                  </w:r>
                </w:p>
              </w:tc>
              <w:tc>
                <w:tcPr>
                  <w:tcW w:w="1275" w:type="dxa"/>
                  <w:tcBorders>
                    <w:tl2br w:val="nil"/>
                    <w:tr2bl w:val="nil"/>
                  </w:tcBorders>
                  <w:noWrap w:val="0"/>
                  <w:vAlign w:val="center"/>
                </w:tcPr>
                <w:p w14:paraId="0C9B853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300g</w:t>
                  </w:r>
                </w:p>
              </w:tc>
              <w:tc>
                <w:tcPr>
                  <w:tcW w:w="1500" w:type="dxa"/>
                  <w:tcBorders>
                    <w:tl2br w:val="nil"/>
                    <w:tr2bl w:val="nil"/>
                  </w:tcBorders>
                  <w:noWrap w:val="0"/>
                  <w:vAlign w:val="center"/>
                </w:tcPr>
                <w:p w14:paraId="7356E91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3万只/a</w:t>
                  </w:r>
                </w:p>
              </w:tc>
              <w:tc>
                <w:tcPr>
                  <w:tcW w:w="1605" w:type="dxa"/>
                  <w:tcBorders>
                    <w:tl2br w:val="nil"/>
                    <w:tr2bl w:val="nil"/>
                  </w:tcBorders>
                  <w:noWrap w:val="0"/>
                  <w:vAlign w:val="center"/>
                </w:tcPr>
                <w:p w14:paraId="226603F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3万只/a</w:t>
                  </w:r>
                </w:p>
              </w:tc>
              <w:tc>
                <w:tcPr>
                  <w:tcW w:w="1497" w:type="dxa"/>
                  <w:tcBorders>
                    <w:tl2br w:val="nil"/>
                    <w:tr2bl w:val="nil"/>
                  </w:tcBorders>
                  <w:noWrap w:val="0"/>
                  <w:vAlign w:val="center"/>
                </w:tcPr>
                <w:p w14:paraId="7B00E30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6万只/a</w:t>
                  </w:r>
                </w:p>
              </w:tc>
            </w:tr>
            <w:tr w14:paraId="1F170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continue"/>
                  <w:tcBorders>
                    <w:tl2br w:val="nil"/>
                    <w:tr2bl w:val="nil"/>
                  </w:tcBorders>
                  <w:noWrap w:val="0"/>
                  <w:vAlign w:val="center"/>
                </w:tcPr>
                <w:p w14:paraId="67FF71D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00" w:type="dxa"/>
                  <w:tcBorders>
                    <w:tl2br w:val="nil"/>
                    <w:tr2bl w:val="nil"/>
                  </w:tcBorders>
                  <w:noWrap w:val="0"/>
                  <w:vAlign w:val="center"/>
                </w:tcPr>
                <w:p w14:paraId="3015FD5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纱布类</w:t>
                  </w:r>
                </w:p>
              </w:tc>
              <w:tc>
                <w:tcPr>
                  <w:tcW w:w="1275" w:type="dxa"/>
                  <w:tcBorders>
                    <w:tl2br w:val="nil"/>
                    <w:tr2bl w:val="nil"/>
                  </w:tcBorders>
                  <w:noWrap w:val="0"/>
                  <w:vAlign w:val="center"/>
                </w:tcPr>
                <w:p w14:paraId="34B25B5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500" w:type="dxa"/>
                  <w:tcBorders>
                    <w:tl2br w:val="nil"/>
                    <w:tr2bl w:val="nil"/>
                  </w:tcBorders>
                  <w:noWrap w:val="0"/>
                  <w:vAlign w:val="center"/>
                </w:tcPr>
                <w:p w14:paraId="75DFFB9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15万块/a</w:t>
                  </w:r>
                </w:p>
              </w:tc>
              <w:tc>
                <w:tcPr>
                  <w:tcW w:w="1605" w:type="dxa"/>
                  <w:tcBorders>
                    <w:tl2br w:val="nil"/>
                    <w:tr2bl w:val="nil"/>
                  </w:tcBorders>
                  <w:noWrap w:val="0"/>
                  <w:vAlign w:val="center"/>
                </w:tcPr>
                <w:p w14:paraId="5BC1649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16万块/a</w:t>
                  </w:r>
                </w:p>
              </w:tc>
              <w:tc>
                <w:tcPr>
                  <w:tcW w:w="1497" w:type="dxa"/>
                  <w:tcBorders>
                    <w:tl2br w:val="nil"/>
                    <w:tr2bl w:val="nil"/>
                  </w:tcBorders>
                  <w:noWrap w:val="0"/>
                  <w:vAlign w:val="center"/>
                </w:tcPr>
                <w:p w14:paraId="0C8A6E3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31万块/a</w:t>
                  </w:r>
                </w:p>
              </w:tc>
            </w:tr>
            <w:tr w14:paraId="19E63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continue"/>
                  <w:tcBorders>
                    <w:tl2br w:val="nil"/>
                    <w:tr2bl w:val="nil"/>
                  </w:tcBorders>
                  <w:noWrap w:val="0"/>
                  <w:vAlign w:val="center"/>
                </w:tcPr>
                <w:p w14:paraId="1D2757E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00" w:type="dxa"/>
                  <w:tcBorders>
                    <w:tl2br w:val="nil"/>
                    <w:tr2bl w:val="nil"/>
                  </w:tcBorders>
                  <w:noWrap w:val="0"/>
                  <w:vAlign w:val="center"/>
                </w:tcPr>
                <w:p w14:paraId="680FBAA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一次性针筒</w:t>
                  </w:r>
                </w:p>
              </w:tc>
              <w:tc>
                <w:tcPr>
                  <w:tcW w:w="1275" w:type="dxa"/>
                  <w:tcBorders>
                    <w:tl2br w:val="nil"/>
                    <w:tr2bl w:val="nil"/>
                  </w:tcBorders>
                  <w:noWrap w:val="0"/>
                  <w:vAlign w:val="center"/>
                </w:tcPr>
                <w:p w14:paraId="7F173C7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15g</w:t>
                  </w:r>
                </w:p>
              </w:tc>
              <w:tc>
                <w:tcPr>
                  <w:tcW w:w="1500" w:type="dxa"/>
                  <w:tcBorders>
                    <w:tl2br w:val="nil"/>
                    <w:tr2bl w:val="nil"/>
                  </w:tcBorders>
                  <w:noWrap w:val="0"/>
                  <w:vAlign w:val="center"/>
                </w:tcPr>
                <w:p w14:paraId="48D39F8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28万付</w:t>
                  </w:r>
                </w:p>
              </w:tc>
              <w:tc>
                <w:tcPr>
                  <w:tcW w:w="1605" w:type="dxa"/>
                  <w:tcBorders>
                    <w:tl2br w:val="nil"/>
                    <w:tr2bl w:val="nil"/>
                  </w:tcBorders>
                  <w:noWrap w:val="0"/>
                  <w:vAlign w:val="center"/>
                </w:tcPr>
                <w:p w14:paraId="42FDC91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30万付</w:t>
                  </w:r>
                </w:p>
              </w:tc>
              <w:tc>
                <w:tcPr>
                  <w:tcW w:w="1497" w:type="dxa"/>
                  <w:tcBorders>
                    <w:tl2br w:val="nil"/>
                    <w:tr2bl w:val="nil"/>
                  </w:tcBorders>
                  <w:noWrap w:val="0"/>
                  <w:vAlign w:val="center"/>
                </w:tcPr>
                <w:p w14:paraId="4C5E1CA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58万付</w:t>
                  </w:r>
                </w:p>
              </w:tc>
            </w:tr>
            <w:tr w14:paraId="59862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continue"/>
                  <w:tcBorders>
                    <w:tl2br w:val="nil"/>
                    <w:tr2bl w:val="nil"/>
                  </w:tcBorders>
                  <w:noWrap w:val="0"/>
                  <w:vAlign w:val="center"/>
                </w:tcPr>
                <w:p w14:paraId="73389D6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00" w:type="dxa"/>
                  <w:tcBorders>
                    <w:tl2br w:val="nil"/>
                    <w:tr2bl w:val="nil"/>
                  </w:tcBorders>
                  <w:noWrap w:val="0"/>
                  <w:vAlign w:val="center"/>
                </w:tcPr>
                <w:p w14:paraId="330D22A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碘伏</w:t>
                  </w:r>
                </w:p>
              </w:tc>
              <w:tc>
                <w:tcPr>
                  <w:tcW w:w="1275" w:type="dxa"/>
                  <w:tcBorders>
                    <w:tl2br w:val="nil"/>
                    <w:tr2bl w:val="nil"/>
                  </w:tcBorders>
                  <w:noWrap w:val="0"/>
                  <w:vAlign w:val="center"/>
                </w:tcPr>
                <w:p w14:paraId="7D11DE9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500" w:type="dxa"/>
                  <w:tcBorders>
                    <w:tl2br w:val="nil"/>
                    <w:tr2bl w:val="nil"/>
                  </w:tcBorders>
                  <w:noWrap w:val="0"/>
                  <w:vAlign w:val="center"/>
                </w:tcPr>
                <w:p w14:paraId="69701A4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0.2t/a</w:t>
                  </w:r>
                </w:p>
              </w:tc>
              <w:tc>
                <w:tcPr>
                  <w:tcW w:w="1605" w:type="dxa"/>
                  <w:tcBorders>
                    <w:tl2br w:val="nil"/>
                    <w:tr2bl w:val="nil"/>
                  </w:tcBorders>
                  <w:noWrap w:val="0"/>
                  <w:vAlign w:val="center"/>
                </w:tcPr>
                <w:p w14:paraId="163F2FD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0.2t/a</w:t>
                  </w:r>
                </w:p>
              </w:tc>
              <w:tc>
                <w:tcPr>
                  <w:tcW w:w="1497" w:type="dxa"/>
                  <w:tcBorders>
                    <w:tl2br w:val="nil"/>
                    <w:tr2bl w:val="nil"/>
                  </w:tcBorders>
                  <w:noWrap w:val="0"/>
                  <w:vAlign w:val="center"/>
                </w:tcPr>
                <w:p w14:paraId="0B2DF82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0.4t/a</w:t>
                  </w:r>
                </w:p>
              </w:tc>
            </w:tr>
            <w:tr w14:paraId="1AA92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continue"/>
                  <w:tcBorders>
                    <w:tl2br w:val="nil"/>
                    <w:tr2bl w:val="nil"/>
                  </w:tcBorders>
                  <w:noWrap w:val="0"/>
                  <w:vAlign w:val="center"/>
                </w:tcPr>
                <w:p w14:paraId="753B7C6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00" w:type="dxa"/>
                  <w:tcBorders>
                    <w:tl2br w:val="nil"/>
                    <w:tr2bl w:val="nil"/>
                  </w:tcBorders>
                  <w:noWrap w:val="0"/>
                  <w:vAlign w:val="center"/>
                </w:tcPr>
                <w:p w14:paraId="1D18664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过氧化氢</w:t>
                  </w:r>
                </w:p>
              </w:tc>
              <w:tc>
                <w:tcPr>
                  <w:tcW w:w="1275" w:type="dxa"/>
                  <w:tcBorders>
                    <w:tl2br w:val="nil"/>
                    <w:tr2bl w:val="nil"/>
                  </w:tcBorders>
                  <w:noWrap w:val="0"/>
                  <w:vAlign w:val="center"/>
                </w:tcPr>
                <w:p w14:paraId="737EA8B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500mL</w:t>
                  </w:r>
                </w:p>
              </w:tc>
              <w:tc>
                <w:tcPr>
                  <w:tcW w:w="1500" w:type="dxa"/>
                  <w:tcBorders>
                    <w:tl2br w:val="nil"/>
                    <w:tr2bl w:val="nil"/>
                  </w:tcBorders>
                  <w:noWrap w:val="0"/>
                  <w:vAlign w:val="center"/>
                </w:tcPr>
                <w:p w14:paraId="17C1C81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1.5t/a</w:t>
                  </w:r>
                </w:p>
              </w:tc>
              <w:tc>
                <w:tcPr>
                  <w:tcW w:w="1605" w:type="dxa"/>
                  <w:tcBorders>
                    <w:tl2br w:val="nil"/>
                    <w:tr2bl w:val="nil"/>
                  </w:tcBorders>
                  <w:noWrap w:val="0"/>
                  <w:vAlign w:val="center"/>
                </w:tcPr>
                <w:p w14:paraId="023A58F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1497" w:type="dxa"/>
                  <w:tcBorders>
                    <w:tl2br w:val="nil"/>
                    <w:tr2bl w:val="nil"/>
                  </w:tcBorders>
                  <w:noWrap w:val="0"/>
                  <w:vAlign w:val="center"/>
                </w:tcPr>
                <w:p w14:paraId="10AA017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1.5t/a</w:t>
                  </w:r>
                </w:p>
              </w:tc>
            </w:tr>
            <w:tr w14:paraId="33E81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restart"/>
                  <w:tcBorders>
                    <w:tl2br w:val="nil"/>
                    <w:tr2bl w:val="nil"/>
                  </w:tcBorders>
                  <w:noWrap w:val="0"/>
                  <w:vAlign w:val="center"/>
                </w:tcPr>
                <w:p w14:paraId="433DB64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能耗</w:t>
                  </w:r>
                </w:p>
              </w:tc>
              <w:tc>
                <w:tcPr>
                  <w:tcW w:w="1800" w:type="dxa"/>
                  <w:tcBorders>
                    <w:tl2br w:val="nil"/>
                    <w:tr2bl w:val="nil"/>
                  </w:tcBorders>
                  <w:noWrap w:val="0"/>
                  <w:vAlign w:val="center"/>
                </w:tcPr>
                <w:p w14:paraId="66B6978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天然气</w:t>
                  </w:r>
                </w:p>
              </w:tc>
              <w:tc>
                <w:tcPr>
                  <w:tcW w:w="1275" w:type="dxa"/>
                  <w:tcBorders>
                    <w:tl2br w:val="nil"/>
                    <w:tr2bl w:val="nil"/>
                  </w:tcBorders>
                  <w:noWrap w:val="0"/>
                  <w:vAlign w:val="center"/>
                </w:tcPr>
                <w:p w14:paraId="23DC81B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500" w:type="dxa"/>
                  <w:tcBorders>
                    <w:tl2br w:val="nil"/>
                    <w:tr2bl w:val="nil"/>
                  </w:tcBorders>
                  <w:noWrap w:val="0"/>
                  <w:vAlign w:val="center"/>
                </w:tcPr>
                <w:p w14:paraId="5CEFA37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2.59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万m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605" w:type="dxa"/>
                  <w:tcBorders>
                    <w:tl2br w:val="nil"/>
                    <w:tr2bl w:val="nil"/>
                  </w:tcBorders>
                  <w:noWrap w:val="0"/>
                  <w:vAlign w:val="center"/>
                </w:tcPr>
                <w:p w14:paraId="672A1CF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2.22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万m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497" w:type="dxa"/>
                  <w:tcBorders>
                    <w:tl2br w:val="nil"/>
                    <w:tr2bl w:val="nil"/>
                  </w:tcBorders>
                  <w:noWrap w:val="0"/>
                  <w:vAlign w:val="center"/>
                </w:tcPr>
                <w:p w14:paraId="031688E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4.81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万m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r w14:paraId="5D16F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continue"/>
                  <w:tcBorders>
                    <w:tl2br w:val="nil"/>
                    <w:tr2bl w:val="nil"/>
                  </w:tcBorders>
                  <w:noWrap w:val="0"/>
                  <w:vAlign w:val="center"/>
                </w:tcPr>
                <w:p w14:paraId="4B3F18F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00" w:type="dxa"/>
                  <w:tcBorders>
                    <w:tl2br w:val="nil"/>
                    <w:tr2bl w:val="nil"/>
                  </w:tcBorders>
                  <w:noWrap w:val="0"/>
                  <w:vAlign w:val="center"/>
                </w:tcPr>
                <w:p w14:paraId="61AC837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w:t>
                  </w:r>
                </w:p>
              </w:tc>
              <w:tc>
                <w:tcPr>
                  <w:tcW w:w="1275" w:type="dxa"/>
                  <w:tcBorders>
                    <w:tl2br w:val="nil"/>
                    <w:tr2bl w:val="nil"/>
                  </w:tcBorders>
                  <w:noWrap w:val="0"/>
                  <w:vAlign w:val="center"/>
                </w:tcPr>
                <w:p w14:paraId="168D9BE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500" w:type="dxa"/>
                  <w:tcBorders>
                    <w:tl2br w:val="nil"/>
                    <w:tr2bl w:val="nil"/>
                  </w:tcBorders>
                  <w:noWrap w:val="0"/>
                  <w:vAlign w:val="center"/>
                </w:tcPr>
                <w:p w14:paraId="436D129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38441.63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605" w:type="dxa"/>
                  <w:tcBorders>
                    <w:tl2br w:val="nil"/>
                    <w:tr2bl w:val="nil"/>
                  </w:tcBorders>
                  <w:noWrap w:val="0"/>
                  <w:vAlign w:val="center"/>
                </w:tcPr>
                <w:p w14:paraId="320F50C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8843.95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497" w:type="dxa"/>
                  <w:tcBorders>
                    <w:tl2br w:val="nil"/>
                    <w:tr2bl w:val="nil"/>
                  </w:tcBorders>
                  <w:noWrap w:val="0"/>
                  <w:vAlign w:val="center"/>
                </w:tcPr>
                <w:p w14:paraId="055F4A4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47285.58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r w14:paraId="7C6C0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7" w:type="dxa"/>
                  <w:vMerge w:val="continue"/>
                  <w:tcBorders>
                    <w:tl2br w:val="nil"/>
                    <w:tr2bl w:val="nil"/>
                  </w:tcBorders>
                  <w:noWrap w:val="0"/>
                  <w:vAlign w:val="center"/>
                </w:tcPr>
                <w:p w14:paraId="4F44BB6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800" w:type="dxa"/>
                  <w:tcBorders>
                    <w:tl2br w:val="nil"/>
                    <w:tr2bl w:val="nil"/>
                  </w:tcBorders>
                  <w:noWrap w:val="0"/>
                  <w:vAlign w:val="center"/>
                </w:tcPr>
                <w:p w14:paraId="07747D5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电</w:t>
                  </w:r>
                </w:p>
              </w:tc>
              <w:tc>
                <w:tcPr>
                  <w:tcW w:w="1275" w:type="dxa"/>
                  <w:tcBorders>
                    <w:tl2br w:val="nil"/>
                    <w:tr2bl w:val="nil"/>
                  </w:tcBorders>
                  <w:noWrap w:val="0"/>
                  <w:vAlign w:val="center"/>
                </w:tcPr>
                <w:p w14:paraId="268E160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500" w:type="dxa"/>
                  <w:tcBorders>
                    <w:tl2br w:val="nil"/>
                    <w:tr2bl w:val="nil"/>
                  </w:tcBorders>
                  <w:noWrap w:val="0"/>
                  <w:vAlign w:val="center"/>
                </w:tcPr>
                <w:p w14:paraId="2D39351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331.7</w:t>
                  </w:r>
                  <w:r>
                    <w:rPr>
                      <w:rFonts w:hint="default" w:ascii="Times New Roman" w:hAnsi="Times New Roman" w:eastAsia="宋体" w:cs="Times New Roman"/>
                      <w:color w:val="000000" w:themeColor="text1"/>
                      <w:sz w:val="21"/>
                      <w:szCs w:val="21"/>
                      <w:highlight w:val="none"/>
                      <w14:textFill>
                        <w14:solidFill>
                          <w14:schemeClr w14:val="tx1"/>
                        </w14:solidFill>
                      </w14:textFill>
                    </w:rPr>
                    <w:t>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605" w:type="dxa"/>
                  <w:tcBorders>
                    <w:tl2br w:val="nil"/>
                    <w:tr2bl w:val="nil"/>
                  </w:tcBorders>
                  <w:noWrap w:val="0"/>
                  <w:vAlign w:val="center"/>
                </w:tcPr>
                <w:p w14:paraId="382BFEA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346.61</w:t>
                  </w:r>
                  <w:r>
                    <w:rPr>
                      <w:rFonts w:hint="default" w:ascii="Times New Roman" w:hAnsi="Times New Roman" w:eastAsia="宋体" w:cs="Times New Roman"/>
                      <w:color w:val="000000" w:themeColor="text1"/>
                      <w:sz w:val="21"/>
                      <w:szCs w:val="21"/>
                      <w:highlight w:val="none"/>
                      <w14:textFill>
                        <w14:solidFill>
                          <w14:schemeClr w14:val="tx1"/>
                        </w14:solidFill>
                      </w14:textFill>
                    </w:rPr>
                    <w:t>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1497" w:type="dxa"/>
                  <w:tcBorders>
                    <w:tl2br w:val="nil"/>
                    <w:tr2bl w:val="nil"/>
                  </w:tcBorders>
                  <w:noWrap w:val="0"/>
                  <w:vAlign w:val="center"/>
                </w:tcPr>
                <w:p w14:paraId="76AAA7C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678.31</w:t>
                  </w:r>
                  <w:r>
                    <w:rPr>
                      <w:rFonts w:hint="default" w:ascii="Times New Roman" w:hAnsi="Times New Roman" w:eastAsia="宋体" w:cs="Times New Roman"/>
                      <w:color w:val="000000" w:themeColor="text1"/>
                      <w:sz w:val="21"/>
                      <w:szCs w:val="21"/>
                      <w:highlight w:val="none"/>
                      <w14:textFill>
                        <w14:solidFill>
                          <w14:schemeClr w14:val="tx1"/>
                        </w14:solidFill>
                      </w14:textFill>
                    </w:rPr>
                    <w:t>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kw·</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bl>
          <w:p w14:paraId="108DE0BF">
            <w:pPr>
              <w:pStyle w:val="194"/>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420" w:lineRule="auto"/>
              <w:ind w:firstLine="482" w:firstLineChars="200"/>
              <w:jc w:val="both"/>
              <w:textAlignment w:val="baseline"/>
              <w:rPr>
                <w:rFonts w:hint="eastAsia"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8"/>
                <w:sz w:val="24"/>
                <w:szCs w:val="24"/>
                <w:highlight w:val="none"/>
                <w:lang w:val="en-US" w:eastAsia="zh-CN" w:bidi="ar-SA"/>
                <w14:textFill>
                  <w14:solidFill>
                    <w14:schemeClr w14:val="tx1"/>
                  </w14:solidFill>
                </w14:textFill>
              </w:rPr>
              <w:t>碘伏：</w:t>
            </w:r>
            <w:r>
              <w:rPr>
                <w:rFonts w:hint="eastAsia"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具有广谱杀菌作用，可杀灭细菌繁殖体、真菌、原虫和部分病毒。在医疗上用作杀菌消毒剂，可用于皮肤、粘膜的消毒，也可处理烫伤、治疗滴虫性阴道炎、霉菌性阴道炎、皮肤霉菌感染等。也可用于手术前和其它皮肤的消毒、各种注射部位皮肤消毒、器械浸泡消毒以及阴道手术前消毒等。</w:t>
            </w:r>
          </w:p>
          <w:p w14:paraId="06608FB6">
            <w:pPr>
              <w:pStyle w:val="194"/>
              <w:keepNext w:val="0"/>
              <w:keepLines w:val="0"/>
              <w:pageBreakBefore w:val="0"/>
              <w:widowControl w:val="0"/>
              <w:numPr>
                <w:ilvl w:val="0"/>
                <w:numId w:val="0"/>
              </w:numPr>
              <w:kinsoku/>
              <w:wordWrap/>
              <w:overflowPunct/>
              <w:topLinePunct w:val="0"/>
              <w:autoSpaceDE/>
              <w:autoSpaceDN/>
              <w:bidi w:val="0"/>
              <w:adjustRightInd w:val="0"/>
              <w:snapToGrid w:val="0"/>
              <w:spacing w:after="0" w:line="420" w:lineRule="auto"/>
              <w:ind w:firstLine="482" w:firstLineChars="200"/>
              <w:jc w:val="both"/>
              <w:textAlignment w:val="baseline"/>
              <w:rPr>
                <w:rFonts w:hint="eastAsia"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8"/>
                <w:sz w:val="24"/>
                <w:szCs w:val="24"/>
                <w:highlight w:val="none"/>
                <w:lang w:val="en-US" w:eastAsia="zh-CN" w:bidi="ar-SA"/>
                <w14:textFill>
                  <w14:solidFill>
                    <w14:schemeClr w14:val="tx1"/>
                  </w14:solidFill>
                </w14:textFill>
              </w:rPr>
              <w:t>过氧化氢：</w:t>
            </w:r>
            <w:r>
              <w:rPr>
                <w:rFonts w:hint="eastAsia"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化学式H</w:t>
            </w:r>
            <w:r>
              <w:rPr>
                <w:rFonts w:hint="eastAsia" w:ascii="Times New Roman" w:hAnsi="Times New Roman" w:eastAsia="宋体" w:cs="Times New Roman"/>
                <w:bCs/>
                <w:color w:val="000000" w:themeColor="text1"/>
                <w:kern w:val="28"/>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O</w:t>
            </w:r>
            <w:r>
              <w:rPr>
                <w:rFonts w:hint="eastAsia" w:ascii="Times New Roman" w:hAnsi="Times New Roman" w:eastAsia="宋体" w:cs="Times New Roman"/>
                <w:bCs/>
                <w:color w:val="000000" w:themeColor="text1"/>
                <w:kern w:val="28"/>
                <w:sz w:val="24"/>
                <w:szCs w:val="24"/>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。纯过氧化氢是淡蓝色的黏稠液体，可任意比例与水混溶，是一种强氧化剂，水溶液俗称双氧水，为无色透明液体。其水溶液适用于医用伤口消毒及环境消毒和食品消毒。</w:t>
            </w:r>
          </w:p>
          <w:p w14:paraId="172C5C32">
            <w:pPr>
              <w:pStyle w:val="194"/>
              <w:keepNext w:val="0"/>
              <w:keepLines w:val="0"/>
              <w:pageBreakBefore w:val="0"/>
              <w:widowControl w:val="0"/>
              <w:kinsoku/>
              <w:wordWrap/>
              <w:overflowPunct/>
              <w:topLinePunct w:val="0"/>
              <w:autoSpaceDE/>
              <w:autoSpaceDN/>
              <w:bidi w:val="0"/>
              <w:adjustRightInd w:val="0"/>
              <w:snapToGrid w:val="0"/>
              <w:spacing w:before="157" w:beforeLines="50" w:after="0" w:line="420" w:lineRule="auto"/>
              <w:jc w:val="both"/>
              <w:textAlignment w:val="baseline"/>
              <w:rPr>
                <w:rFonts w:hint="default" w:ascii="Times New Roman" w:hAnsi="Times New Roman" w:eastAsia="黑体" w:cs="Times New Roman"/>
                <w:bCs/>
                <w:color w:val="000000" w:themeColor="text1"/>
                <w:highlight w:val="none"/>
                <w14:textFill>
                  <w14:solidFill>
                    <w14:schemeClr w14:val="tx1"/>
                  </w14:solidFill>
                </w14:textFill>
              </w:rPr>
            </w:pPr>
            <w:r>
              <w:rPr>
                <w:rFonts w:hint="eastAsia" w:ascii="Times New Roman" w:hAnsi="Times New Roman" w:eastAsia="黑体" w:cs="Times New Roman"/>
                <w:b/>
                <w:color w:val="000000" w:themeColor="text1"/>
                <w:highlight w:val="none"/>
                <w:lang w:val="en-US" w:eastAsia="zh-CN"/>
                <w14:textFill>
                  <w14:solidFill>
                    <w14:schemeClr w14:val="tx1"/>
                  </w14:solidFill>
                </w14:textFill>
              </w:rPr>
              <w:t>7</w:t>
            </w:r>
            <w:r>
              <w:rPr>
                <w:rFonts w:hint="default" w:ascii="Times New Roman" w:hAnsi="Times New Roman" w:eastAsia="黑体" w:cs="Times New Roman"/>
                <w:b/>
                <w:color w:val="000000" w:themeColor="text1"/>
                <w:highlight w:val="none"/>
                <w14:textFill>
                  <w14:solidFill>
                    <w14:schemeClr w14:val="tx1"/>
                  </w14:solidFill>
                </w14:textFill>
              </w:rPr>
              <w:t>、</w:t>
            </w:r>
            <w:r>
              <w:rPr>
                <w:rFonts w:hint="default" w:ascii="Times New Roman" w:hAnsi="Times New Roman" w:cs="Times New Roman"/>
                <w:b/>
                <w:bCs/>
                <w:color w:val="000000" w:themeColor="text1"/>
                <w:highlight w:val="none"/>
                <w14:textFill>
                  <w14:solidFill>
                    <w14:schemeClr w14:val="tx1"/>
                  </w14:solidFill>
                </w14:textFill>
              </w:rPr>
              <w:t>工作制度与劳动定员</w:t>
            </w:r>
          </w:p>
          <w:p w14:paraId="5E74927B">
            <w:pPr>
              <w:keepNext w:val="0"/>
              <w:keepLines w:val="0"/>
              <w:pageBreakBefore w:val="0"/>
              <w:widowControl w:val="0"/>
              <w:kinsoku/>
              <w:wordWrap/>
              <w:overflowPunct/>
              <w:topLinePunct w:val="0"/>
              <w:autoSpaceDE/>
              <w:autoSpaceDN/>
              <w:bidi w:val="0"/>
              <w:adjustRightInd w:val="0"/>
              <w:snapToGrid w:val="0"/>
              <w:spacing w:line="420" w:lineRule="auto"/>
              <w:ind w:firstLine="556" w:firstLineChars="232"/>
              <w:textAlignment w:val="auto"/>
              <w:rPr>
                <w:rFonts w:hint="eastAsia" w:ascii="Times New Roman" w:hAnsi="Times New Roman" w:cs="Times New Roman"/>
                <w:b w:val="0"/>
                <w:bCs/>
                <w:color w:val="000000" w:themeColor="text1"/>
                <w:sz w:val="24"/>
                <w:highlight w:val="yellow"/>
                <w:u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扩建</w:t>
            </w:r>
            <w:r>
              <w:rPr>
                <w:rFonts w:hint="default" w:ascii="Times New Roman" w:hAnsi="Times New Roman" w:cs="Times New Roman"/>
                <w:bCs/>
                <w:color w:val="000000" w:themeColor="text1"/>
                <w:kern w:val="28"/>
                <w:sz w:val="24"/>
                <w:highlight w:val="none"/>
                <w14:textFill>
                  <w14:solidFill>
                    <w14:schemeClr w14:val="tx1"/>
                  </w14:solidFill>
                </w14:textFill>
              </w:rPr>
              <w:t>项目</w:t>
            </w:r>
            <w:r>
              <w:rPr>
                <w:rFonts w:hint="eastAsia" w:ascii="Times New Roman" w:hAnsi="Times New Roman" w:cs="Times New Roman"/>
                <w:bCs/>
                <w:color w:val="000000" w:themeColor="text1"/>
                <w:kern w:val="28"/>
                <w:sz w:val="24"/>
                <w:highlight w:val="none"/>
                <w:lang w:val="en-US" w:eastAsia="zh-CN"/>
                <w14:textFill>
                  <w14:solidFill>
                    <w14:schemeClr w14:val="tx1"/>
                  </w14:solidFill>
                </w14:textFill>
              </w:rPr>
              <w:t>建成后，新增医务人员82</w:t>
            </w:r>
            <w:r>
              <w:rPr>
                <w:rFonts w:hint="default" w:ascii="Times New Roman" w:hAnsi="Times New Roman" w:cs="Times New Roman"/>
                <w:bCs/>
                <w:color w:val="000000" w:themeColor="text1"/>
                <w:kern w:val="28"/>
                <w:sz w:val="24"/>
                <w:highlight w:val="none"/>
                <w14:textFill>
                  <w14:solidFill>
                    <w14:schemeClr w14:val="tx1"/>
                  </w14:solidFill>
                </w14:textFill>
              </w:rPr>
              <w:t>人，</w:t>
            </w:r>
            <w:r>
              <w:rPr>
                <w:rFonts w:hint="default" w:ascii="Times New Roman" w:hAnsi="Times New Roman" w:cs="Times New Roman"/>
                <w:bCs/>
                <w:color w:val="000000" w:themeColor="text1"/>
                <w:kern w:val="28"/>
                <w:sz w:val="24"/>
                <w:highlight w:val="none"/>
                <w:lang w:val="en-US" w:eastAsia="zh-CN"/>
                <w14:textFill>
                  <w14:solidFill>
                    <w14:schemeClr w14:val="tx1"/>
                  </w14:solidFill>
                </w14:textFill>
              </w:rPr>
              <w:t>工作制度</w:t>
            </w:r>
            <w:r>
              <w:rPr>
                <w:rFonts w:hint="default" w:ascii="Times New Roman" w:hAnsi="Times New Roman" w:cs="Times New Roman"/>
                <w:color w:val="000000" w:themeColor="text1"/>
                <w:sz w:val="24"/>
                <w:highlight w:val="none"/>
                <w14:textFill>
                  <w14:solidFill>
                    <w14:schemeClr w14:val="tx1"/>
                  </w14:solidFill>
                </w14:textFill>
              </w:rPr>
              <w:t>实行</w:t>
            </w:r>
            <w:r>
              <w:rPr>
                <w:rFonts w:hint="default" w:ascii="Times New Roman" w:hAnsi="Times New Roman" w:cs="Times New Roman"/>
                <w:color w:val="000000" w:themeColor="text1"/>
                <w:sz w:val="24"/>
                <w:highlight w:val="none"/>
                <w:lang w:val="en-US" w:eastAsia="zh-CN"/>
                <w14:textFill>
                  <w14:solidFill>
                    <w14:schemeClr w14:val="tx1"/>
                  </w14:solidFill>
                </w14:textFill>
              </w:rPr>
              <w:t>三</w:t>
            </w:r>
            <w:r>
              <w:rPr>
                <w:rFonts w:hint="default" w:ascii="Times New Roman" w:hAnsi="Times New Roman" w:cs="Times New Roman"/>
                <w:color w:val="000000" w:themeColor="text1"/>
                <w:sz w:val="24"/>
                <w:highlight w:val="none"/>
                <w14:textFill>
                  <w14:solidFill>
                    <w14:schemeClr w14:val="tx1"/>
                  </w14:solidFill>
                </w14:textFill>
              </w:rPr>
              <w:t>班制，每</w:t>
            </w:r>
            <w:r>
              <w:rPr>
                <w:rFonts w:hint="default" w:ascii="Times New Roman" w:hAnsi="Times New Roman" w:cs="Times New Roman"/>
                <w:color w:val="000000" w:themeColor="text1"/>
                <w:sz w:val="24"/>
                <w:highlight w:val="none"/>
                <w:lang w:val="en-US" w:eastAsia="zh-CN"/>
                <w14:textFill>
                  <w14:solidFill>
                    <w14:schemeClr w14:val="tx1"/>
                  </w14:solidFill>
                </w14:textFill>
              </w:rPr>
              <w:t>班8</w:t>
            </w:r>
            <w:r>
              <w:rPr>
                <w:rFonts w:hint="default" w:ascii="Times New Roman" w:hAnsi="Times New Roman" w:cs="Times New Roman"/>
                <w:color w:val="000000" w:themeColor="text1"/>
                <w:sz w:val="24"/>
                <w:highlight w:val="none"/>
                <w14:textFill>
                  <w14:solidFill>
                    <w14:schemeClr w14:val="tx1"/>
                  </w14:solidFill>
                </w14:textFill>
              </w:rPr>
              <w:t>小时，</w:t>
            </w:r>
            <w:r>
              <w:rPr>
                <w:rFonts w:hint="eastAsia" w:ascii="Times New Roman" w:hAnsi="Times New Roman" w:cs="Times New Roman"/>
                <w:color w:val="000000" w:themeColor="text1"/>
                <w:sz w:val="24"/>
                <w:highlight w:val="none"/>
                <w:lang w:val="en-US" w:eastAsia="zh-CN"/>
                <w14:textFill>
                  <w14:solidFill>
                    <w14:schemeClr w14:val="tx1"/>
                  </w14:solidFill>
                </w14:textFill>
              </w:rPr>
              <w:t>全年365天运营</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不另设</w:t>
            </w:r>
            <w:r>
              <w:rPr>
                <w:rFonts w:hint="default" w:ascii="Times New Roman" w:hAnsi="Times New Roman" w:cs="Times New Roman"/>
                <w:color w:val="000000" w:themeColor="text1"/>
                <w:sz w:val="24"/>
                <w:highlight w:val="none"/>
                <w:lang w:val="en-US" w:eastAsia="zh-CN"/>
                <w14:textFill>
                  <w14:solidFill>
                    <w14:schemeClr w14:val="tx1"/>
                  </w14:solidFill>
                </w14:textFill>
              </w:rPr>
              <w:t>食堂，餐饮由</w:t>
            </w:r>
            <w:r>
              <w:rPr>
                <w:rFonts w:hint="eastAsia" w:ascii="Times New Roman" w:hAnsi="Times New Roman" w:cs="Times New Roman"/>
                <w:color w:val="000000" w:themeColor="text1"/>
                <w:sz w:val="24"/>
                <w:highlight w:val="none"/>
                <w:lang w:val="en-US" w:eastAsia="zh-CN"/>
                <w14:textFill>
                  <w14:solidFill>
                    <w14:schemeClr w14:val="tx1"/>
                  </w14:solidFill>
                </w14:textFill>
              </w:rPr>
              <w:t>在建</w:t>
            </w:r>
            <w:r>
              <w:rPr>
                <w:rFonts w:hint="default" w:ascii="Times New Roman" w:hAnsi="Times New Roman" w:cs="Times New Roman"/>
                <w:color w:val="000000" w:themeColor="text1"/>
                <w:sz w:val="24"/>
                <w:highlight w:val="none"/>
                <w:lang w:val="en-US" w:eastAsia="zh-CN"/>
                <w14:textFill>
                  <w14:solidFill>
                    <w14:schemeClr w14:val="tx1"/>
                  </w14:solidFill>
                </w14:textFill>
              </w:rPr>
              <w:t>感染病房楼</w:t>
            </w:r>
            <w:r>
              <w:rPr>
                <w:rFonts w:hint="eastAsia" w:ascii="Times New Roman" w:hAnsi="Times New Roman" w:cs="Times New Roman"/>
                <w:color w:val="000000" w:themeColor="text1"/>
                <w:sz w:val="24"/>
                <w:highlight w:val="none"/>
                <w:lang w:val="en-US" w:eastAsia="zh-CN"/>
                <w14:textFill>
                  <w14:solidFill>
                    <w14:schemeClr w14:val="tx1"/>
                  </w14:solidFill>
                </w14:textFill>
              </w:rPr>
              <w:t>项目配套食堂</w:t>
            </w:r>
            <w:r>
              <w:rPr>
                <w:rFonts w:hint="default" w:ascii="Times New Roman" w:hAnsi="Times New Roman" w:cs="Times New Roman"/>
                <w:color w:val="000000" w:themeColor="text1"/>
                <w:sz w:val="24"/>
                <w:highlight w:val="none"/>
                <w:lang w:val="en-US" w:eastAsia="zh-CN"/>
                <w14:textFill>
                  <w14:solidFill>
                    <w14:schemeClr w14:val="tx1"/>
                  </w14:solidFill>
                </w14:textFill>
              </w:rPr>
              <w:t>配送。</w:t>
            </w:r>
          </w:p>
          <w:p w14:paraId="3A42AFE5">
            <w:pPr>
              <w:pStyle w:val="194"/>
              <w:snapToGrid w:val="0"/>
              <w:spacing w:after="0" w:line="500" w:lineRule="exact"/>
              <w:jc w:val="both"/>
              <w:rPr>
                <w:rFonts w:hint="default" w:ascii="Times New Roman" w:hAnsi="Times New Roman" w:eastAsia="黑体" w:cs="Times New Roman"/>
                <w:bCs/>
                <w:color w:val="000000" w:themeColor="text1"/>
                <w:szCs w:val="24"/>
                <w:highlight w:val="none"/>
                <w14:textFill>
                  <w14:solidFill>
                    <w14:schemeClr w14:val="tx1"/>
                  </w14:solidFill>
                </w14:textFill>
              </w:rPr>
            </w:pPr>
            <w:r>
              <w:rPr>
                <w:rFonts w:hint="eastAsia" w:ascii="Times New Roman" w:hAnsi="Times New Roman" w:eastAsia="黑体" w:cs="Times New Roman"/>
                <w:b/>
                <w:color w:val="000000" w:themeColor="text1"/>
                <w:szCs w:val="24"/>
                <w:highlight w:val="none"/>
                <w:lang w:val="en-US" w:eastAsia="zh-CN"/>
                <w14:textFill>
                  <w14:solidFill>
                    <w14:schemeClr w14:val="tx1"/>
                  </w14:solidFill>
                </w14:textFill>
              </w:rPr>
              <w:t>8</w:t>
            </w:r>
            <w:r>
              <w:rPr>
                <w:rFonts w:hint="default" w:ascii="Times New Roman" w:hAnsi="Times New Roman" w:eastAsia="黑体" w:cs="Times New Roman"/>
                <w:b/>
                <w:color w:val="000000" w:themeColor="text1"/>
                <w:szCs w:val="24"/>
                <w:highlight w:val="none"/>
                <w14:textFill>
                  <w14:solidFill>
                    <w14:schemeClr w14:val="tx1"/>
                  </w14:solidFill>
                </w14:textFill>
              </w:rPr>
              <w:t>、</w:t>
            </w:r>
            <w:r>
              <w:rPr>
                <w:rFonts w:hint="default" w:ascii="Times New Roman" w:hAnsi="Times New Roman" w:cs="Times New Roman"/>
                <w:b/>
                <w:bCs/>
                <w:color w:val="000000" w:themeColor="text1"/>
                <w:szCs w:val="24"/>
                <w:highlight w:val="none"/>
                <w14:textFill>
                  <w14:solidFill>
                    <w14:schemeClr w14:val="tx1"/>
                  </w14:solidFill>
                </w14:textFill>
              </w:rPr>
              <w:t>公用工程</w:t>
            </w:r>
          </w:p>
          <w:p w14:paraId="4A6B303A">
            <w:pPr>
              <w:adjustRightInd w:val="0"/>
              <w:snapToGrid w:val="0"/>
              <w:spacing w:line="520" w:lineRule="exact"/>
              <w:ind w:firstLine="480" w:firstLineChars="200"/>
              <w:rPr>
                <w:rFonts w:hint="default" w:ascii="Times New Roman" w:hAnsi="Times New Roman" w:cs="Times New Roman"/>
                <w:b w:val="0"/>
                <w:bCs/>
                <w:color w:val="000000" w:themeColor="text1"/>
                <w:sz w:val="24"/>
                <w:highlight w:val="none"/>
                <w:u w:val="none"/>
                <w14:textFill>
                  <w14:solidFill>
                    <w14:schemeClr w14:val="tx1"/>
                  </w14:solidFill>
                </w14:textFill>
              </w:rPr>
            </w:pPr>
            <w:r>
              <w:rPr>
                <w:rFonts w:hint="default" w:ascii="Times New Roman" w:hAnsi="Times New Roman" w:cs="Times New Roman"/>
                <w:b w:val="0"/>
                <w:bCs/>
                <w:color w:val="000000" w:themeColor="text1"/>
                <w:sz w:val="24"/>
                <w:highlight w:val="none"/>
                <w:u w:val="none"/>
                <w14:textFill>
                  <w14:solidFill>
                    <w14:schemeClr w14:val="tx1"/>
                  </w14:solidFill>
                </w14:textFill>
              </w:rPr>
              <w:t>（1）给</w:t>
            </w:r>
            <w:r>
              <w:rPr>
                <w:rFonts w:hint="eastAsia" w:ascii="Times New Roman" w:hAnsi="Times New Roman" w:cs="Times New Roman"/>
                <w:b w:val="0"/>
                <w:bCs/>
                <w:color w:val="000000" w:themeColor="text1"/>
                <w:sz w:val="24"/>
                <w:highlight w:val="none"/>
                <w:u w:val="none"/>
                <w:lang w:eastAsia="zh-CN"/>
                <w14:textFill>
                  <w14:solidFill>
                    <w14:schemeClr w14:val="tx1"/>
                  </w14:solidFill>
                </w14:textFill>
              </w:rPr>
              <w:t>、</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排</w:t>
            </w:r>
            <w:r>
              <w:rPr>
                <w:rFonts w:hint="default" w:ascii="Times New Roman" w:hAnsi="Times New Roman" w:cs="Times New Roman"/>
                <w:b w:val="0"/>
                <w:bCs/>
                <w:color w:val="000000" w:themeColor="text1"/>
                <w:sz w:val="24"/>
                <w:highlight w:val="none"/>
                <w:u w:val="none"/>
                <w14:textFill>
                  <w14:solidFill>
                    <w14:schemeClr w14:val="tx1"/>
                  </w14:solidFill>
                </w14:textFill>
              </w:rPr>
              <w:t>水</w:t>
            </w:r>
          </w:p>
          <w:p w14:paraId="3F6B35A5">
            <w:pPr>
              <w:keepNext w:val="0"/>
              <w:keepLines w:val="0"/>
              <w:pageBreakBefore w:val="0"/>
              <w:widowControl w:val="0"/>
              <w:numPr>
                <w:ilvl w:val="0"/>
                <w:numId w:val="0"/>
              </w:numPr>
              <w:kinsoku/>
              <w:wordWrap/>
              <w:overflowPunct/>
              <w:topLinePunct w:val="0"/>
              <w:autoSpaceDE w:val="0"/>
              <w:autoSpaceDN w:val="0"/>
              <w:bidi w:val="0"/>
              <w:adjustRightInd/>
              <w:snapToGrid w:val="0"/>
              <w:spacing w:line="520" w:lineRule="exact"/>
              <w:ind w:left="0" w:right="0" w:firstLine="480" w:firstLineChars="200"/>
              <w:textAlignment w:val="auto"/>
              <w:rPr>
                <w:rFonts w:hint="eastAsia" w:ascii="Times New Roman" w:hAnsi="Times New Roman" w:cs="Times New Roman"/>
                <w:b w:val="0"/>
                <w:bCs w:val="0"/>
                <w:color w:val="000000" w:themeColor="text1"/>
                <w:kern w:val="0"/>
                <w:sz w:val="24"/>
                <w:szCs w:val="22"/>
                <w:highlight w:val="yellow"/>
                <w:u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扩建</w:t>
            </w:r>
            <w:r>
              <w:rPr>
                <w:rFonts w:hint="default" w:ascii="Times New Roman" w:hAnsi="Times New Roman" w:cs="Times New Roman"/>
                <w:b w:val="0"/>
                <w:bCs/>
                <w:color w:val="000000" w:themeColor="text1"/>
                <w:sz w:val="24"/>
                <w:highlight w:val="none"/>
                <w:u w:val="none"/>
                <w14:textFill>
                  <w14:solidFill>
                    <w14:schemeClr w14:val="tx1"/>
                  </w14:solidFill>
                </w14:textFill>
              </w:rPr>
              <w:t>项目</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所在院内已</w:t>
            </w:r>
            <w:r>
              <w:rPr>
                <w:rFonts w:hint="default" w:ascii="Times New Roman" w:hAnsi="Times New Roman" w:cs="Times New Roman"/>
                <w:b w:val="0"/>
                <w:bCs/>
                <w:color w:val="000000" w:themeColor="text1"/>
                <w:sz w:val="24"/>
                <w:highlight w:val="none"/>
                <w:u w:val="none"/>
                <w14:textFill>
                  <w14:solidFill>
                    <w14:schemeClr w14:val="tx1"/>
                  </w14:solidFill>
                </w14:textFill>
              </w:rPr>
              <w:t>在</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周边</w:t>
            </w:r>
            <w:r>
              <w:rPr>
                <w:rFonts w:hint="default" w:ascii="Times New Roman" w:hAnsi="Times New Roman" w:cs="Times New Roman"/>
                <w:b w:val="0"/>
                <w:bCs/>
                <w:color w:val="000000" w:themeColor="text1"/>
                <w:sz w:val="24"/>
                <w:highlight w:val="none"/>
                <w:u w:val="none"/>
                <w14:textFill>
                  <w14:solidFill>
                    <w14:schemeClr w14:val="tx1"/>
                  </w14:solidFill>
                </w14:textFill>
              </w:rPr>
              <w:t>韶州路</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和规划路</w:t>
            </w:r>
            <w:r>
              <w:rPr>
                <w:rFonts w:hint="default" w:ascii="Times New Roman" w:hAnsi="Times New Roman" w:cs="Times New Roman"/>
                <w:b w:val="0"/>
                <w:bCs/>
                <w:color w:val="000000" w:themeColor="text1"/>
                <w:sz w:val="24"/>
                <w:highlight w:val="none"/>
                <w:u w:val="none"/>
                <w14:textFill>
                  <w14:solidFill>
                    <w14:schemeClr w14:val="tx1"/>
                  </w14:solidFill>
                </w14:textFill>
              </w:rPr>
              <w:t>上</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各引入一路给水管</w:t>
            </w:r>
            <w:r>
              <w:rPr>
                <w:rFonts w:hint="default" w:ascii="Times New Roman" w:hAnsi="Times New Roman" w:cs="Times New Roman"/>
                <w:b w:val="0"/>
                <w:bCs/>
                <w:color w:val="000000" w:themeColor="text1"/>
                <w:sz w:val="24"/>
                <w:highlight w:val="none"/>
                <w:u w:val="none"/>
                <w14:textFill>
                  <w14:solidFill>
                    <w14:schemeClr w14:val="tx1"/>
                  </w14:solidFill>
                </w14:textFill>
              </w:rPr>
              <w:t>，市政水压为0.3MPa，</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能保证项目用水需求</w:t>
            </w:r>
            <w:r>
              <w:rPr>
                <w:rFonts w:hint="default" w:ascii="Times New Roman" w:hAnsi="Times New Roman" w:cs="Times New Roman"/>
                <w:b w:val="0"/>
                <w:bCs/>
                <w:color w:val="000000" w:themeColor="text1"/>
                <w:sz w:val="24"/>
                <w:highlight w:val="none"/>
                <w:u w:val="none"/>
                <w14:textFill>
                  <w14:solidFill>
                    <w14:schemeClr w14:val="tx1"/>
                  </w14:solidFill>
                </w14:textFill>
              </w:rPr>
              <w:t>。项目用水</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主要</w:t>
            </w:r>
            <w:r>
              <w:rPr>
                <w:rFonts w:hint="default" w:ascii="Times New Roman" w:hAnsi="Times New Roman" w:cs="Times New Roman"/>
                <w:b w:val="0"/>
                <w:bCs/>
                <w:color w:val="000000" w:themeColor="text1"/>
                <w:sz w:val="24"/>
                <w:highlight w:val="none"/>
                <w:u w:val="none"/>
                <w14:textFill>
                  <w14:solidFill>
                    <w14:schemeClr w14:val="tx1"/>
                  </w14:solidFill>
                </w14:textFill>
              </w:rPr>
              <w:t>包括</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门诊、化验室、检验室、病房、医护及行政人员等，总用水量为8843.95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w:t>
            </w:r>
          </w:p>
          <w:p w14:paraId="2F3125E8">
            <w:pPr>
              <w:pStyle w:val="2"/>
              <w:keepNext w:val="0"/>
              <w:keepLines w:val="0"/>
              <w:pageBreakBefore w:val="0"/>
              <w:widowControl w:val="0"/>
              <w:kinsoku/>
              <w:wordWrap/>
              <w:overflowPunct/>
              <w:topLinePunct w:val="0"/>
              <w:bidi w:val="0"/>
              <w:adjustRightInd/>
              <w:snapToGrid w:val="0"/>
              <w:spacing w:line="520" w:lineRule="exact"/>
              <w:ind w:left="0" w:right="0" w:firstLine="480" w:firstLineChars="200"/>
              <w:textAlignment w:val="auto"/>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①门诊</w:t>
            </w:r>
            <w:r>
              <w:rPr>
                <w:rFonts w:hint="eastAsia" w:ascii="Times New Roman" w:hAnsi="Times New Roman" w:cs="Times New Roman"/>
                <w:b w:val="0"/>
                <w:bCs/>
                <w:color w:val="000000" w:themeColor="text1"/>
                <w:sz w:val="24"/>
                <w:szCs w:val="24"/>
                <w:highlight w:val="none"/>
                <w:u w:val="none"/>
                <w:lang w:val="en-US" w:eastAsia="zh-CN"/>
                <w14:textFill>
                  <w14:solidFill>
                    <w14:schemeClr w14:val="tx1"/>
                  </w14:solidFill>
                </w14:textFill>
              </w:rPr>
              <w:t>用水</w:t>
            </w:r>
          </w:p>
          <w:p w14:paraId="05A2550C">
            <w:pPr>
              <w:keepNext w:val="0"/>
              <w:keepLines w:val="0"/>
              <w:pageBreakBefore w:val="0"/>
              <w:widowControl w:val="0"/>
              <w:numPr>
                <w:ilvl w:val="0"/>
                <w:numId w:val="0"/>
              </w:numPr>
              <w:kinsoku/>
              <w:wordWrap/>
              <w:overflowPunct/>
              <w:topLinePunct w:val="0"/>
              <w:autoSpaceDE w:val="0"/>
              <w:autoSpaceDN w:val="0"/>
              <w:bidi w:val="0"/>
              <w:adjustRightInd/>
              <w:snapToGrid w:val="0"/>
              <w:spacing w:line="520" w:lineRule="exact"/>
              <w:ind w:left="0" w:right="0" w:firstLine="480" w:firstLineChars="200"/>
              <w:textAlignment w:val="auto"/>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医院门诊部每年接待就诊人员约</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365</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00人，根据《综合医院建筑设计规范》（GB51039-2014）并结合院内实际情况，门诊部用水定额为10L/人·次，门诊部用水量为</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1.0</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/d（</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365</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/a），</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废水产生量</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按</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90%计，则门诊废水</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量为0</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.9</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/d（</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328.5</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/a）</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废水</w:t>
            </w:r>
            <w:r>
              <w:rPr>
                <w:rFonts w:hint="eastAsia"/>
                <w:color w:val="000000" w:themeColor="text1"/>
                <w:sz w:val="24"/>
                <w:highlight w:val="none"/>
                <w14:textFill>
                  <w14:solidFill>
                    <w14:schemeClr w14:val="tx1"/>
                  </w14:solidFill>
                </w14:textFill>
              </w:rPr>
              <w:t>排入</w:t>
            </w:r>
            <w:r>
              <w:rPr>
                <w:rFonts w:hint="eastAsia"/>
                <w:color w:val="000000" w:themeColor="text1"/>
                <w:kern w:val="0"/>
                <w:sz w:val="24"/>
                <w:highlight w:val="none"/>
                <w:lang w:eastAsia="zh-CN"/>
                <w14:textFill>
                  <w14:solidFill>
                    <w14:schemeClr w14:val="tx1"/>
                  </w14:solidFill>
                </w14:textFill>
              </w:rPr>
              <w:t>污水处理站进行处理</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w:t>
            </w:r>
          </w:p>
          <w:p w14:paraId="0FB4E09E">
            <w:pPr>
              <w:keepNext w:val="0"/>
              <w:keepLines w:val="0"/>
              <w:pageBreakBefore w:val="0"/>
              <w:widowControl w:val="0"/>
              <w:numPr>
                <w:ilvl w:val="0"/>
                <w:numId w:val="0"/>
              </w:numPr>
              <w:kinsoku/>
              <w:wordWrap/>
              <w:overflowPunct/>
              <w:topLinePunct w:val="0"/>
              <w:autoSpaceDE w:val="0"/>
              <w:autoSpaceDN w:val="0"/>
              <w:bidi w:val="0"/>
              <w:adjustRightInd/>
              <w:snapToGrid w:val="0"/>
              <w:spacing w:line="520" w:lineRule="exact"/>
              <w:ind w:left="0" w:right="0" w:firstLine="480" w:firstLineChars="200"/>
              <w:textAlignment w:val="auto"/>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②化验室、检验室</w:t>
            </w:r>
            <w:r>
              <w:rPr>
                <w:rFonts w:hint="eastAsia" w:ascii="Times New Roman" w:hAnsi="Times New Roman" w:cs="Times New Roman"/>
                <w:b w:val="0"/>
                <w:bCs/>
                <w:color w:val="000000" w:themeColor="text1"/>
                <w:sz w:val="24"/>
                <w:szCs w:val="24"/>
                <w:highlight w:val="none"/>
                <w:u w:val="none"/>
                <w:lang w:val="en-US" w:eastAsia="zh-CN"/>
                <w14:textFill>
                  <w14:solidFill>
                    <w14:schemeClr w14:val="tx1"/>
                  </w14:solidFill>
                </w14:textFill>
              </w:rPr>
              <w:t>用水</w:t>
            </w:r>
          </w:p>
          <w:p w14:paraId="6C829E60">
            <w:pPr>
              <w:keepNext w:val="0"/>
              <w:keepLines w:val="0"/>
              <w:pageBreakBefore w:val="0"/>
              <w:widowControl w:val="0"/>
              <w:numPr>
                <w:ilvl w:val="0"/>
                <w:numId w:val="0"/>
              </w:numPr>
              <w:kinsoku/>
              <w:wordWrap/>
              <w:overflowPunct/>
              <w:topLinePunct w:val="0"/>
              <w:autoSpaceDE w:val="0"/>
              <w:autoSpaceDN w:val="0"/>
              <w:bidi w:val="0"/>
              <w:adjustRightInd/>
              <w:snapToGrid w:val="0"/>
              <w:spacing w:line="520" w:lineRule="exact"/>
              <w:ind w:left="0" w:right="0" w:firstLine="480" w:firstLineChars="200"/>
              <w:textAlignment w:val="auto"/>
              <w:rPr>
                <w:rFonts w:hint="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项目</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直接购进成套的试剂盒，试剂盒内配有分析和测定所需的全部试剂，使用时直接加入检验设备中，不需自制检验试剂。化验室、检验室用水主要是仪器设备及容器清洗用水，参照《医院污水处理工程技术规范》（H2029-2013），检验室用水为门诊用水量的10%，化验室、检验室用水量为0.1</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/d（</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36.5</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/a），</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废水产生量</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按</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90%计，则化验、检验废水</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量为</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0.09</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/d（</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32.85</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/a）</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w:t>
            </w:r>
            <w:r>
              <w:rPr>
                <w:rFonts w:hint="eastAsia"/>
                <w:color w:val="000000" w:themeColor="text1"/>
                <w:sz w:val="24"/>
                <w14:textFill>
                  <w14:solidFill>
                    <w14:schemeClr w14:val="tx1"/>
                  </w14:solidFill>
                </w14:textFill>
              </w:rPr>
              <w:t>排入</w:t>
            </w:r>
            <w:r>
              <w:rPr>
                <w:rFonts w:hint="eastAsia"/>
                <w:color w:val="000000" w:themeColor="text1"/>
                <w:kern w:val="0"/>
                <w:sz w:val="24"/>
                <w:lang w:eastAsia="zh-CN"/>
                <w14:textFill>
                  <w14:solidFill>
                    <w14:schemeClr w14:val="tx1"/>
                  </w14:solidFill>
                </w14:textFill>
              </w:rPr>
              <w:t>污水处理站进行处理</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w:t>
            </w:r>
          </w:p>
          <w:p w14:paraId="0D155E26">
            <w:pPr>
              <w:keepNext w:val="0"/>
              <w:keepLines w:val="0"/>
              <w:pageBreakBefore w:val="0"/>
              <w:widowControl w:val="0"/>
              <w:numPr>
                <w:ilvl w:val="0"/>
                <w:numId w:val="0"/>
              </w:numPr>
              <w:kinsoku/>
              <w:wordWrap/>
              <w:overflowPunct/>
              <w:topLinePunct w:val="0"/>
              <w:autoSpaceDE w:val="0"/>
              <w:autoSpaceDN w:val="0"/>
              <w:bidi w:val="0"/>
              <w:adjustRightInd/>
              <w:snapToGrid w:val="0"/>
              <w:spacing w:line="520" w:lineRule="exact"/>
              <w:ind w:left="0" w:right="0" w:firstLine="480" w:firstLineChars="200"/>
              <w:textAlignment w:val="auto"/>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③</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病房</w:t>
            </w:r>
            <w:r>
              <w:rPr>
                <w:rFonts w:hint="eastAsia" w:ascii="Times New Roman" w:hAnsi="Times New Roman" w:cs="Times New Roman"/>
                <w:b w:val="0"/>
                <w:bCs/>
                <w:color w:val="000000" w:themeColor="text1"/>
                <w:sz w:val="24"/>
                <w:szCs w:val="24"/>
                <w:highlight w:val="none"/>
                <w:u w:val="none"/>
                <w:lang w:val="en-US" w:eastAsia="zh-CN"/>
                <w14:textFill>
                  <w14:solidFill>
                    <w14:schemeClr w14:val="tx1"/>
                  </w14:solidFill>
                </w14:textFill>
              </w:rPr>
              <w:t>用水</w:t>
            </w:r>
          </w:p>
          <w:p w14:paraId="14EBDC72">
            <w:pPr>
              <w:keepNext w:val="0"/>
              <w:keepLines w:val="0"/>
              <w:pageBreakBefore w:val="0"/>
              <w:widowControl w:val="0"/>
              <w:numPr>
                <w:ilvl w:val="0"/>
                <w:numId w:val="0"/>
              </w:numPr>
              <w:kinsoku/>
              <w:wordWrap/>
              <w:overflowPunct/>
              <w:topLinePunct w:val="0"/>
              <w:autoSpaceDE w:val="0"/>
              <w:autoSpaceDN w:val="0"/>
              <w:bidi w:val="0"/>
              <w:adjustRightInd/>
              <w:snapToGrid w:val="0"/>
              <w:spacing w:line="520" w:lineRule="exact"/>
              <w:ind w:left="0" w:right="0" w:firstLine="480" w:firstLineChars="200"/>
              <w:textAlignment w:val="auto"/>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病房</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单元</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废水主要来自医院住院病人、陪护人员的冲厕、盥洗及清洗产生的废水，项目</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医疗床位105</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床，根据《综合医院建筑设计规范》（GB51039-2014）并结合院内实际情况，医院住院病人（包含陪护人员）用水定额为</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1</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50L/床·d，</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病房单元</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用水量为</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15.75</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/d（</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5748.75</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/a），</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废水产生量</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按</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80%计，则病房单元废水</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量为</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12.6</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/d（</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4599</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/a）</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w:t>
            </w:r>
            <w:r>
              <w:rPr>
                <w:rFonts w:hint="eastAsia"/>
                <w:color w:val="000000" w:themeColor="text1"/>
                <w:sz w:val="24"/>
                <w14:textFill>
                  <w14:solidFill>
                    <w14:schemeClr w14:val="tx1"/>
                  </w14:solidFill>
                </w14:textFill>
              </w:rPr>
              <w:t>排入</w:t>
            </w:r>
            <w:r>
              <w:rPr>
                <w:rFonts w:hint="eastAsia"/>
                <w:color w:val="000000" w:themeColor="text1"/>
                <w:kern w:val="0"/>
                <w:sz w:val="24"/>
                <w:lang w:eastAsia="zh-CN"/>
                <w14:textFill>
                  <w14:solidFill>
                    <w14:schemeClr w14:val="tx1"/>
                  </w14:solidFill>
                </w14:textFill>
              </w:rPr>
              <w:t>污水处理站进行处理</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w:t>
            </w:r>
          </w:p>
          <w:p w14:paraId="055E40C3">
            <w:pPr>
              <w:pStyle w:val="2"/>
              <w:keepNext w:val="0"/>
              <w:keepLines w:val="0"/>
              <w:pageBreakBefore w:val="0"/>
              <w:widowControl w:val="0"/>
              <w:kinsoku/>
              <w:wordWrap/>
              <w:overflowPunct/>
              <w:topLinePunct w:val="0"/>
              <w:bidi w:val="0"/>
              <w:adjustRightInd/>
              <w:snapToGrid w:val="0"/>
              <w:spacing w:line="520" w:lineRule="exact"/>
              <w:ind w:left="0" w:right="0" w:firstLine="480" w:firstLineChars="200"/>
              <w:textAlignment w:val="auto"/>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④</w:t>
            </w:r>
            <w:r>
              <w:rPr>
                <w:rFonts w:hint="eastAsia" w:ascii="Times New Roman" w:hAnsi="Times New Roman" w:cs="Times New Roman"/>
                <w:color w:val="000000" w:themeColor="text1"/>
                <w:sz w:val="24"/>
                <w:highlight w:val="none"/>
                <w:lang w:val="en-US" w:eastAsia="zh-CN"/>
                <w14:textFill>
                  <w14:solidFill>
                    <w14:schemeClr w14:val="tx1"/>
                  </w14:solidFill>
                </w14:textFill>
              </w:rPr>
              <w:t>医护及</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行政人员</w:t>
            </w:r>
            <w:r>
              <w:rPr>
                <w:rFonts w:hint="eastAsia" w:ascii="Times New Roman" w:hAnsi="Times New Roman" w:cs="Times New Roman"/>
                <w:b w:val="0"/>
                <w:bCs/>
                <w:color w:val="000000" w:themeColor="text1"/>
                <w:sz w:val="24"/>
                <w:szCs w:val="24"/>
                <w:highlight w:val="none"/>
                <w:u w:val="none"/>
                <w:lang w:val="en-US" w:eastAsia="zh-CN"/>
                <w14:textFill>
                  <w14:solidFill>
                    <w14:schemeClr w14:val="tx1"/>
                  </w14:solidFill>
                </w14:textFill>
              </w:rPr>
              <w:t>用水</w:t>
            </w:r>
          </w:p>
          <w:p w14:paraId="09CF8C30">
            <w:pPr>
              <w:keepNext w:val="0"/>
              <w:keepLines w:val="0"/>
              <w:pageBreakBefore w:val="0"/>
              <w:widowControl w:val="0"/>
              <w:numPr>
                <w:ilvl w:val="0"/>
                <w:numId w:val="0"/>
              </w:numPr>
              <w:kinsoku/>
              <w:wordWrap/>
              <w:overflowPunct/>
              <w:topLinePunct w:val="0"/>
              <w:autoSpaceDE w:val="0"/>
              <w:autoSpaceDN w:val="0"/>
              <w:bidi w:val="0"/>
              <w:adjustRightInd/>
              <w:snapToGrid w:val="0"/>
              <w:spacing w:line="520" w:lineRule="exact"/>
              <w:ind w:left="0" w:right="0" w:firstLine="480" w:firstLineChars="200"/>
              <w:textAlignment w:val="auto"/>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项目医护及</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行</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政人员</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82</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人</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，均不在院区住宿</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参照《综合医院建筑设计规范》（GB51039-2014）并结合院内实际情况，用水定额按90L/人·班，</w:t>
            </w:r>
            <w:r>
              <w:rPr>
                <w:rFonts w:hint="eastAsia" w:ascii="Times New Roman" w:hAnsi="Times New Roman" w:cs="Times New Roman"/>
                <w:color w:val="000000" w:themeColor="text1"/>
                <w:sz w:val="24"/>
                <w:highlight w:val="none"/>
                <w:lang w:val="en-US" w:eastAsia="zh-CN"/>
                <w14:textFill>
                  <w14:solidFill>
                    <w14:schemeClr w14:val="tx1"/>
                  </w14:solidFill>
                </w14:textFill>
              </w:rPr>
              <w:t>医护及</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行政工作人员</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生活用水量为</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7.38</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/d</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（2693.7</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/a</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），废水产生量</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按</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80%计，则</w:t>
            </w:r>
            <w:r>
              <w:rPr>
                <w:rFonts w:hint="eastAsia" w:ascii="Times New Roman" w:hAnsi="Times New Roman" w:cs="Times New Roman"/>
                <w:color w:val="000000" w:themeColor="text1"/>
                <w:sz w:val="24"/>
                <w:highlight w:val="none"/>
                <w:lang w:val="en-US" w:eastAsia="zh-CN"/>
                <w14:textFill>
                  <w14:solidFill>
                    <w14:schemeClr w14:val="tx1"/>
                  </w14:solidFill>
                </w14:textFill>
              </w:rPr>
              <w:t>医护及</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行政工作人员生活污水产生量为5.904</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/d</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（2154.96</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m</w:t>
            </w:r>
            <w:r>
              <w:rPr>
                <w:rFonts w:hint="default" w:ascii="Times New Roman" w:hAnsi="Times New Roman"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4"/>
                <w:highlight w:val="none"/>
                <w:u w:val="none"/>
                <w:lang w:val="en-US" w:eastAsia="zh-CN"/>
                <w14:textFill>
                  <w14:solidFill>
                    <w14:schemeClr w14:val="tx1"/>
                  </w14:solidFill>
                </w14:textFill>
              </w:rPr>
              <w:t>/a</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w:t>
            </w:r>
            <w:r>
              <w:rPr>
                <w:rFonts w:hint="eastAsia"/>
                <w:color w:val="000000" w:themeColor="text1"/>
                <w:sz w:val="24"/>
                <w14:textFill>
                  <w14:solidFill>
                    <w14:schemeClr w14:val="tx1"/>
                  </w14:solidFill>
                </w14:textFill>
              </w:rPr>
              <w:t>排入</w:t>
            </w:r>
            <w:r>
              <w:rPr>
                <w:rFonts w:hint="eastAsia"/>
                <w:color w:val="000000" w:themeColor="text1"/>
                <w:kern w:val="0"/>
                <w:sz w:val="24"/>
                <w:lang w:eastAsia="zh-CN"/>
                <w14:textFill>
                  <w14:solidFill>
                    <w14:schemeClr w14:val="tx1"/>
                  </w14:solidFill>
                </w14:textFill>
              </w:rPr>
              <w:t>污水处理站</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进行处理</w:t>
            </w:r>
            <w:r>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t>。</w:t>
            </w:r>
          </w:p>
          <w:p w14:paraId="0830ACF3">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object>
                <v:shape id="_x0000_i1025" o:spt="75" alt="" type="#_x0000_t75" style="height:233.25pt;width:394.85pt;" o:ole="t" filled="f" o:preferrelative="t" stroked="f" coordsize="21600,21600">
                  <v:path/>
                  <v:fill on="f" focussize="0,0"/>
                  <v:stroke on="f"/>
                  <v:imagedata r:id="rId22" o:title=""/>
                  <o:lock v:ext="edit" aspectratio="t"/>
                  <w10:wrap type="none"/>
                  <w10:anchorlock/>
                </v:shape>
                <o:OLEObject Type="Embed" ProgID="Visio.Drawing.11" ShapeID="_x0000_i1025" DrawAspect="Content" ObjectID="_1468075725" r:id="rId21">
                  <o:LockedField>false</o:LockedField>
                </o:OLEObject>
              </w:object>
            </w:r>
          </w:p>
          <w:p w14:paraId="32E246F2">
            <w:pPr>
              <w:pStyle w:val="2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t xml:space="preserve">图1   </w:t>
            </w:r>
            <w:r>
              <w:rPr>
                <w:rFonts w:hint="eastAsia"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t>扩建</w:t>
            </w:r>
            <w:r>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t>项目水平衡图    单位：m</w:t>
            </w:r>
            <w:r>
              <w:rPr>
                <w:rFonts w:hint="default" w:ascii="Times New Roman" w:hAnsi="Times New Roman" w:eastAsia="黑体"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t>/d</w:t>
            </w:r>
          </w:p>
          <w:p w14:paraId="56EAA94F">
            <w:pPr>
              <w:pStyle w:val="2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pPr>
          </w:p>
          <w:p w14:paraId="5C6EF0D3">
            <w:pPr>
              <w:pStyle w:val="2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pPr>
          </w:p>
          <w:p w14:paraId="2701CFD5">
            <w:pPr>
              <w:pStyle w:val="2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pPr>
          </w:p>
          <w:p w14:paraId="5E19AC1D">
            <w:pPr>
              <w:pStyle w:val="2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pPr>
          </w:p>
          <w:p w14:paraId="2A440902">
            <w:pPr>
              <w:pStyle w:val="2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pPr>
          </w:p>
          <w:p w14:paraId="2512B634">
            <w:pPr>
              <w:pStyle w:val="2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pPr>
          </w:p>
          <w:p w14:paraId="6FCF20ED">
            <w:pPr>
              <w:pStyle w:val="2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pPr>
          </w:p>
          <w:p w14:paraId="2B4878DB">
            <w:pPr>
              <w:pStyle w:val="2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pPr>
          </w:p>
          <w:p w14:paraId="60744713">
            <w:pPr>
              <w:pStyle w:val="2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pPr>
          </w:p>
          <w:p w14:paraId="267326D2">
            <w:pPr>
              <w:pStyle w:val="235"/>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pPr>
            <w:r>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object>
                <v:shape id="_x0000_i1026" o:spt="75" alt="" type="#_x0000_t75" style="height:344.8pt;width:358.45pt;" o:ole="t" filled="f" o:preferrelative="t" stroked="f" coordsize="21600,21600">
                  <v:path/>
                  <v:fill on="f" focussize="0,0"/>
                  <v:stroke on="f"/>
                  <v:imagedata r:id="rId24" o:title=""/>
                  <o:lock v:ext="edit" aspectratio="t"/>
                  <w10:wrap type="none"/>
                  <w10:anchorlock/>
                </v:shape>
                <o:OLEObject Type="Embed" ProgID="Visio.Drawing.11" ShapeID="_x0000_i1026" DrawAspect="Content" ObjectID="_1468075726" r:id="rId23">
                  <o:LockedField>false</o:LockedField>
                </o:OLEObject>
              </w:object>
            </w:r>
          </w:p>
          <w:p w14:paraId="3E7B16D4">
            <w:pPr>
              <w:pStyle w:val="235"/>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pPr>
            <w:r>
              <w:rPr>
                <w:rFonts w:hint="eastAsia"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t>图2   扩建后全院水平衡图</w:t>
            </w:r>
            <w:r>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t xml:space="preserve">    单位：m</w:t>
            </w:r>
            <w:r>
              <w:rPr>
                <w:rFonts w:hint="default" w:ascii="Times New Roman" w:hAnsi="Times New Roman" w:eastAsia="黑体" w:cs="Times New Roman"/>
                <w:b w:val="0"/>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eastAsia="黑体" w:cs="Times New Roman"/>
                <w:b w:val="0"/>
                <w:bCs/>
                <w:color w:val="000000" w:themeColor="text1"/>
                <w:sz w:val="24"/>
                <w:highlight w:val="none"/>
                <w:u w:val="none"/>
                <w:lang w:val="en-US" w:eastAsia="zh-CN"/>
                <w14:textFill>
                  <w14:solidFill>
                    <w14:schemeClr w14:val="tx1"/>
                  </w14:solidFill>
                </w14:textFill>
              </w:rPr>
              <w:t>/d</w:t>
            </w:r>
          </w:p>
          <w:p w14:paraId="5CA3DDB3">
            <w:pPr>
              <w:pStyle w:val="20"/>
              <w:keepNext w:val="0"/>
              <w:keepLines w:val="0"/>
              <w:pageBreakBefore w:val="0"/>
              <w:widowControl w:val="0"/>
              <w:kinsoku/>
              <w:wordWrap/>
              <w:overflowPunct/>
              <w:topLinePunct w:val="0"/>
              <w:autoSpaceDE/>
              <w:autoSpaceDN/>
              <w:bidi w:val="0"/>
              <w:spacing w:line="520" w:lineRule="exact"/>
              <w:ind w:left="0"/>
              <w:textAlignment w:val="auto"/>
              <w:outlineLvl w:val="9"/>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（2）热水系统</w:t>
            </w:r>
          </w:p>
          <w:p w14:paraId="26574903">
            <w:pPr>
              <w:keepNext w:val="0"/>
              <w:keepLines w:val="0"/>
              <w:pageBreakBefore w:val="0"/>
              <w:widowControl w:val="0"/>
              <w:kinsoku/>
              <w:wordWrap/>
              <w:overflowPunct/>
              <w:topLinePunct w:val="0"/>
              <w:autoSpaceDE/>
              <w:autoSpaceDN/>
              <w:bidi w:val="0"/>
              <w:adjustRightInd w:val="0"/>
              <w:snapToGrid w:val="0"/>
              <w:spacing w:line="520" w:lineRule="exact"/>
              <w:ind w:left="0" w:firstLine="480" w:firstLineChars="200"/>
              <w:textAlignment w:val="auto"/>
              <w:outlineLvl w:val="9"/>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本项目</w:t>
            </w:r>
            <w:r>
              <w:rPr>
                <w:rFonts w:hint="eastAsia" w:ascii="Times New Roman" w:hAnsi="Times New Roman" w:cs="Times New Roman"/>
                <w:color w:val="000000" w:themeColor="text1"/>
                <w:sz w:val="24"/>
                <w:highlight w:val="none"/>
                <w:lang w:val="en-US" w:eastAsia="zh-CN"/>
                <w14:textFill>
                  <w14:solidFill>
                    <w14:schemeClr w14:val="tx1"/>
                  </w14:solidFill>
                </w14:textFill>
              </w:rPr>
              <w:t>依托院内</w:t>
            </w:r>
            <w:r>
              <w:rPr>
                <w:rFonts w:hint="default" w:ascii="Times New Roman" w:hAnsi="Times New Roman" w:cs="Times New Roman"/>
                <w:color w:val="000000" w:themeColor="text1"/>
                <w:sz w:val="24"/>
                <w:highlight w:val="none"/>
                <w:lang w:val="en-US" w:eastAsia="zh-CN"/>
                <w14:textFill>
                  <w14:solidFill>
                    <w14:schemeClr w14:val="tx1"/>
                  </w14:solidFill>
                </w14:textFill>
              </w:rPr>
              <w:t>原有感染病房楼空气源热泵制热，与原感染病房楼</w:t>
            </w:r>
            <w:r>
              <w:rPr>
                <w:rFonts w:hint="eastAsia" w:ascii="Times New Roman" w:hAnsi="Times New Roman" w:cs="Times New Roman"/>
                <w:color w:val="000000" w:themeColor="text1"/>
                <w:sz w:val="24"/>
                <w:highlight w:val="none"/>
                <w:lang w:val="en-US" w:eastAsia="zh-CN"/>
                <w14:textFill>
                  <w14:solidFill>
                    <w14:schemeClr w14:val="tx1"/>
                  </w14:solidFill>
                </w14:textFill>
              </w:rPr>
              <w:t>共</w:t>
            </w:r>
            <w:r>
              <w:rPr>
                <w:rFonts w:hint="default" w:ascii="Times New Roman" w:hAnsi="Times New Roman" w:cs="Times New Roman"/>
                <w:color w:val="000000" w:themeColor="text1"/>
                <w:sz w:val="24"/>
                <w:highlight w:val="none"/>
                <w:lang w:val="en-US" w:eastAsia="zh-CN"/>
                <w14:textFill>
                  <w14:solidFill>
                    <w14:schemeClr w14:val="tx1"/>
                  </w14:solidFill>
                </w14:textFill>
              </w:rPr>
              <w:t>用1套。值班卫生间设置集中热水供水系统。卫生间热水采用空气源热泵制热，热水出水温度为60℃。热水分区同冷水系统</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热水管网采用机械循环供水方式。与给水分区一致</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对于生活热水系统，由于每层用水点众多，在设计中横向每层或每个护理单元的热水系统为一个小系统，每个竖向分区的热水系统采用干管、立管同程循环的方式。在各个建筑每层开水间内均设置一个电开水炉，容量为120L/h。供病人、护理人员饮用水。</w:t>
            </w:r>
          </w:p>
          <w:p w14:paraId="4CB266B6">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200"/>
              <w:textAlignment w:val="auto"/>
              <w:outlineLvl w:val="9"/>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（3）用气系统</w:t>
            </w:r>
          </w:p>
          <w:p w14:paraId="53ADD507">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firstLine="480" w:firstLineChars="200"/>
              <w:textAlignment w:val="auto"/>
              <w:outlineLvl w:val="9"/>
              <w:rPr>
                <w:rFonts w:hint="default"/>
                <w:color w:val="000000" w:themeColor="text1"/>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扩建项目生活用气</w:t>
            </w:r>
            <w:r>
              <w:rPr>
                <w:rFonts w:hint="default" w:ascii="Times New Roman" w:hAnsi="Times New Roman" w:cs="Times New Roman"/>
                <w:color w:val="000000" w:themeColor="text1"/>
                <w:sz w:val="24"/>
                <w:highlight w:val="none"/>
                <w:lang w:val="en-US" w:eastAsia="zh-CN"/>
                <w14:textFill>
                  <w14:solidFill>
                    <w14:schemeClr w14:val="tx1"/>
                  </w14:solidFill>
                </w14:textFill>
              </w:rPr>
              <w:t>由市政天然气管道提供，经减压后供院区用气点</w:t>
            </w:r>
            <w:r>
              <w:rPr>
                <w:rFonts w:hint="eastAsia" w:ascii="Times New Roman" w:hAnsi="Times New Roman" w:cs="Times New Roman"/>
                <w:color w:val="000000" w:themeColor="text1"/>
                <w:sz w:val="24"/>
                <w:highlight w:val="none"/>
                <w:lang w:val="en-US" w:eastAsia="zh-CN"/>
                <w14:textFill>
                  <w14:solidFill>
                    <w14:schemeClr w14:val="tx1"/>
                  </w14:solidFill>
                </w14:textFill>
              </w:rPr>
              <w:t>，用气量约2.22万m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p>
          <w:p w14:paraId="6D404559">
            <w:pPr>
              <w:keepNext w:val="0"/>
              <w:keepLines w:val="0"/>
              <w:pageBreakBefore w:val="0"/>
              <w:widowControl w:val="0"/>
              <w:kinsoku/>
              <w:wordWrap/>
              <w:overflowPunct/>
              <w:topLinePunct w:val="0"/>
              <w:autoSpaceDE/>
              <w:autoSpaceDN/>
              <w:bidi w:val="0"/>
              <w:adjustRightInd w:val="0"/>
              <w:snapToGrid w:val="0"/>
              <w:spacing w:line="520" w:lineRule="exact"/>
              <w:ind w:left="0" w:firstLine="480" w:firstLineChars="200"/>
              <w:textAlignment w:val="auto"/>
              <w:outlineLvl w:val="9"/>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lang w:eastAsia="zh-CN"/>
                <w14:textFill>
                  <w14:solidFill>
                    <w14:schemeClr w14:val="tx1"/>
                  </w14:solidFill>
                </w14:textFill>
              </w:rPr>
              <w:t>）供电</w:t>
            </w:r>
            <w:r>
              <w:rPr>
                <w:rFonts w:hint="eastAsia" w:ascii="Times New Roman" w:hAnsi="Times New Roman" w:cs="Times New Roman"/>
                <w:color w:val="000000" w:themeColor="text1"/>
                <w:sz w:val="24"/>
                <w:highlight w:val="none"/>
                <w:lang w:val="en-US" w:eastAsia="zh-CN"/>
                <w14:textFill>
                  <w14:solidFill>
                    <w14:schemeClr w14:val="tx1"/>
                  </w14:solidFill>
                </w14:textFill>
              </w:rPr>
              <w:t>系统</w:t>
            </w:r>
          </w:p>
          <w:p w14:paraId="39272F02">
            <w:pPr>
              <w:keepNext w:val="0"/>
              <w:keepLines w:val="0"/>
              <w:pageBreakBefore w:val="0"/>
              <w:widowControl w:val="0"/>
              <w:kinsoku/>
              <w:wordWrap/>
              <w:overflowPunct/>
              <w:topLinePunct w:val="0"/>
              <w:autoSpaceDE/>
              <w:autoSpaceDN/>
              <w:bidi w:val="0"/>
              <w:adjustRightInd w:val="0"/>
              <w:snapToGrid w:val="0"/>
              <w:spacing w:line="520" w:lineRule="exact"/>
              <w:ind w:left="0" w:firstLine="480" w:firstLineChars="200"/>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扩建</w:t>
            </w:r>
            <w:r>
              <w:rPr>
                <w:rFonts w:hint="default" w:ascii="Times New Roman" w:hAnsi="Times New Roman" w:cs="Times New Roman"/>
                <w:color w:val="000000" w:themeColor="text1"/>
                <w:sz w:val="24"/>
                <w:highlight w:val="none"/>
                <w14:textFill>
                  <w14:solidFill>
                    <w14:schemeClr w14:val="tx1"/>
                  </w14:solidFill>
                </w14:textFill>
              </w:rPr>
              <w:t>项目用电由</w:t>
            </w:r>
            <w:r>
              <w:rPr>
                <w:rFonts w:hint="default" w:ascii="Times New Roman" w:hAnsi="Times New Roman" w:cs="Times New Roman"/>
                <w:color w:val="000000" w:themeColor="text1"/>
                <w:sz w:val="24"/>
                <w:highlight w:val="none"/>
                <w:lang w:eastAsia="zh-CN"/>
                <w14:textFill>
                  <w14:solidFill>
                    <w14:schemeClr w14:val="tx1"/>
                  </w14:solidFill>
                </w14:textFill>
              </w:rPr>
              <w:t>渑池县</w:t>
            </w:r>
            <w:r>
              <w:rPr>
                <w:rFonts w:hint="default" w:ascii="Times New Roman" w:hAnsi="Times New Roman" w:cs="Times New Roman"/>
                <w:color w:val="000000" w:themeColor="text1"/>
                <w:sz w:val="24"/>
                <w:highlight w:val="none"/>
                <w14:textFill>
                  <w14:solidFill>
                    <w14:schemeClr w14:val="tx1"/>
                  </w14:solidFill>
                </w14:textFill>
              </w:rPr>
              <w:t>供</w:t>
            </w:r>
            <w:r>
              <w:rPr>
                <w:rFonts w:hint="default" w:ascii="Times New Roman" w:hAnsi="Times New Roman" w:cs="Times New Roman"/>
                <w:color w:val="000000" w:themeColor="text1"/>
                <w:sz w:val="24"/>
                <w:highlight w:val="none"/>
                <w:lang w:val="en-US" w:eastAsia="zh-CN"/>
                <w14:textFill>
                  <w14:solidFill>
                    <w14:schemeClr w14:val="tx1"/>
                  </w14:solidFill>
                </w14:textFill>
              </w:rPr>
              <w:t>电</w:t>
            </w:r>
            <w:r>
              <w:rPr>
                <w:rFonts w:hint="default" w:ascii="Times New Roman" w:hAnsi="Times New Roman" w:cs="Times New Roman"/>
                <w:color w:val="000000" w:themeColor="text1"/>
                <w:sz w:val="24"/>
                <w:highlight w:val="none"/>
                <w14:textFill>
                  <w14:solidFill>
                    <w14:schemeClr w14:val="tx1"/>
                  </w14:solidFill>
                </w14:textFill>
              </w:rPr>
              <w:t>系统提供，年用电</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346.61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万kw·h</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院内已从北侧韶州路及其他周边道路市电引来两路10kV专线电源，互为备用，可满足项目用电需求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。项目变电所与感染病房楼共用一个，位于感染</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病房楼地下一层。</w:t>
            </w:r>
          </w:p>
          <w:p w14:paraId="62AF42DD">
            <w:pPr>
              <w:keepNext w:val="0"/>
              <w:keepLines w:val="0"/>
              <w:pageBreakBefore w:val="0"/>
              <w:widowControl w:val="0"/>
              <w:numPr>
                <w:ilvl w:val="0"/>
                <w:numId w:val="3"/>
              </w:numPr>
              <w:kinsoku/>
              <w:wordWrap/>
              <w:overflowPunct/>
              <w:topLinePunct w:val="0"/>
              <w:autoSpaceDE/>
              <w:autoSpaceDN/>
              <w:bidi w:val="0"/>
              <w:adjustRightInd w:val="0"/>
              <w:snapToGrid w:val="0"/>
              <w:spacing w:line="520" w:lineRule="exact"/>
              <w:ind w:left="0" w:firstLine="480" w:firstLineChars="200"/>
              <w:textAlignment w:val="auto"/>
              <w:outlineLvl w:val="9"/>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消毒系统</w:t>
            </w:r>
          </w:p>
          <w:p w14:paraId="50F64E2A">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firstLine="480" w:firstLineChars="200"/>
              <w:textAlignment w:val="auto"/>
              <w:outlineLvl w:val="9"/>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每天对门诊区、住院部、化验室等进行消毒，尤其是传染病区域严格消毒，各建筑安装独立的通风系统和净化空调，空调系统新风送至医护通道，诊室等处于正压的地方，将排放设于患病通道等处于负压的地方，让新风从医生流向患者</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避免医患的交叉感染；层流洁净病房采用层流设备，重症监护室等采用循环风紫外线消毒器，</w:t>
            </w:r>
            <w:r>
              <w:rPr>
                <w:rFonts w:hint="eastAsia" w:ascii="Times New Roman" w:hAnsi="Times New Roman" w:cs="Times New Roman"/>
                <w:color w:val="000000" w:themeColor="text1"/>
                <w:sz w:val="24"/>
                <w:szCs w:val="24"/>
                <w:lang w:val="en-US" w:eastAsia="zh-CN"/>
                <w14:textFill>
                  <w14:solidFill>
                    <w14:schemeClr w14:val="tx1"/>
                  </w14:solidFill>
                </w14:textFill>
              </w:rPr>
              <w:t>门诊</w:t>
            </w:r>
            <w:r>
              <w:rPr>
                <w:rFonts w:hint="default" w:ascii="Times New Roman" w:hAnsi="Times New Roman" w:cs="Times New Roman"/>
                <w:color w:val="000000" w:themeColor="text1"/>
                <w:sz w:val="24"/>
                <w:szCs w:val="24"/>
                <w:lang w:val="en-US" w:eastAsia="zh-CN"/>
                <w14:textFill>
                  <w14:solidFill>
                    <w14:schemeClr w14:val="tx1"/>
                  </w14:solidFill>
                </w14:textFill>
              </w:rPr>
              <w:t>、住院楼等建筑的空调系统均设置空气消毒器，定期对消毒过滤器进行清洗，环境物体表面采用含氯消毒剂进行消毒；医院设立独立进出口，检验室设置可自动关闭的带锁的门，并配备高压灭菌区，门诊部、病房、化验室等送排放系统采用三级过滤消毒处理。</w:t>
            </w:r>
          </w:p>
          <w:p w14:paraId="1F32D2BB">
            <w:pPr>
              <w:keepNext w:val="0"/>
              <w:keepLines w:val="0"/>
              <w:pageBreakBefore w:val="0"/>
              <w:widowControl w:val="0"/>
              <w:kinsoku/>
              <w:wordWrap/>
              <w:overflowPunct/>
              <w:topLinePunct w:val="0"/>
              <w:autoSpaceDE/>
              <w:autoSpaceDN/>
              <w:bidi w:val="0"/>
              <w:adjustRightInd w:val="0"/>
              <w:snapToGrid w:val="0"/>
              <w:spacing w:line="520" w:lineRule="exact"/>
              <w:ind w:left="0" w:firstLine="480" w:firstLineChars="200"/>
              <w:textAlignment w:val="auto"/>
              <w:outlineLvl w:val="9"/>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（6）消防系统</w:t>
            </w:r>
          </w:p>
          <w:p w14:paraId="13776E26">
            <w:pPr>
              <w:keepNext w:val="0"/>
              <w:keepLines w:val="0"/>
              <w:pageBreakBefore w:val="0"/>
              <w:widowControl w:val="0"/>
              <w:kinsoku/>
              <w:wordWrap/>
              <w:overflowPunct/>
              <w:topLinePunct w:val="0"/>
              <w:autoSpaceDE/>
              <w:autoSpaceDN/>
              <w:bidi w:val="0"/>
              <w:adjustRightInd w:val="0"/>
              <w:snapToGrid w:val="0"/>
              <w:spacing w:line="520" w:lineRule="exact"/>
              <w:ind w:left="0" w:firstLine="480" w:firstLineChars="200"/>
              <w:textAlignment w:val="auto"/>
              <w:outlineLvl w:val="9"/>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根据《建筑设计防火规范》（GB50016-2014）（2018 年版）的有关规定，</w:t>
            </w:r>
            <w:r>
              <w:rPr>
                <w:rFonts w:hint="eastAsia" w:ascii="Times New Roman" w:hAnsi="Times New Roman" w:cs="Times New Roman"/>
                <w:color w:val="000000" w:themeColor="text1"/>
                <w:sz w:val="24"/>
                <w:highlight w:val="none"/>
                <w:lang w:val="en-US" w:eastAsia="zh-CN"/>
                <w14:textFill>
                  <w14:solidFill>
                    <w14:schemeClr w14:val="tx1"/>
                  </w14:solidFill>
                </w14:textFill>
              </w:rPr>
              <w:t>扩建项目</w:t>
            </w:r>
            <w:r>
              <w:rPr>
                <w:rFonts w:hint="default" w:ascii="Times New Roman" w:hAnsi="Times New Roman" w:cs="Times New Roman"/>
                <w:color w:val="000000" w:themeColor="text1"/>
                <w:sz w:val="24"/>
                <w:highlight w:val="none"/>
                <w:lang w:val="en-US" w:eastAsia="zh-CN"/>
                <w14:textFill>
                  <w14:solidFill>
                    <w14:schemeClr w14:val="tx1"/>
                  </w14:solidFill>
                </w14:textFill>
              </w:rPr>
              <w:t>建筑耐火等级拟设计为一级。项目区内有不小于4米宽的环形消防通道，可以到达各个建筑。项目区内设置相应的室外消火栓，满足消防水量和水压。根据规范</w:t>
            </w:r>
            <w:r>
              <w:rPr>
                <w:rFonts w:hint="eastAsia" w:ascii="Times New Roman" w:hAnsi="Times New Roman" w:cs="Times New Roman"/>
                <w:color w:val="000000" w:themeColor="text1"/>
                <w:sz w:val="24"/>
                <w:highlight w:val="none"/>
                <w:lang w:val="en-US" w:eastAsia="zh-CN"/>
                <w14:textFill>
                  <w14:solidFill>
                    <w14:schemeClr w14:val="tx1"/>
                  </w14:solidFill>
                </w14:textFill>
              </w:rPr>
              <w:t>要求</w:t>
            </w:r>
            <w:r>
              <w:rPr>
                <w:rFonts w:hint="default" w:ascii="Times New Roman" w:hAnsi="Times New Roman" w:cs="Times New Roman"/>
                <w:color w:val="000000" w:themeColor="text1"/>
                <w:sz w:val="24"/>
                <w:highlight w:val="none"/>
                <w:lang w:val="en-US" w:eastAsia="zh-CN"/>
                <w14:textFill>
                  <w14:solidFill>
                    <w14:schemeClr w14:val="tx1"/>
                  </w14:solidFill>
                </w14:textFill>
              </w:rPr>
              <w:t>，多层建筑地上建筑防火分区最大允许面积为2500</w:t>
            </w:r>
            <w:r>
              <w:rPr>
                <w:rFonts w:hint="eastAsia" w:ascii="Times New Roman" w:hAnsi="Times New Roman" w:cs="Times New Roman"/>
                <w:color w:val="000000" w:themeColor="text1"/>
                <w:sz w:val="24"/>
                <w:highlight w:val="none"/>
                <w:lang w:val="en-US" w:eastAsia="zh-CN"/>
                <w14:textFill>
                  <w14:solidFill>
                    <w14:schemeClr w14:val="tx1"/>
                  </w14:solidFill>
                </w14:textFill>
              </w:rPr>
              <w:t>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highlight w:val="none"/>
                <w:lang w:val="en-US" w:eastAsia="zh-CN"/>
                <w14:textFill>
                  <w14:solidFill>
                    <w14:schemeClr w14:val="tx1"/>
                  </w14:solidFill>
                </w14:textFill>
              </w:rPr>
              <w:t>，故</w:t>
            </w:r>
            <w:r>
              <w:rPr>
                <w:rFonts w:hint="eastAsia" w:ascii="Times New Roman" w:hAnsi="Times New Roman" w:cs="Times New Roman"/>
                <w:color w:val="000000" w:themeColor="text1"/>
                <w:sz w:val="24"/>
                <w:highlight w:val="none"/>
                <w:lang w:val="en-US" w:eastAsia="zh-CN"/>
                <w14:textFill>
                  <w14:solidFill>
                    <w14:schemeClr w14:val="tx1"/>
                  </w14:solidFill>
                </w14:textFill>
              </w:rPr>
              <w:t>扩建</w:t>
            </w:r>
            <w:r>
              <w:rPr>
                <w:rFonts w:hint="default" w:ascii="Times New Roman" w:hAnsi="Times New Roman" w:cs="Times New Roman"/>
                <w:color w:val="000000" w:themeColor="text1"/>
                <w:sz w:val="24"/>
                <w:highlight w:val="none"/>
                <w:lang w:val="en-US" w:eastAsia="zh-CN"/>
                <w14:textFill>
                  <w14:solidFill>
                    <w14:schemeClr w14:val="tx1"/>
                  </w14:solidFill>
                </w14:textFill>
              </w:rPr>
              <w:t>项目各楼层每层设计1个防火分区。</w:t>
            </w:r>
          </w:p>
          <w:p w14:paraId="4BA91450">
            <w:pPr>
              <w:keepNext w:val="0"/>
              <w:keepLines w:val="0"/>
              <w:pageBreakBefore w:val="0"/>
              <w:widowControl w:val="0"/>
              <w:kinsoku/>
              <w:wordWrap/>
              <w:overflowPunct/>
              <w:topLinePunct w:val="0"/>
              <w:autoSpaceDE/>
              <w:autoSpaceDN/>
              <w:bidi w:val="0"/>
              <w:adjustRightInd w:val="0"/>
              <w:snapToGrid w:val="0"/>
              <w:spacing w:line="520" w:lineRule="exact"/>
              <w:ind w:left="0" w:firstLine="480" w:firstLineChars="200"/>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（7）供氧系统</w:t>
            </w:r>
          </w:p>
          <w:p w14:paraId="21D535A3">
            <w:pPr>
              <w:keepNext w:val="0"/>
              <w:keepLines w:val="0"/>
              <w:pageBreakBefore w:val="0"/>
              <w:widowControl w:val="0"/>
              <w:kinsoku/>
              <w:wordWrap/>
              <w:overflowPunct/>
              <w:topLinePunct w:val="0"/>
              <w:autoSpaceDE/>
              <w:autoSpaceDN/>
              <w:bidi w:val="0"/>
              <w:adjustRightInd w:val="0"/>
              <w:snapToGrid w:val="0"/>
              <w:spacing w:line="520" w:lineRule="exact"/>
              <w:ind w:left="0" w:firstLine="480" w:firstLineChars="200"/>
              <w:textAlignment w:val="auto"/>
              <w:outlineLvl w:val="9"/>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扩建项目拟建设一座</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汇流排间，所需氧气</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依托现有工程制氧站供给。制氧站由供氧源、氧气输送管道、治疗带、终端设备以及其他附属设施组成，供氧区域为普通病房、手术室、ICU、NICU、抢救室、高压氧仓等医疗场所。</w:t>
            </w:r>
          </w:p>
          <w:p w14:paraId="58D8B6D6">
            <w:pPr>
              <w:adjustRightInd w:val="0"/>
              <w:snapToGrid w:val="0"/>
              <w:spacing w:line="520" w:lineRule="exac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10</w:t>
            </w:r>
            <w:r>
              <w:rPr>
                <w:rFonts w:hint="default" w:ascii="Times New Roman" w:hAnsi="Times New Roman" w:cs="Times New Roman"/>
                <w:b/>
                <w:color w:val="000000" w:themeColor="text1"/>
                <w:sz w:val="24"/>
                <w14:textFill>
                  <w14:solidFill>
                    <w14:schemeClr w14:val="tx1"/>
                  </w14:solidFill>
                </w14:textFill>
              </w:rPr>
              <w:t>、</w:t>
            </w:r>
            <w:r>
              <w:rPr>
                <w:rFonts w:hint="default" w:ascii="Times New Roman" w:hAnsi="Times New Roman" w:cs="Times New Roman"/>
                <w:b/>
                <w:color w:val="000000" w:themeColor="text1"/>
                <w:sz w:val="24"/>
                <w:lang w:val="en-US" w:eastAsia="zh-CN"/>
                <w14:textFill>
                  <w14:solidFill>
                    <w14:schemeClr w14:val="tx1"/>
                  </w14:solidFill>
                </w14:textFill>
              </w:rPr>
              <w:t>扩建</w:t>
            </w:r>
            <w:r>
              <w:rPr>
                <w:rFonts w:hint="default" w:ascii="Times New Roman" w:hAnsi="Times New Roman" w:cs="Times New Roman"/>
                <w:b/>
                <w:color w:val="000000" w:themeColor="text1"/>
                <w:sz w:val="24"/>
                <w14:textFill>
                  <w14:solidFill>
                    <w14:schemeClr w14:val="tx1"/>
                  </w14:solidFill>
                </w14:textFill>
              </w:rPr>
              <w:t>项目与</w:t>
            </w:r>
            <w:r>
              <w:rPr>
                <w:rFonts w:hint="eastAsia" w:ascii="Times New Roman" w:hAnsi="Times New Roman" w:cs="Times New Roman"/>
                <w:b/>
                <w:color w:val="000000" w:themeColor="text1"/>
                <w:sz w:val="24"/>
                <w:lang w:val="en-US" w:eastAsia="zh-CN"/>
                <w14:textFill>
                  <w14:solidFill>
                    <w14:schemeClr w14:val="tx1"/>
                  </w14:solidFill>
                </w14:textFill>
              </w:rPr>
              <w:t>在建</w:t>
            </w:r>
            <w:r>
              <w:rPr>
                <w:rFonts w:hint="default" w:ascii="Times New Roman" w:hAnsi="Times New Roman" w:cs="Times New Roman"/>
                <w:b/>
                <w:color w:val="000000" w:themeColor="text1"/>
                <w:sz w:val="24"/>
                <w14:textFill>
                  <w14:solidFill>
                    <w14:schemeClr w14:val="tx1"/>
                  </w14:solidFill>
                </w14:textFill>
              </w:rPr>
              <w:t>工程</w:t>
            </w:r>
            <w:r>
              <w:rPr>
                <w:rFonts w:hint="eastAsia" w:ascii="Times New Roman" w:hAnsi="Times New Roman" w:cs="Times New Roman"/>
                <w:b/>
                <w:color w:val="000000" w:themeColor="text1"/>
                <w:sz w:val="24"/>
                <w:lang w:val="en-US" w:eastAsia="zh-CN"/>
                <w14:textFill>
                  <w14:solidFill>
                    <w14:schemeClr w14:val="tx1"/>
                  </w14:solidFill>
                </w14:textFill>
              </w:rPr>
              <w:t>①</w:t>
            </w:r>
            <w:r>
              <w:rPr>
                <w:rFonts w:hint="default" w:ascii="Times New Roman" w:hAnsi="Times New Roman" w:cs="Times New Roman"/>
                <w:b/>
                <w:color w:val="000000" w:themeColor="text1"/>
                <w:sz w:val="24"/>
                <w14:textFill>
                  <w14:solidFill>
                    <w14:schemeClr w14:val="tx1"/>
                  </w14:solidFill>
                </w14:textFill>
              </w:rPr>
              <w:t>的依托关系及依托可行性</w:t>
            </w:r>
          </w:p>
          <w:p w14:paraId="5127DE28">
            <w:pPr>
              <w:adjustRightInd w:val="0"/>
              <w:snapToGrid w:val="0"/>
              <w:spacing w:line="520" w:lineRule="exact"/>
              <w:ind w:firstLine="480" w:firstLineChars="200"/>
              <w:rPr>
                <w:rFonts w:hint="eastAsia"/>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扩建</w:t>
            </w:r>
            <w:r>
              <w:rPr>
                <w:rFonts w:hint="eastAsia"/>
                <w:bCs/>
                <w:color w:val="000000" w:themeColor="text1"/>
                <w:sz w:val="24"/>
                <w14:textFill>
                  <w14:solidFill>
                    <w14:schemeClr w14:val="tx1"/>
                  </w14:solidFill>
                </w14:textFill>
              </w:rPr>
              <w:t>项目依托工程情况及依托可行性分析见下表。</w:t>
            </w:r>
          </w:p>
          <w:p w14:paraId="3A3D2E65">
            <w:pPr>
              <w:pStyle w:val="104"/>
              <w:numPr>
                <w:ilvl w:val="0"/>
                <w:numId w:val="1"/>
              </w:numPr>
              <w:spacing w:before="120" w:beforeLines="50"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扩建</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依托工程</w:t>
            </w:r>
            <w:r>
              <w:rPr>
                <w:rFonts w:hint="eastAsia"/>
                <w:color w:val="000000" w:themeColor="text1"/>
                <w14:textFill>
                  <w14:solidFill>
                    <w14:schemeClr w14:val="tx1"/>
                  </w14:solidFill>
                </w14:textFill>
              </w:rPr>
              <w:t>及依托可行性</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
            <w:tblGrid>
              <w:gridCol w:w="870"/>
              <w:gridCol w:w="693"/>
              <w:gridCol w:w="6948"/>
            </w:tblGrid>
            <w:tr w14:paraId="6D595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40" w:hRule="atLeast"/>
                <w:tblHeader/>
                <w:jc w:val="center"/>
              </w:trPr>
              <w:tc>
                <w:tcPr>
                  <w:tcW w:w="1563" w:type="dxa"/>
                  <w:gridSpan w:val="2"/>
                  <w:noWrap w:val="0"/>
                  <w:vAlign w:val="center"/>
                </w:tcPr>
                <w:p w14:paraId="456ED1EB">
                  <w:pPr>
                    <w:pStyle w:val="276"/>
                    <w:spacing w:line="240" w:lineRule="auto"/>
                    <w:ind w:left="-105" w:leftChars="-50" w:right="-105" w:rightChars="-50"/>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依托工程内容</w:t>
                  </w:r>
                </w:p>
              </w:tc>
              <w:tc>
                <w:tcPr>
                  <w:tcW w:w="6948" w:type="dxa"/>
                  <w:noWrap w:val="0"/>
                  <w:vAlign w:val="center"/>
                </w:tcPr>
                <w:p w14:paraId="50688922">
                  <w:pPr>
                    <w:pStyle w:val="276"/>
                    <w:spacing w:line="240" w:lineRule="auto"/>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依托工程可行性</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分析</w:t>
                  </w:r>
                </w:p>
              </w:tc>
            </w:tr>
            <w:tr w14:paraId="7D744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70" w:type="dxa"/>
                  <w:vMerge w:val="restart"/>
                  <w:noWrap w:val="0"/>
                  <w:vAlign w:val="center"/>
                </w:tcPr>
                <w:p w14:paraId="27D48B99">
                  <w:pPr>
                    <w:pStyle w:val="276"/>
                    <w:spacing w:line="240" w:lineRule="auto"/>
                    <w:ind w:left="-105" w:leftChars="-50" w:right="-105" w:rightChars="-50"/>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公辅工程</w:t>
                  </w:r>
                </w:p>
              </w:tc>
              <w:tc>
                <w:tcPr>
                  <w:tcW w:w="693" w:type="dxa"/>
                  <w:noWrap w:val="0"/>
                  <w:vAlign w:val="center"/>
                </w:tcPr>
                <w:p w14:paraId="1C70D0D9">
                  <w:pPr>
                    <w:widowControl/>
                    <w:ind w:left="-105" w:leftChars="-50" w:right="-105" w:rightChars="-50"/>
                    <w:jc w:val="center"/>
                    <w:rPr>
                      <w:rFonts w:hint="default" w:ascii="Times New Roman" w:hAnsi="Times New Roman" w:eastAsia="宋体" w:cs="Times New Roman"/>
                      <w:b w:val="0"/>
                      <w:bCs/>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u w:val="none"/>
                      <w:lang w:bidi="ar"/>
                      <w14:textFill>
                        <w14:solidFill>
                          <w14:schemeClr w14:val="tx1"/>
                        </w14:solidFill>
                      </w14:textFill>
                    </w:rPr>
                    <w:t>供水</w:t>
                  </w:r>
                </w:p>
              </w:tc>
              <w:tc>
                <w:tcPr>
                  <w:tcW w:w="6948" w:type="dxa"/>
                  <w:noWrap w:val="0"/>
                  <w:vAlign w:val="center"/>
                </w:tcPr>
                <w:p w14:paraId="63DE6BB8">
                  <w:pPr>
                    <w:pStyle w:val="276"/>
                    <w:spacing w:line="240" w:lineRule="auto"/>
                    <w:jc w:val="both"/>
                    <w:rPr>
                      <w:rFonts w:hint="default" w:ascii="Times New Roman" w:hAnsi="Times New Roman" w:eastAsia="宋体" w:cs="Times New Roman"/>
                      <w:b w:val="0"/>
                      <w:bCs/>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扩建</w:t>
                  </w:r>
                  <w:r>
                    <w:rPr>
                      <w:rFonts w:hint="default" w:ascii="Times New Roman" w:hAnsi="Times New Roman" w:eastAsia="宋体" w:cs="Times New Roman"/>
                      <w:b w:val="0"/>
                      <w:bCs/>
                      <w:color w:val="000000" w:themeColor="text1"/>
                      <w:sz w:val="21"/>
                      <w:szCs w:val="21"/>
                      <w:u w:val="none"/>
                      <w14:textFill>
                        <w14:solidFill>
                          <w14:schemeClr w14:val="tx1"/>
                        </w14:solidFill>
                      </w14:textFill>
                    </w:rPr>
                    <w:t>项目</w:t>
                  </w: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所在院内已</w:t>
                  </w:r>
                  <w:r>
                    <w:rPr>
                      <w:rFonts w:hint="default" w:ascii="Times New Roman" w:hAnsi="Times New Roman" w:eastAsia="宋体" w:cs="Times New Roman"/>
                      <w:b w:val="0"/>
                      <w:bCs/>
                      <w:color w:val="000000" w:themeColor="text1"/>
                      <w:sz w:val="21"/>
                      <w:szCs w:val="21"/>
                      <w:u w:val="none"/>
                      <w14:textFill>
                        <w14:solidFill>
                          <w14:schemeClr w14:val="tx1"/>
                        </w14:solidFill>
                      </w14:textFill>
                    </w:rPr>
                    <w:t>在</w:t>
                  </w: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周边</w:t>
                  </w:r>
                  <w:r>
                    <w:rPr>
                      <w:rFonts w:hint="default" w:ascii="Times New Roman" w:hAnsi="Times New Roman" w:eastAsia="宋体" w:cs="Times New Roman"/>
                      <w:b w:val="0"/>
                      <w:bCs/>
                      <w:color w:val="000000" w:themeColor="text1"/>
                      <w:sz w:val="21"/>
                      <w:szCs w:val="21"/>
                      <w:u w:val="none"/>
                      <w14:textFill>
                        <w14:solidFill>
                          <w14:schemeClr w14:val="tx1"/>
                        </w14:solidFill>
                      </w14:textFill>
                    </w:rPr>
                    <w:t>韶州路</w:t>
                  </w: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和规划路</w:t>
                  </w:r>
                  <w:r>
                    <w:rPr>
                      <w:rFonts w:hint="default" w:ascii="Times New Roman" w:hAnsi="Times New Roman" w:eastAsia="宋体" w:cs="Times New Roman"/>
                      <w:b w:val="0"/>
                      <w:bCs/>
                      <w:color w:val="000000" w:themeColor="text1"/>
                      <w:sz w:val="21"/>
                      <w:szCs w:val="21"/>
                      <w:u w:val="none"/>
                      <w14:textFill>
                        <w14:solidFill>
                          <w14:schemeClr w14:val="tx1"/>
                        </w14:solidFill>
                      </w14:textFill>
                    </w:rPr>
                    <w:t>上</w:t>
                  </w: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各引入一路给水管</w:t>
                  </w:r>
                  <w:r>
                    <w:rPr>
                      <w:rFonts w:hint="default" w:ascii="Times New Roman" w:hAnsi="Times New Roman" w:eastAsia="宋体" w:cs="Times New Roman"/>
                      <w:b w:val="0"/>
                      <w:bCs/>
                      <w:color w:val="000000" w:themeColor="text1"/>
                      <w:sz w:val="21"/>
                      <w:szCs w:val="21"/>
                      <w:u w:val="none"/>
                      <w14:textFill>
                        <w14:solidFill>
                          <w14:schemeClr w14:val="tx1"/>
                        </w14:solidFill>
                      </w14:textFill>
                    </w:rPr>
                    <w:t>，市政水压为0.3MPa，</w:t>
                  </w: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能</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保证项目用水需求</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在建工程①</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用水量</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38441.63</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u w:val="none"/>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/a，本项目预计用水量</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8843.95</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u w:val="none"/>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/a，本项目</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扩建完成</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后预计</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全院</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用水量</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47285.58</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u w:val="none"/>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/a（</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129.55</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u w:val="none"/>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/d），供水能力可满足需求。</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本项目依托院内原有感染病房楼空气源热泵制热</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提供</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热水</w:t>
                  </w: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，与原感染病房楼共用1套</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，可满足需求。因此，扩建项目供水系统</w:t>
                  </w:r>
                  <w:r>
                    <w:rPr>
                      <w:rFonts w:hint="default" w:ascii="Times New Roman" w:hAnsi="Times New Roman" w:eastAsia="宋体" w:cs="Times New Roman"/>
                      <w:b w:val="0"/>
                      <w:bCs/>
                      <w:color w:val="000000" w:themeColor="text1"/>
                      <w:sz w:val="21"/>
                      <w:szCs w:val="21"/>
                      <w:u w:val="none"/>
                      <w14:textFill>
                        <w14:solidFill>
                          <w14:schemeClr w14:val="tx1"/>
                        </w14:solidFill>
                      </w14:textFill>
                    </w:rPr>
                    <w:t>依托</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在建工程①</w:t>
                  </w:r>
                  <w:r>
                    <w:rPr>
                      <w:rFonts w:hint="default" w:ascii="Times New Roman" w:hAnsi="Times New Roman" w:eastAsia="宋体" w:cs="Times New Roman"/>
                      <w:b w:val="0"/>
                      <w:bCs/>
                      <w:color w:val="000000" w:themeColor="text1"/>
                      <w:sz w:val="21"/>
                      <w:szCs w:val="21"/>
                      <w:u w:val="none"/>
                      <w14:textFill>
                        <w14:solidFill>
                          <w14:schemeClr w14:val="tx1"/>
                        </w14:solidFill>
                      </w14:textFill>
                    </w:rPr>
                    <w:t>是可行的</w:t>
                  </w: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w:t>
                  </w:r>
                </w:p>
              </w:tc>
            </w:tr>
            <w:tr w14:paraId="0EAA0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70" w:type="dxa"/>
                  <w:vMerge w:val="continue"/>
                  <w:noWrap w:val="0"/>
                  <w:vAlign w:val="center"/>
                </w:tcPr>
                <w:p w14:paraId="02F24580">
                  <w:pPr>
                    <w:pStyle w:val="276"/>
                    <w:spacing w:line="240" w:lineRule="auto"/>
                    <w:ind w:left="-105" w:leftChars="-50" w:right="-105" w:rightChars="-50"/>
                    <w:rPr>
                      <w:rFonts w:hint="default" w:ascii="Times New Roman" w:hAnsi="Times New Roman" w:eastAsia="宋体" w:cs="Times New Roman"/>
                      <w:b w:val="0"/>
                      <w:bCs/>
                      <w:color w:val="000000" w:themeColor="text1"/>
                      <w:sz w:val="21"/>
                      <w:szCs w:val="21"/>
                      <w:u w:val="none"/>
                      <w14:textFill>
                        <w14:solidFill>
                          <w14:schemeClr w14:val="tx1"/>
                        </w14:solidFill>
                      </w14:textFill>
                    </w:rPr>
                  </w:pPr>
                </w:p>
              </w:tc>
              <w:tc>
                <w:tcPr>
                  <w:tcW w:w="693" w:type="dxa"/>
                  <w:noWrap w:val="0"/>
                  <w:vAlign w:val="center"/>
                </w:tcPr>
                <w:p w14:paraId="560E5E56">
                  <w:pPr>
                    <w:widowControl/>
                    <w:ind w:left="-105" w:leftChars="-50" w:right="-105" w:rightChars="-50"/>
                    <w:jc w:val="center"/>
                    <w:rPr>
                      <w:rFonts w:hint="default" w:ascii="Times New Roman" w:hAnsi="Times New Roman" w:eastAsia="宋体" w:cs="Times New Roman"/>
                      <w:b w:val="0"/>
                      <w:bCs/>
                      <w:color w:val="000000" w:themeColor="text1"/>
                      <w:kern w:val="0"/>
                      <w:sz w:val="21"/>
                      <w:szCs w:val="21"/>
                      <w:u w:val="none"/>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u w:val="none"/>
                      <w:lang w:bidi="ar"/>
                      <w14:textFill>
                        <w14:solidFill>
                          <w14:schemeClr w14:val="tx1"/>
                        </w14:solidFill>
                      </w14:textFill>
                    </w:rPr>
                    <w:t>排水</w:t>
                  </w:r>
                </w:p>
              </w:tc>
              <w:tc>
                <w:tcPr>
                  <w:tcW w:w="6948" w:type="dxa"/>
                  <w:noWrap w:val="0"/>
                  <w:vAlign w:val="center"/>
                </w:tcPr>
                <w:p w14:paraId="1EE13126">
                  <w:pPr>
                    <w:pStyle w:val="276"/>
                    <w:spacing w:line="240" w:lineRule="auto"/>
                    <w:jc w:val="both"/>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在建工程①院内</w:t>
                  </w:r>
                  <w:r>
                    <w:rPr>
                      <w:rFonts w:hint="default" w:ascii="Times New Roman" w:hAnsi="Times New Roman" w:eastAsia="宋体" w:cs="Times New Roman"/>
                      <w:b w:val="0"/>
                      <w:bCs/>
                      <w:color w:val="000000" w:themeColor="text1"/>
                      <w:sz w:val="21"/>
                      <w:szCs w:val="21"/>
                      <w:u w:val="none"/>
                      <w14:textFill>
                        <w14:solidFill>
                          <w14:schemeClr w14:val="tx1"/>
                        </w14:solidFill>
                      </w14:textFill>
                    </w:rPr>
                    <w:t>四周设置有雨水边沟，</w:t>
                  </w:r>
                  <w:r>
                    <w:rPr>
                      <w:rFonts w:hint="default" w:ascii="Times New Roman" w:hAnsi="Times New Roman" w:cs="Times New Roman"/>
                      <w:color w:val="000000" w:themeColor="text1"/>
                      <w:szCs w:val="21"/>
                      <w:highlight w:val="none"/>
                      <w14:textFill>
                        <w14:solidFill>
                          <w14:schemeClr w14:val="tx1"/>
                        </w14:solidFill>
                      </w14:textFill>
                    </w:rPr>
                    <w:t>雨水由雨水管</w:t>
                  </w:r>
                  <w:r>
                    <w:rPr>
                      <w:rFonts w:hint="default" w:ascii="Times New Roman" w:hAnsi="Times New Roman" w:cs="Times New Roman"/>
                      <w:color w:val="000000" w:themeColor="text1"/>
                      <w:szCs w:val="21"/>
                      <w:highlight w:val="none"/>
                      <w:lang w:val="en-US" w:eastAsia="zh-CN"/>
                      <w14:textFill>
                        <w14:solidFill>
                          <w14:schemeClr w14:val="tx1"/>
                        </w14:solidFill>
                      </w14:textFill>
                    </w:rPr>
                    <w:t>网排出厂外</w:t>
                  </w:r>
                  <w:r>
                    <w:rPr>
                      <w:rFonts w:hint="eastAsia" w:ascii="Times New Roman" w:hAnsi="Times New Roman" w:cs="Times New Roman"/>
                      <w:color w:val="000000" w:themeColor="text1"/>
                      <w:szCs w:val="21"/>
                      <w:highlight w:val="none"/>
                      <w:lang w:val="en-US" w:eastAsia="zh-CN"/>
                      <w14:textFill>
                        <w14:solidFill>
                          <w14:schemeClr w14:val="tx1"/>
                        </w14:solidFill>
                      </w14:textFill>
                    </w:rPr>
                    <w:t>；食堂废水经隔油池处理后与其他废水一起进入院内污水处理站，经处理后通过市政污水管进入渑池县第二污水处理厂进一步处理</w:t>
                  </w:r>
                  <w:r>
                    <w:rPr>
                      <w:rFonts w:hint="default" w:ascii="Times New Roman" w:hAnsi="Times New Roman" w:cs="Times New Roman"/>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u w:val="none"/>
                      <w14:textFill>
                        <w14:solidFill>
                          <w14:schemeClr w14:val="tx1"/>
                        </w14:solidFill>
                      </w14:textFill>
                    </w:rPr>
                    <w:t>本项目</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系</w:t>
                  </w:r>
                  <w:r>
                    <w:rPr>
                      <w:rFonts w:hint="default" w:ascii="Times New Roman" w:hAnsi="Times New Roman" w:eastAsia="宋体" w:cs="Times New Roman"/>
                      <w:b w:val="0"/>
                      <w:bCs/>
                      <w:color w:val="000000" w:themeColor="text1"/>
                      <w:sz w:val="21"/>
                      <w:szCs w:val="21"/>
                      <w:u w:val="none"/>
                      <w14:textFill>
                        <w14:solidFill>
                          <w14:schemeClr w14:val="tx1"/>
                        </w14:solidFill>
                      </w14:textFill>
                    </w:rPr>
                    <w:t>利用</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院内预留发展用地进行</w:t>
                  </w:r>
                  <w:r>
                    <w:rPr>
                      <w:rFonts w:hint="default" w:ascii="Times New Roman" w:hAnsi="Times New Roman" w:eastAsia="宋体" w:cs="Times New Roman"/>
                      <w:b w:val="0"/>
                      <w:bCs/>
                      <w:color w:val="000000" w:themeColor="text1"/>
                      <w:sz w:val="21"/>
                      <w:szCs w:val="21"/>
                      <w:u w:val="none"/>
                      <w14:textFill>
                        <w14:solidFill>
                          <w14:schemeClr w14:val="tx1"/>
                        </w14:solidFill>
                      </w14:textFill>
                    </w:rPr>
                    <w:t>建设，位于</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在建工程①</w:t>
                  </w:r>
                  <w:r>
                    <w:rPr>
                      <w:rFonts w:hint="default" w:ascii="Times New Roman" w:hAnsi="Times New Roman" w:eastAsia="宋体" w:cs="Times New Roman"/>
                      <w:b w:val="0"/>
                      <w:bCs/>
                      <w:color w:val="000000" w:themeColor="text1"/>
                      <w:sz w:val="21"/>
                      <w:szCs w:val="21"/>
                      <w:u w:val="none"/>
                      <w14:textFill>
                        <w14:solidFill>
                          <w14:schemeClr w14:val="tx1"/>
                        </w14:solidFill>
                      </w14:textFill>
                    </w:rPr>
                    <w:t>占地范围内，无新增占地</w:t>
                  </w:r>
                  <w:r>
                    <w:rPr>
                      <w:rFonts w:hint="eastAsia" w:ascii="Times New Roman" w:hAnsi="Times New Roman" w:eastAsia="宋体" w:cs="Times New Roman"/>
                      <w:b w:val="0"/>
                      <w:bCs/>
                      <w:color w:val="000000" w:themeColor="text1"/>
                      <w:sz w:val="21"/>
                      <w:szCs w:val="21"/>
                      <w:u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因此，扩建项目</w:t>
                  </w:r>
                  <w:r>
                    <w:rPr>
                      <w:rFonts w:hint="default" w:ascii="Times New Roman" w:hAnsi="Times New Roman" w:eastAsia="宋体" w:cs="Times New Roman"/>
                      <w:b w:val="0"/>
                      <w:bCs/>
                      <w:color w:val="000000" w:themeColor="text1"/>
                      <w:sz w:val="21"/>
                      <w:szCs w:val="21"/>
                      <w:u w:val="none"/>
                      <w14:textFill>
                        <w14:solidFill>
                          <w14:schemeClr w14:val="tx1"/>
                        </w14:solidFill>
                      </w14:textFill>
                    </w:rPr>
                    <w:t>依托</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在建工程①雨水管网和污水管网是</w:t>
                  </w:r>
                  <w:r>
                    <w:rPr>
                      <w:rFonts w:hint="default" w:ascii="Times New Roman" w:hAnsi="Times New Roman" w:eastAsia="宋体" w:cs="Times New Roman"/>
                      <w:b w:val="0"/>
                      <w:bCs/>
                      <w:color w:val="000000" w:themeColor="text1"/>
                      <w:sz w:val="21"/>
                      <w:szCs w:val="21"/>
                      <w:u w:val="none"/>
                      <w14:textFill>
                        <w14:solidFill>
                          <w14:schemeClr w14:val="tx1"/>
                        </w14:solidFill>
                      </w14:textFill>
                    </w:rPr>
                    <w:t>可行</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的</w:t>
                  </w:r>
                  <w:r>
                    <w:rPr>
                      <w:rFonts w:hint="default" w:ascii="Times New Roman" w:hAnsi="Times New Roman" w:eastAsia="宋体" w:cs="Times New Roman"/>
                      <w:b w:val="0"/>
                      <w:bCs/>
                      <w:color w:val="000000" w:themeColor="text1"/>
                      <w:sz w:val="21"/>
                      <w:szCs w:val="21"/>
                      <w:u w:val="none"/>
                      <w14:textFill>
                        <w14:solidFill>
                          <w14:schemeClr w14:val="tx1"/>
                        </w14:solidFill>
                      </w14:textFill>
                    </w:rPr>
                    <w:t>。</w:t>
                  </w:r>
                </w:p>
              </w:tc>
            </w:tr>
            <w:tr w14:paraId="61778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70" w:type="dxa"/>
                  <w:vMerge w:val="continue"/>
                  <w:noWrap w:val="0"/>
                  <w:vAlign w:val="center"/>
                </w:tcPr>
                <w:p w14:paraId="7563BD7E">
                  <w:pPr>
                    <w:pStyle w:val="276"/>
                    <w:spacing w:line="240" w:lineRule="auto"/>
                    <w:ind w:left="-105" w:leftChars="-50" w:right="-105" w:rightChars="-50"/>
                    <w:rPr>
                      <w:rFonts w:hint="default" w:ascii="Times New Roman" w:hAnsi="Times New Roman" w:eastAsia="宋体" w:cs="Times New Roman"/>
                      <w:b w:val="0"/>
                      <w:bCs/>
                      <w:color w:val="000000" w:themeColor="text1"/>
                      <w:sz w:val="21"/>
                      <w:szCs w:val="21"/>
                      <w:u w:val="none"/>
                      <w14:textFill>
                        <w14:solidFill>
                          <w14:schemeClr w14:val="tx1"/>
                        </w14:solidFill>
                      </w14:textFill>
                    </w:rPr>
                  </w:pPr>
                </w:p>
              </w:tc>
              <w:tc>
                <w:tcPr>
                  <w:tcW w:w="693" w:type="dxa"/>
                  <w:noWrap w:val="0"/>
                  <w:vAlign w:val="center"/>
                </w:tcPr>
                <w:p w14:paraId="69E262B9">
                  <w:pPr>
                    <w:widowControl/>
                    <w:ind w:left="-105" w:leftChars="-50" w:right="-105" w:rightChars="-50"/>
                    <w:jc w:val="center"/>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u w:val="none"/>
                      <w:lang w:bidi="ar"/>
                      <w14:textFill>
                        <w14:solidFill>
                          <w14:schemeClr w14:val="tx1"/>
                        </w14:solidFill>
                      </w14:textFill>
                    </w:rPr>
                    <w:t>供电</w:t>
                  </w:r>
                </w:p>
              </w:tc>
              <w:tc>
                <w:tcPr>
                  <w:tcW w:w="6948" w:type="dxa"/>
                  <w:noWrap w:val="0"/>
                  <w:vAlign w:val="center"/>
                </w:tcPr>
                <w:p w14:paraId="08076B80">
                  <w:pPr>
                    <w:pStyle w:val="276"/>
                    <w:spacing w:line="240" w:lineRule="auto"/>
                    <w:jc w:val="left"/>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由</w:t>
                  </w:r>
                  <w:r>
                    <w:rPr>
                      <w:rFonts w:hint="default" w:ascii="Times New Roman" w:hAnsi="Times New Roman" w:eastAsia="宋体" w:cs="Times New Roman"/>
                      <w:b w:val="0"/>
                      <w:bCs/>
                      <w:color w:val="000000" w:themeColor="text1"/>
                      <w:sz w:val="21"/>
                      <w:szCs w:val="21"/>
                      <w:u w:val="none"/>
                      <w:lang w:eastAsia="zh-CN"/>
                      <w14:textFill>
                        <w14:solidFill>
                          <w14:schemeClr w14:val="tx1"/>
                        </w14:solidFill>
                      </w14:textFill>
                    </w:rPr>
                    <w:t>渑池县</w:t>
                  </w:r>
                  <w:r>
                    <w:rPr>
                      <w:rFonts w:hint="default" w:ascii="Times New Roman" w:hAnsi="Times New Roman" w:eastAsia="宋体" w:cs="Times New Roman"/>
                      <w:b w:val="0"/>
                      <w:bCs/>
                      <w:color w:val="000000" w:themeColor="text1"/>
                      <w:sz w:val="21"/>
                      <w:szCs w:val="21"/>
                      <w:u w:val="none"/>
                      <w14:textFill>
                        <w14:solidFill>
                          <w14:schemeClr w14:val="tx1"/>
                        </w14:solidFill>
                      </w14:textFill>
                    </w:rPr>
                    <w:t>供</w:t>
                  </w: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电</w:t>
                  </w:r>
                  <w:r>
                    <w:rPr>
                      <w:rFonts w:hint="default" w:ascii="Times New Roman" w:hAnsi="Times New Roman" w:eastAsia="宋体" w:cs="Times New Roman"/>
                      <w:b w:val="0"/>
                      <w:bCs/>
                      <w:color w:val="000000" w:themeColor="text1"/>
                      <w:sz w:val="21"/>
                      <w:szCs w:val="21"/>
                      <w:u w:val="none"/>
                      <w14:textFill>
                        <w14:solidFill>
                          <w14:schemeClr w14:val="tx1"/>
                        </w14:solidFill>
                      </w14:textFill>
                    </w:rPr>
                    <w:t>系统提供，</w:t>
                  </w: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院内已从北侧韶州路及其他周边道路市电引来两路10kV专线电源，互为备用。项目变电所与感染病房楼共用一个，位于感染病房楼地下一层。</w:t>
                  </w:r>
                  <w:r>
                    <w:rPr>
                      <w:rFonts w:hint="eastAsia" w:ascii="Times New Roman" w:hAnsi="Times New Roman" w:eastAsia="宋体" w:cs="Times New Roman"/>
                      <w:b w:val="0"/>
                      <w:bCs/>
                      <w:color w:val="000000" w:themeColor="text1"/>
                      <w:sz w:val="21"/>
                      <w:szCs w:val="21"/>
                      <w:u w:val="none"/>
                      <w:lang w:eastAsia="zh-CN"/>
                      <w14:textFill>
                        <w14:solidFill>
                          <w14:schemeClr w14:val="tx1"/>
                        </w14:solidFill>
                      </w14:textFill>
                    </w:rPr>
                    <w:t>在建工程①</w:t>
                  </w:r>
                  <w:r>
                    <w:rPr>
                      <w:rFonts w:hint="default" w:ascii="Times New Roman" w:hAnsi="Times New Roman" w:eastAsia="宋体" w:cs="Times New Roman"/>
                      <w:b w:val="0"/>
                      <w:bCs/>
                      <w:color w:val="000000" w:themeColor="text1"/>
                      <w:sz w:val="21"/>
                      <w:szCs w:val="21"/>
                      <w:u w:val="none"/>
                      <w14:textFill>
                        <w14:solidFill>
                          <w14:schemeClr w14:val="tx1"/>
                        </w14:solidFill>
                      </w14:textFill>
                    </w:rPr>
                    <w:t>耗电量为</w:t>
                  </w: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331.7</w:t>
                  </w:r>
                  <w:r>
                    <w:rPr>
                      <w:rFonts w:hint="default" w:ascii="Times New Roman" w:hAnsi="Times New Roman" w:eastAsia="宋体" w:cs="Times New Roman"/>
                      <w:b w:val="0"/>
                      <w:bCs/>
                      <w:color w:val="000000" w:themeColor="text1"/>
                      <w:sz w:val="21"/>
                      <w:szCs w:val="21"/>
                      <w:u w:val="none"/>
                      <w14:textFill>
                        <w14:solidFill>
                          <w14:schemeClr w14:val="tx1"/>
                        </w14:solidFill>
                      </w14:textFill>
                    </w:rPr>
                    <w:t>万(kw·h)/a，本项目预计用电量</w:t>
                  </w: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346.61</w:t>
                  </w:r>
                  <w:r>
                    <w:rPr>
                      <w:rFonts w:hint="default" w:ascii="Times New Roman" w:hAnsi="Times New Roman" w:eastAsia="宋体" w:cs="Times New Roman"/>
                      <w:b w:val="0"/>
                      <w:bCs/>
                      <w:color w:val="000000" w:themeColor="text1"/>
                      <w:sz w:val="21"/>
                      <w:szCs w:val="21"/>
                      <w:u w:val="none"/>
                      <w14:textFill>
                        <w14:solidFill>
                          <w14:schemeClr w14:val="tx1"/>
                        </w14:solidFill>
                      </w14:textFill>
                    </w:rPr>
                    <w:t>万(kw·h)/a，供电情况可满足本项目建设用电需求</w:t>
                  </w:r>
                  <w:r>
                    <w:rPr>
                      <w:rFonts w:hint="eastAsia" w:ascii="Times New Roman" w:hAnsi="Times New Roman" w:eastAsia="宋体" w:cs="Times New Roman"/>
                      <w:b w:val="0"/>
                      <w:bCs/>
                      <w:color w:val="000000" w:themeColor="text1"/>
                      <w:sz w:val="21"/>
                      <w:szCs w:val="21"/>
                      <w:u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因此，扩建项目</w:t>
                  </w:r>
                  <w:r>
                    <w:rPr>
                      <w:rFonts w:hint="default" w:ascii="Times New Roman" w:hAnsi="Times New Roman" w:eastAsia="宋体" w:cs="Times New Roman"/>
                      <w:b w:val="0"/>
                      <w:bCs/>
                      <w:color w:val="000000" w:themeColor="text1"/>
                      <w:sz w:val="21"/>
                      <w:szCs w:val="21"/>
                      <w:u w:val="none"/>
                      <w14:textFill>
                        <w14:solidFill>
                          <w14:schemeClr w14:val="tx1"/>
                        </w14:solidFill>
                      </w14:textFill>
                    </w:rPr>
                    <w:t>依托</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在建工程①供电系统</w:t>
                  </w:r>
                  <w:r>
                    <w:rPr>
                      <w:rFonts w:hint="default" w:ascii="Times New Roman" w:hAnsi="Times New Roman" w:eastAsia="宋体" w:cs="Times New Roman"/>
                      <w:b w:val="0"/>
                      <w:bCs/>
                      <w:color w:val="000000" w:themeColor="text1"/>
                      <w:sz w:val="21"/>
                      <w:szCs w:val="21"/>
                      <w:u w:val="none"/>
                      <w14:textFill>
                        <w14:solidFill>
                          <w14:schemeClr w14:val="tx1"/>
                        </w14:solidFill>
                      </w14:textFill>
                    </w:rPr>
                    <w:t>是可行的。</w:t>
                  </w:r>
                </w:p>
              </w:tc>
            </w:tr>
            <w:tr w14:paraId="7BDB67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70" w:type="dxa"/>
                  <w:vMerge w:val="continue"/>
                  <w:noWrap w:val="0"/>
                  <w:vAlign w:val="center"/>
                </w:tcPr>
                <w:p w14:paraId="4C370947">
                  <w:pPr>
                    <w:pStyle w:val="276"/>
                    <w:spacing w:line="240" w:lineRule="auto"/>
                    <w:ind w:left="-105" w:leftChars="-50" w:right="-105" w:rightChars="-50"/>
                    <w:rPr>
                      <w:rFonts w:hint="default" w:ascii="Times New Roman" w:hAnsi="Times New Roman" w:eastAsia="宋体" w:cs="Times New Roman"/>
                      <w:b w:val="0"/>
                      <w:bCs/>
                      <w:color w:val="000000" w:themeColor="text1"/>
                      <w:sz w:val="21"/>
                      <w:szCs w:val="21"/>
                      <w:u w:val="none"/>
                      <w14:textFill>
                        <w14:solidFill>
                          <w14:schemeClr w14:val="tx1"/>
                        </w14:solidFill>
                      </w14:textFill>
                    </w:rPr>
                  </w:pPr>
                </w:p>
              </w:tc>
              <w:tc>
                <w:tcPr>
                  <w:tcW w:w="693" w:type="dxa"/>
                  <w:noWrap w:val="0"/>
                  <w:vAlign w:val="center"/>
                </w:tcPr>
                <w:p w14:paraId="0E22A49B">
                  <w:pPr>
                    <w:widowControl/>
                    <w:ind w:left="-105" w:leftChars="-50" w:right="-105" w:rightChars="-50"/>
                    <w:jc w:val="center"/>
                    <w:rPr>
                      <w:rFonts w:hint="eastAsia" w:ascii="Times New Roman" w:hAnsi="Times New Roman" w:eastAsia="宋体" w:cs="Times New Roman"/>
                      <w:b w:val="0"/>
                      <w:bCs/>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color w:val="000000" w:themeColor="text1"/>
                      <w:kern w:val="0"/>
                      <w:sz w:val="21"/>
                      <w:szCs w:val="21"/>
                      <w:u w:val="none"/>
                      <w:lang w:val="en-US" w:eastAsia="zh-CN" w:bidi="ar"/>
                      <w14:textFill>
                        <w14:solidFill>
                          <w14:schemeClr w14:val="tx1"/>
                        </w14:solidFill>
                      </w14:textFill>
                    </w:rPr>
                    <w:t>供氧</w:t>
                  </w:r>
                </w:p>
              </w:tc>
              <w:tc>
                <w:tcPr>
                  <w:tcW w:w="6948" w:type="dxa"/>
                  <w:noWrap w:val="0"/>
                  <w:vAlign w:val="center"/>
                </w:tcPr>
                <w:p w14:paraId="66390676">
                  <w:pPr>
                    <w:pStyle w:val="276"/>
                    <w:spacing w:line="240" w:lineRule="auto"/>
                    <w:jc w:val="left"/>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扩建项目拟建设一座汇流排间，所需氧气依托</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在建工程①</w:t>
                  </w: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制氧站供给</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，可满足需求，</w:t>
                  </w:r>
                  <w:r>
                    <w:rPr>
                      <w:rFonts w:hint="default" w:ascii="Times New Roman" w:hAnsi="Times New Roman" w:eastAsia="宋体" w:cs="Times New Roman"/>
                      <w:b w:val="0"/>
                      <w:bCs/>
                      <w:color w:val="000000" w:themeColor="text1"/>
                      <w:sz w:val="21"/>
                      <w:szCs w:val="21"/>
                      <w:u w:val="none"/>
                      <w14:textFill>
                        <w14:solidFill>
                          <w14:schemeClr w14:val="tx1"/>
                        </w14:solidFill>
                      </w14:textFill>
                    </w:rPr>
                    <w:t>依托</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在建工程①</w:t>
                  </w:r>
                  <w:r>
                    <w:rPr>
                      <w:rFonts w:hint="default" w:ascii="Times New Roman" w:hAnsi="Times New Roman" w:eastAsia="宋体" w:cs="Times New Roman"/>
                      <w:b w:val="0"/>
                      <w:bCs/>
                      <w:color w:val="000000" w:themeColor="text1"/>
                      <w:sz w:val="21"/>
                      <w:szCs w:val="21"/>
                      <w:u w:val="none"/>
                      <w14:textFill>
                        <w14:solidFill>
                          <w14:schemeClr w14:val="tx1"/>
                        </w14:solidFill>
                      </w14:textFill>
                    </w:rPr>
                    <w:t>是可行的</w:t>
                  </w: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w:t>
                  </w:r>
                </w:p>
              </w:tc>
            </w:tr>
            <w:tr w14:paraId="585BB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70" w:type="dxa"/>
                  <w:vMerge w:val="restart"/>
                  <w:noWrap w:val="0"/>
                  <w:vAlign w:val="center"/>
                </w:tcPr>
                <w:p w14:paraId="61EA3A2A">
                  <w:pPr>
                    <w:pStyle w:val="276"/>
                    <w:spacing w:line="240" w:lineRule="auto"/>
                    <w:ind w:left="-105" w:leftChars="-50" w:right="-105" w:rightChars="-50"/>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环保工程</w:t>
                  </w:r>
                </w:p>
              </w:tc>
              <w:tc>
                <w:tcPr>
                  <w:tcW w:w="693" w:type="dxa"/>
                  <w:noWrap w:val="0"/>
                  <w:vAlign w:val="center"/>
                </w:tcPr>
                <w:p w14:paraId="0FD694FB">
                  <w:pPr>
                    <w:widowControl/>
                    <w:ind w:left="-105" w:leftChars="-50" w:right="-105" w:rightChars="-50"/>
                    <w:jc w:val="center"/>
                    <w:rPr>
                      <w:rFonts w:hint="default" w:ascii="Times New Roman" w:hAnsi="Times New Roman" w:eastAsia="宋体" w:cs="Times New Roman"/>
                      <w:b w:val="0"/>
                      <w:bCs/>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val="en-US" w:eastAsia="zh-CN" w:bidi="ar"/>
                      <w14:textFill>
                        <w14:solidFill>
                          <w14:schemeClr w14:val="tx1"/>
                        </w14:solidFill>
                      </w14:textFill>
                    </w:rPr>
                    <w:t>废气</w:t>
                  </w:r>
                </w:p>
                <w:p w14:paraId="74FDF509">
                  <w:pPr>
                    <w:widowControl/>
                    <w:ind w:left="-105" w:leftChars="-50" w:right="-105" w:rightChars="-50"/>
                    <w:jc w:val="center"/>
                    <w:rPr>
                      <w:rFonts w:hint="default" w:ascii="Times New Roman" w:hAnsi="Times New Roman" w:eastAsia="宋体" w:cs="Times New Roman"/>
                      <w:b w:val="0"/>
                      <w:bCs/>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u w:val="none"/>
                      <w:lang w:val="en-US" w:eastAsia="zh-CN" w:bidi="ar"/>
                      <w14:textFill>
                        <w14:solidFill>
                          <w14:schemeClr w14:val="tx1"/>
                        </w14:solidFill>
                      </w14:textFill>
                    </w:rPr>
                    <w:t>处理</w:t>
                  </w:r>
                </w:p>
              </w:tc>
              <w:tc>
                <w:tcPr>
                  <w:tcW w:w="6948" w:type="dxa"/>
                  <w:noWrap w:val="0"/>
                  <w:vAlign w:val="center"/>
                </w:tcPr>
                <w:p w14:paraId="4C009C01">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扩建项目依托在建工程①污水处理站并进行扩建对废水进行处理，</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污水处理站恶臭气体收集后经活性炭吸附处理后引至感染病楼房顶（20m）排放（DA001）；食堂油烟经油烟净化器处理后由8m高烟囱排放（DA002）</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，满足处理要求</w:t>
                  </w:r>
                  <w:r>
                    <w:rPr>
                      <w:rFonts w:hint="eastAsia"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因此，扩建项目</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依托</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在建工程①废气处理工程</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是可行的</w:t>
                  </w:r>
                  <w:r>
                    <w:rPr>
                      <w:rFonts w:hint="eastAsia"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w:t>
                  </w:r>
                </w:p>
              </w:tc>
            </w:tr>
            <w:tr w14:paraId="2C97C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70" w:type="dxa"/>
                  <w:vMerge w:val="continue"/>
                  <w:noWrap w:val="0"/>
                  <w:vAlign w:val="center"/>
                </w:tcPr>
                <w:p w14:paraId="41652AE4">
                  <w:pPr>
                    <w:pStyle w:val="276"/>
                    <w:spacing w:line="240" w:lineRule="auto"/>
                    <w:ind w:left="-105" w:leftChars="-50" w:right="-105" w:rightChars="-50"/>
                    <w:rPr>
                      <w:rFonts w:hint="default" w:ascii="Times New Roman" w:hAnsi="Times New Roman" w:eastAsia="宋体" w:cs="Times New Roman"/>
                      <w:b w:val="0"/>
                      <w:bCs/>
                      <w:color w:val="000000" w:themeColor="text1"/>
                      <w:sz w:val="21"/>
                      <w:szCs w:val="21"/>
                      <w:u w:val="none"/>
                      <w14:textFill>
                        <w14:solidFill>
                          <w14:schemeClr w14:val="tx1"/>
                        </w14:solidFill>
                      </w14:textFill>
                    </w:rPr>
                  </w:pPr>
                </w:p>
              </w:tc>
              <w:tc>
                <w:tcPr>
                  <w:tcW w:w="693" w:type="dxa"/>
                  <w:noWrap w:val="0"/>
                  <w:vAlign w:val="center"/>
                </w:tcPr>
                <w:p w14:paraId="3D17F990">
                  <w:pPr>
                    <w:jc w:val="center"/>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u w:val="none"/>
                      <w14:textFill>
                        <w14:solidFill>
                          <w14:schemeClr w14:val="tx1"/>
                        </w14:solidFill>
                      </w14:textFill>
                    </w:rPr>
                    <w:t>废水</w:t>
                  </w:r>
                </w:p>
                <w:p w14:paraId="6FF36CF6">
                  <w:pPr>
                    <w:spacing w:line="360" w:lineRule="exact"/>
                    <w:jc w:val="cente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none"/>
                      <w:lang w:val="en-US" w:eastAsia="zh-CN"/>
                      <w14:textFill>
                        <w14:solidFill>
                          <w14:schemeClr w14:val="tx1"/>
                        </w14:solidFill>
                      </w14:textFill>
                    </w:rPr>
                    <w:t>处理</w:t>
                  </w:r>
                </w:p>
              </w:tc>
              <w:tc>
                <w:tcPr>
                  <w:tcW w:w="6948" w:type="dxa"/>
                  <w:noWrap w:val="0"/>
                  <w:vAlign w:val="center"/>
                </w:tcPr>
                <w:p w14:paraId="54733A73">
                  <w:pPr>
                    <w:pStyle w:val="276"/>
                    <w:spacing w:line="240" w:lineRule="auto"/>
                    <w:jc w:val="left"/>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扩建项目依托在建工程①</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100</w:t>
                  </w:r>
                  <w:r>
                    <w:rPr>
                      <w:rFonts w:hint="default" w:ascii="Times New Roman" w:hAnsi="Times New Roman" w:eastAsia="宋体" w:cs="Times New Roman"/>
                      <w:b w:val="0"/>
                      <w:bCs/>
                      <w:color w:val="000000" w:themeColor="text1"/>
                      <w:sz w:val="21"/>
                      <w:szCs w:val="21"/>
                      <w:u w:val="none"/>
                      <w14:textFill>
                        <w14:solidFill>
                          <w14:schemeClr w14:val="tx1"/>
                        </w14:solidFill>
                      </w14:textFill>
                    </w:rPr>
                    <w:t>m</w:t>
                  </w:r>
                  <w:r>
                    <w:rPr>
                      <w:rFonts w:hint="default" w:ascii="Times New Roman" w:hAnsi="Times New Roman" w:eastAsia="宋体" w:cs="Times New Roman"/>
                      <w:b w:val="0"/>
                      <w:bCs/>
                      <w:color w:val="000000" w:themeColor="text1"/>
                      <w:sz w:val="21"/>
                      <w:szCs w:val="21"/>
                      <w:u w:val="none"/>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u w:val="none"/>
                      <w14:textFill>
                        <w14:solidFill>
                          <w14:schemeClr w14:val="tx1"/>
                        </w14:solidFill>
                      </w14:textFill>
                    </w:rPr>
                    <w:t>/d</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污水处理站并扩建至</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160</w:t>
                  </w:r>
                  <w:r>
                    <w:rPr>
                      <w:rFonts w:hint="default" w:ascii="Times New Roman" w:hAnsi="Times New Roman" w:eastAsia="宋体" w:cs="Times New Roman"/>
                      <w:b w:val="0"/>
                      <w:bCs/>
                      <w:color w:val="000000" w:themeColor="text1"/>
                      <w:sz w:val="21"/>
                      <w:szCs w:val="21"/>
                      <w:u w:val="none"/>
                      <w14:textFill>
                        <w14:solidFill>
                          <w14:schemeClr w14:val="tx1"/>
                        </w14:solidFill>
                      </w14:textFill>
                    </w:rPr>
                    <w:t>m</w:t>
                  </w:r>
                  <w:r>
                    <w:rPr>
                      <w:rFonts w:hint="default" w:ascii="Times New Roman" w:hAnsi="Times New Roman" w:eastAsia="宋体" w:cs="Times New Roman"/>
                      <w:b w:val="0"/>
                      <w:bCs/>
                      <w:color w:val="000000" w:themeColor="text1"/>
                      <w:sz w:val="21"/>
                      <w:szCs w:val="21"/>
                      <w:u w:val="none"/>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u w:val="none"/>
                      <w14:textFill>
                        <w14:solidFill>
                          <w14:schemeClr w14:val="tx1"/>
                        </w14:solidFill>
                      </w14:textFill>
                    </w:rPr>
                    <w:t>/d</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对废水进行处理</w:t>
                  </w:r>
                  <w:r>
                    <w:rPr>
                      <w:rFonts w:hint="default" w:ascii="Times New Roman" w:hAnsi="Times New Roman" w:eastAsia="宋体" w:cs="Times New Roman"/>
                      <w:b w:val="0"/>
                      <w:bCs/>
                      <w:color w:val="000000" w:themeColor="text1"/>
                      <w:sz w:val="21"/>
                      <w:szCs w:val="21"/>
                      <w:u w:val="none"/>
                      <w14:textFill>
                        <w14:solidFill>
                          <w14:schemeClr w14:val="tx1"/>
                        </w14:solidFill>
                      </w14:textFill>
                    </w:rPr>
                    <w:t>，</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院内</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废水</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全部</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进入院内污水处理站，经</w:t>
                  </w:r>
                  <w:r>
                    <w:rPr>
                      <w:rFonts w:hint="eastAsia" w:ascii="宋体" w:hAnsi="宋体" w:eastAsia="宋体" w:cs="宋体"/>
                      <w:b w:val="0"/>
                      <w:bCs/>
                      <w:color w:val="000000" w:themeColor="text1"/>
                      <w:sz w:val="21"/>
                      <w:szCs w:val="21"/>
                      <w:highlight w:val="none"/>
                      <w:u w:val="none"/>
                      <w:lang w:val="en-US" w:eastAsia="zh-CN"/>
                      <w14:textFill>
                        <w14:solidFill>
                          <w14:schemeClr w14:val="tx1"/>
                        </w14:solidFill>
                      </w14:textFill>
                    </w:rPr>
                    <w:t>“预消毒</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+AO生物接触氧化法+消毒工艺</w:t>
                  </w:r>
                  <w:r>
                    <w:rPr>
                      <w:rFonts w:hint="eastAsia" w:ascii="宋体" w:hAnsi="宋体" w:eastAsia="宋体" w:cs="宋体"/>
                      <w:b w:val="0"/>
                      <w:bCs/>
                      <w:color w:val="000000" w:themeColor="text1"/>
                      <w:sz w:val="21"/>
                      <w:szCs w:val="21"/>
                      <w:highlight w:val="none"/>
                      <w:u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处理后通过总排口（DW001）由市政污水管网进入渑池县第二污水处理厂进一步处理</w:t>
                  </w:r>
                  <w:r>
                    <w:rPr>
                      <w:rFonts w:hint="default" w:ascii="Times New Roman" w:hAnsi="Times New Roman" w:eastAsia="宋体" w:cs="Times New Roman"/>
                      <w:b w:val="0"/>
                      <w:bCs/>
                      <w:color w:val="000000" w:themeColor="text1"/>
                      <w:sz w:val="21"/>
                      <w:szCs w:val="21"/>
                      <w:u w:val="none"/>
                      <w14:textFill>
                        <w14:solidFill>
                          <w14:schemeClr w14:val="tx1"/>
                        </w14:solidFill>
                      </w14:textFill>
                    </w:rPr>
                    <w:t>。</w:t>
                  </w:r>
                  <w:r>
                    <w:rPr>
                      <w:rFonts w:hint="eastAsia" w:ascii="Times New Roman" w:hAnsi="Times New Roman" w:eastAsia="宋体" w:cs="Times New Roman"/>
                      <w:b w:val="0"/>
                      <w:bCs/>
                      <w:color w:val="000000" w:themeColor="text1"/>
                      <w:sz w:val="21"/>
                      <w:szCs w:val="21"/>
                      <w:u w:val="none"/>
                      <w:lang w:eastAsia="zh-CN"/>
                      <w14:textFill>
                        <w14:solidFill>
                          <w14:schemeClr w14:val="tx1"/>
                        </w14:solidFill>
                      </w14:textFill>
                    </w:rPr>
                    <w:t>在建工程①</w:t>
                  </w:r>
                  <w:r>
                    <w:rPr>
                      <w:rFonts w:hint="default" w:ascii="Times New Roman" w:hAnsi="Times New Roman" w:eastAsia="宋体" w:cs="Times New Roman"/>
                      <w:b w:val="0"/>
                      <w:bCs/>
                      <w:color w:val="000000" w:themeColor="text1"/>
                      <w:sz w:val="21"/>
                      <w:szCs w:val="21"/>
                      <w:u w:val="none"/>
                      <w14:textFill>
                        <w14:solidFill>
                          <w14:schemeClr w14:val="tx1"/>
                        </w14:solidFill>
                      </w14:textFill>
                    </w:rPr>
                    <w:t>废水产生量</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约72.5</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3</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u w:val="none"/>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/d，</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扩建</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项目废水产生量</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19.494</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u w:val="none"/>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/d，</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扩建</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项目建成后，全</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院</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废水产生量</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合计</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92.029</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u w:val="none"/>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/d，</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扩建</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污水处理站可以满足处理需求</w:t>
                  </w:r>
                  <w:r>
                    <w:rPr>
                      <w:rFonts w:hint="eastAsia"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因此，扩建项目</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依托</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在建</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工程①废水处理工程</w:t>
                  </w:r>
                  <w:r>
                    <w:rPr>
                      <w:rFonts w:hint="eastAsia" w:ascii="Times New Roman" w:hAnsi="Times New Roman" w:cs="Times New Roman"/>
                      <w:b w:val="0"/>
                      <w:bCs/>
                      <w:color w:val="000000" w:themeColor="text1"/>
                      <w:sz w:val="21"/>
                      <w:szCs w:val="21"/>
                      <w:u w:val="none"/>
                      <w:lang w:val="en-US" w:eastAsia="zh-CN"/>
                      <w14:textFill>
                        <w14:solidFill>
                          <w14:schemeClr w14:val="tx1"/>
                        </w14:solidFill>
                      </w14:textFill>
                    </w:rPr>
                    <w:t>并进行扩建</w:t>
                  </w:r>
                  <w:r>
                    <w:rPr>
                      <w:rFonts w:hint="default" w:ascii="Times New Roman" w:hAnsi="Times New Roman" w:eastAsia="宋体" w:cs="Times New Roman"/>
                      <w:b w:val="0"/>
                      <w:bCs/>
                      <w:color w:val="000000" w:themeColor="text1"/>
                      <w:sz w:val="21"/>
                      <w:szCs w:val="21"/>
                      <w:u w:val="none"/>
                      <w14:textFill>
                        <w14:solidFill>
                          <w14:schemeClr w14:val="tx1"/>
                        </w14:solidFill>
                      </w14:textFill>
                    </w:rPr>
                    <w:t>是可行的。</w:t>
                  </w:r>
                </w:p>
              </w:tc>
            </w:tr>
            <w:tr w14:paraId="78CDD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40" w:hRule="atLeast"/>
                <w:jc w:val="center"/>
              </w:trPr>
              <w:tc>
                <w:tcPr>
                  <w:tcW w:w="870" w:type="dxa"/>
                  <w:vMerge w:val="continue"/>
                  <w:noWrap w:val="0"/>
                  <w:vAlign w:val="center"/>
                </w:tcPr>
                <w:p w14:paraId="1002EBC2">
                  <w:pPr>
                    <w:pStyle w:val="276"/>
                    <w:spacing w:line="240" w:lineRule="auto"/>
                    <w:ind w:left="-105" w:leftChars="-50" w:right="-105" w:rightChars="-50"/>
                    <w:rPr>
                      <w:rFonts w:hint="default" w:ascii="Times New Roman" w:hAnsi="Times New Roman" w:eastAsia="宋体" w:cs="Times New Roman"/>
                      <w:b w:val="0"/>
                      <w:bCs/>
                      <w:color w:val="000000" w:themeColor="text1"/>
                      <w:sz w:val="21"/>
                      <w:szCs w:val="21"/>
                      <w:u w:val="none"/>
                      <w14:textFill>
                        <w14:solidFill>
                          <w14:schemeClr w14:val="tx1"/>
                        </w14:solidFill>
                      </w14:textFill>
                    </w:rPr>
                  </w:pPr>
                </w:p>
              </w:tc>
              <w:tc>
                <w:tcPr>
                  <w:tcW w:w="693" w:type="dxa"/>
                  <w:noWrap w:val="0"/>
                  <w:vAlign w:val="center"/>
                </w:tcPr>
                <w:p w14:paraId="77DFAA6E">
                  <w:pPr>
                    <w:spacing w:line="360" w:lineRule="exact"/>
                    <w:jc w:val="cente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固废</w:t>
                  </w:r>
                </w:p>
                <w:p w14:paraId="60545ADA">
                  <w:pPr>
                    <w:spacing w:line="360" w:lineRule="exact"/>
                    <w:jc w:val="center"/>
                    <w:rPr>
                      <w:rFonts w:hint="default" w:ascii="Times New Roman" w:hAnsi="Times New Roman" w:eastAsia="宋体" w:cs="Times New Roman"/>
                      <w:b w:val="0"/>
                      <w:bCs/>
                      <w:color w:val="000000" w:themeColor="text1"/>
                      <w:sz w:val="21"/>
                      <w:szCs w:val="21"/>
                      <w:u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处置</w:t>
                  </w:r>
                </w:p>
              </w:tc>
              <w:tc>
                <w:tcPr>
                  <w:tcW w:w="6948" w:type="dxa"/>
                  <w:noWrap w:val="0"/>
                  <w:vAlign w:val="center"/>
                </w:tcPr>
                <w:p w14:paraId="6C9EB66A">
                  <w:pPr>
                    <w:keepNext w:val="0"/>
                    <w:keepLines w:val="0"/>
                    <w:pageBreakBefore w:val="0"/>
                    <w:widowControl w:val="0"/>
                    <w:kinsoku/>
                    <w:wordWrap/>
                    <w:overflowPunct/>
                    <w:topLinePunct w:val="0"/>
                    <w:autoSpaceDE/>
                    <w:autoSpaceDN/>
                    <w:bidi w:val="0"/>
                    <w:adjustRightInd/>
                    <w:snapToGrid/>
                    <w:ind w:left="0" w:leftChars="0" w:right="0" w:rightChars="0"/>
                    <w:jc w:val="left"/>
                    <w:textAlignment w:val="auto"/>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在建工程①拟建一座15m</w:t>
                  </w:r>
                  <w:r>
                    <w:rPr>
                      <w:rFonts w:hint="eastAsia" w:ascii="Times New Roman" w:hAnsi="Times New Roman" w:eastAsia="宋体" w:cs="Times New Roman"/>
                      <w:b w:val="0"/>
                      <w:bCs/>
                      <w:color w:val="000000" w:themeColor="text1"/>
                      <w:sz w:val="21"/>
                      <w:szCs w:val="21"/>
                      <w:highlight w:val="none"/>
                      <w:u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的污泥暂存间</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最大储存量为10t，在建工程①污泥产生量为22.82t/a，扩建项目污泥产生量为</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6.13</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t/a，扩建后全院污泥产生量为</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28.95</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（0.1t/d）</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，转运周期为15天，则已建污泥暂存间能够满足暂存需求；在建工程①拟建一个</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36m</w:t>
                  </w:r>
                  <w:r>
                    <w:rPr>
                      <w:rFonts w:hint="default" w:ascii="Times New Roman" w:hAnsi="Times New Roman" w:eastAsia="宋体" w:cs="Times New Roman"/>
                      <w:b w:val="0"/>
                      <w:bCs/>
                      <w:color w:val="000000" w:themeColor="text1"/>
                      <w:sz w:val="21"/>
                      <w:szCs w:val="21"/>
                      <w:highlight w:val="none"/>
                      <w:u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的</w:t>
                  </w:r>
                  <w: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垃圾暂存站</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，最大储存量为8t，在建工程①生活垃圾产生量为82.125t/a，扩建项目生活垃圾产生量为</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60.59</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t/a，扩建后全院生活垃圾产生量为</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142.715</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t/a</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（0.48t/d）</w:t>
                  </w:r>
                  <w: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t>，转运周期为1天，则已建垃圾暂存站能够满足暂存需求。因此，扩建项目污泥和生活垃圾</w:t>
                  </w:r>
                  <w:r>
                    <w:rPr>
                      <w:rFonts w:hint="default" w:ascii="Times New Roman" w:hAnsi="Times New Roman" w:eastAsia="宋体" w:cs="Times New Roman"/>
                      <w:b w:val="0"/>
                      <w:bCs/>
                      <w:color w:val="000000" w:themeColor="text1"/>
                      <w:sz w:val="21"/>
                      <w:szCs w:val="21"/>
                      <w:u w:val="none"/>
                      <w14:textFill>
                        <w14:solidFill>
                          <w14:schemeClr w14:val="tx1"/>
                        </w14:solidFill>
                      </w14:textFill>
                    </w:rPr>
                    <w:t>依托</w:t>
                  </w:r>
                  <w:r>
                    <w:rPr>
                      <w:rFonts w:hint="eastAsia" w:ascii="Times New Roman" w:hAnsi="Times New Roman" w:eastAsia="宋体" w:cs="Times New Roman"/>
                      <w:b w:val="0"/>
                      <w:bCs/>
                      <w:color w:val="000000" w:themeColor="text1"/>
                      <w:sz w:val="21"/>
                      <w:szCs w:val="21"/>
                      <w:u w:val="none"/>
                      <w:lang w:val="en-US" w:eastAsia="zh-CN"/>
                      <w14:textFill>
                        <w14:solidFill>
                          <w14:schemeClr w14:val="tx1"/>
                        </w14:solidFill>
                      </w14:textFill>
                    </w:rPr>
                    <w:t>在建工程①处置</w:t>
                  </w:r>
                  <w:r>
                    <w:rPr>
                      <w:rFonts w:hint="default" w:ascii="Times New Roman" w:hAnsi="Times New Roman" w:eastAsia="宋体" w:cs="Times New Roman"/>
                      <w:b w:val="0"/>
                      <w:bCs/>
                      <w:color w:val="000000" w:themeColor="text1"/>
                      <w:sz w:val="21"/>
                      <w:szCs w:val="21"/>
                      <w:u w:val="none"/>
                      <w14:textFill>
                        <w14:solidFill>
                          <w14:schemeClr w14:val="tx1"/>
                        </w14:solidFill>
                      </w14:textFill>
                    </w:rPr>
                    <w:t>是可行的</w:t>
                  </w:r>
                  <w:r>
                    <w:rPr>
                      <w:rFonts w:hint="eastAsia" w:ascii="Times New Roman" w:hAnsi="Times New Roman" w:eastAsia="宋体" w:cs="Times New Roman"/>
                      <w:b w:val="0"/>
                      <w:bCs/>
                      <w:color w:val="000000" w:themeColor="text1"/>
                      <w:sz w:val="21"/>
                      <w:szCs w:val="21"/>
                      <w:u w:val="none"/>
                      <w:lang w:eastAsia="zh-CN"/>
                      <w14:textFill>
                        <w14:solidFill>
                          <w14:schemeClr w14:val="tx1"/>
                        </w14:solidFill>
                      </w14:textFill>
                    </w:rPr>
                    <w:t>。</w:t>
                  </w:r>
                </w:p>
              </w:tc>
            </w:tr>
          </w:tbl>
          <w:p w14:paraId="5828FC99">
            <w:pPr>
              <w:pStyle w:val="2"/>
              <w:keepNext w:val="0"/>
              <w:keepLines w:val="0"/>
              <w:pageBreakBefore w:val="0"/>
              <w:widowControl w:val="0"/>
              <w:kinsoku/>
              <w:wordWrap/>
              <w:overflowPunct/>
              <w:topLinePunct w:val="0"/>
              <w:autoSpaceDE/>
              <w:autoSpaceDN/>
              <w:bidi w:val="0"/>
              <w:adjustRightInd/>
              <w:snapToGrid w:val="0"/>
              <w:spacing w:before="157" w:beforeLines="50" w:line="420" w:lineRule="auto"/>
              <w:ind w:left="0" w:right="0" w:firstLine="420"/>
              <w:textAlignment w:val="auto"/>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综上所述，本项目</w:t>
            </w:r>
            <w:r>
              <w:rPr>
                <w:rFonts w:hint="eastAsia"/>
                <w:bCs/>
                <w:color w:val="000000" w:themeColor="text1"/>
                <w:sz w:val="24"/>
                <w:lang w:val="en-US" w:eastAsia="zh-CN"/>
                <w14:textFill>
                  <w14:solidFill>
                    <w14:schemeClr w14:val="tx1"/>
                  </w14:solidFill>
                </w14:textFill>
              </w:rPr>
              <w:t>部分</w:t>
            </w:r>
            <w:r>
              <w:rPr>
                <w:rFonts w:hint="eastAsia"/>
                <w:bCs/>
                <w:color w:val="000000" w:themeColor="text1"/>
                <w:sz w:val="24"/>
                <w14:textFill>
                  <w14:solidFill>
                    <w14:schemeClr w14:val="tx1"/>
                  </w14:solidFill>
                </w14:textFill>
              </w:rPr>
              <w:t>公辅工程和环保工程依托</w:t>
            </w:r>
            <w:r>
              <w:rPr>
                <w:rFonts w:hint="eastAsia"/>
                <w:bCs/>
                <w:color w:val="000000" w:themeColor="text1"/>
                <w:sz w:val="24"/>
                <w:lang w:eastAsia="zh-CN"/>
                <w14:textFill>
                  <w14:solidFill>
                    <w14:schemeClr w14:val="tx1"/>
                  </w14:solidFill>
                </w14:textFill>
              </w:rPr>
              <w:t>在建工程①</w:t>
            </w:r>
            <w:r>
              <w:rPr>
                <w:rFonts w:hint="eastAsia"/>
                <w:bCs/>
                <w:color w:val="000000" w:themeColor="text1"/>
                <w:sz w:val="24"/>
                <w14:textFill>
                  <w14:solidFill>
                    <w14:schemeClr w14:val="tx1"/>
                  </w14:solidFill>
                </w14:textFill>
              </w:rPr>
              <w:t>是可行的。</w:t>
            </w:r>
          </w:p>
          <w:p w14:paraId="0E9A5A4F">
            <w:pPr>
              <w:pStyle w:val="3"/>
              <w:rPr>
                <w:rFonts w:hint="default"/>
                <w:color w:val="000000" w:themeColor="text1"/>
                <w:lang w:val="en-US" w:eastAsia="zh-CN"/>
                <w14:textFill>
                  <w14:solidFill>
                    <w14:schemeClr w14:val="tx1"/>
                  </w14:solidFill>
                </w14:textFill>
              </w:rPr>
            </w:pPr>
          </w:p>
        </w:tc>
      </w:tr>
      <w:tr w14:paraId="25391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dxa"/>
            <w:noWrap w:val="0"/>
            <w:vAlign w:val="center"/>
          </w:tcPr>
          <w:p w14:paraId="4D906A6F">
            <w:pPr>
              <w:pStyle w:val="30"/>
              <w:adjustRightInd w:val="0"/>
              <w:snapToGrid w:val="0"/>
              <w:spacing w:before="0" w:beforeAutospacing="0" w:after="0" w:afterAutospacing="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工艺流程和产排污环节</w:t>
            </w:r>
          </w:p>
        </w:tc>
        <w:tc>
          <w:tcPr>
            <w:tcW w:w="8730" w:type="dxa"/>
            <w:noWrap w:val="0"/>
            <w:vAlign w:val="top"/>
          </w:tcPr>
          <w:p w14:paraId="14AC957E">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object>
                <v:shape id="_x0000_i1027" o:spt="75" alt="" type="#_x0000_t75" style="height:340.5pt;width:337.1pt;" o:ole="t" filled="f" o:preferrelative="t" stroked="f" coordsize="21600,21600">
                  <v:path/>
                  <v:fill on="f" focussize="0,0"/>
                  <v:stroke on="f"/>
                  <v:imagedata r:id="rId26" o:title=""/>
                  <o:lock v:ext="edit" aspectratio="t"/>
                  <w10:wrap type="none"/>
                  <w10:anchorlock/>
                </v:shape>
                <o:OLEObject Type="Embed" ProgID="Visio.Drawing.11" ShapeID="_x0000_i1027" DrawAspect="Content" ObjectID="_1468075727" r:id="rId25">
                  <o:LockedField>false</o:LockedField>
                </o:OLEObject>
              </w:object>
            </w:r>
          </w:p>
          <w:p w14:paraId="250D6FA3">
            <w:pPr>
              <w:keepNext w:val="0"/>
              <w:keepLines w:val="0"/>
              <w:pageBreakBefore w:val="0"/>
              <w:widowControl/>
              <w:kinsoku/>
              <w:wordWrap/>
              <w:overflowPunct/>
              <w:topLinePunct w:val="0"/>
              <w:autoSpaceDE/>
              <w:autoSpaceDN/>
              <w:bidi w:val="0"/>
              <w:adjustRightInd/>
              <w:snapToGrid/>
              <w:spacing w:before="157" w:beforeLines="50" w:line="360" w:lineRule="auto"/>
              <w:ind w:firstLine="482"/>
              <w:jc w:val="center"/>
              <w:textAlignment w:val="auto"/>
              <w:rPr>
                <w:rFonts w:hint="default" w:ascii="Times New Roman" w:hAnsi="Times New Roman" w:eastAsia="黑体" w:cs="Times New Roman"/>
                <w:bCs/>
                <w:color w:val="000000" w:themeColor="text1"/>
                <w:kern w:val="0"/>
                <w:sz w:val="24"/>
                <w:szCs w:val="24"/>
                <w:highlight w:val="none"/>
                <w:u w:val="none"/>
                <w:lang w:val="en-US" w:eastAsia="zh-CN" w:bidi="ar-SA"/>
                <w14:textFill>
                  <w14:solidFill>
                    <w14:schemeClr w14:val="tx1"/>
                  </w14:solidFill>
                </w14:textFill>
              </w:rPr>
            </w:pPr>
            <w:r>
              <w:rPr>
                <w:rFonts w:hint="eastAsia" w:ascii="Times New Roman" w:hAnsi="Times New Roman" w:eastAsia="黑体" w:cs="Times New Roman"/>
                <w:bCs/>
                <w:color w:val="000000" w:themeColor="text1"/>
                <w:kern w:val="0"/>
                <w:sz w:val="24"/>
                <w:szCs w:val="24"/>
                <w:highlight w:val="none"/>
                <w:u w:val="none"/>
                <w:lang w:val="en-US" w:eastAsia="zh-CN" w:bidi="ar-SA"/>
                <w14:textFill>
                  <w14:solidFill>
                    <w14:schemeClr w14:val="tx1"/>
                  </w14:solidFill>
                </w14:textFill>
              </w:rPr>
              <w:t>图3   扩建项目运行</w:t>
            </w:r>
            <w:r>
              <w:rPr>
                <w:rFonts w:hint="default" w:ascii="Times New Roman" w:hAnsi="Times New Roman" w:eastAsia="黑体" w:cs="Times New Roman"/>
                <w:bCs/>
                <w:color w:val="000000" w:themeColor="text1"/>
                <w:kern w:val="0"/>
                <w:sz w:val="24"/>
                <w:szCs w:val="24"/>
                <w:highlight w:val="none"/>
                <w:u w:val="none"/>
                <w:lang w:val="en-US" w:eastAsia="zh-CN" w:bidi="ar-SA"/>
                <w14:textFill>
                  <w14:solidFill>
                    <w14:schemeClr w14:val="tx1"/>
                  </w14:solidFill>
                </w14:textFill>
              </w:rPr>
              <w:t>流程及产污环节</w:t>
            </w:r>
            <w:r>
              <w:rPr>
                <w:rFonts w:hint="eastAsia" w:ascii="Times New Roman" w:hAnsi="Times New Roman" w:eastAsia="黑体" w:cs="Times New Roman"/>
                <w:bCs/>
                <w:color w:val="000000" w:themeColor="text1"/>
                <w:kern w:val="0"/>
                <w:sz w:val="24"/>
                <w:szCs w:val="24"/>
                <w:highlight w:val="none"/>
                <w:u w:val="none"/>
                <w:lang w:val="en-US" w:eastAsia="zh-CN" w:bidi="ar-SA"/>
                <w14:textFill>
                  <w14:solidFill>
                    <w14:schemeClr w14:val="tx1"/>
                  </w14:solidFill>
                </w14:textFill>
              </w:rPr>
              <w:t>示意</w:t>
            </w:r>
            <w:r>
              <w:rPr>
                <w:rFonts w:hint="default" w:ascii="Times New Roman" w:hAnsi="Times New Roman" w:eastAsia="黑体" w:cs="Times New Roman"/>
                <w:bCs/>
                <w:color w:val="000000" w:themeColor="text1"/>
                <w:kern w:val="0"/>
                <w:sz w:val="24"/>
                <w:szCs w:val="24"/>
                <w:highlight w:val="none"/>
                <w:u w:val="none"/>
                <w:lang w:val="en-US" w:eastAsia="zh-CN" w:bidi="ar-SA"/>
                <w14:textFill>
                  <w14:solidFill>
                    <w14:schemeClr w14:val="tx1"/>
                  </w14:solidFill>
                </w14:textFill>
              </w:rPr>
              <w:t>图</w:t>
            </w:r>
          </w:p>
          <w:p w14:paraId="37787BD4">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leftChars="0" w:right="0" w:rightChars="0" w:firstLine="480" w:firstLineChars="200"/>
              <w:textAlignment w:val="auto"/>
              <w:rPr>
                <w:rFonts w:hint="eastAsia"/>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项目患者进行前台挂号，在门诊安排就诊医生进行初步</w:t>
            </w:r>
            <w:r>
              <w:rPr>
                <w:rFonts w:hint="eastAsia" w:ascii="Times New Roman" w:hAnsi="Times New Roman" w:cs="Times New Roman"/>
                <w:color w:val="000000" w:themeColor="text1"/>
                <w:highlight w:val="none"/>
                <w:lang w:val="en-US" w:eastAsia="zh-CN"/>
                <w14:textFill>
                  <w14:solidFill>
                    <w14:schemeClr w14:val="tx1"/>
                  </w14:solidFill>
                </w14:textFill>
              </w:rPr>
              <w:t>检查</w:t>
            </w:r>
            <w:r>
              <w:rPr>
                <w:rFonts w:hint="default" w:ascii="Times New Roman" w:hAnsi="Times New Roman" w:eastAsia="宋体" w:cs="Times New Roman"/>
                <w:color w:val="000000" w:themeColor="text1"/>
                <w:highlight w:val="none"/>
                <w:lang w:val="en-US" w:eastAsia="zh-CN"/>
                <w14:textFill>
                  <w14:solidFill>
                    <w14:schemeClr w14:val="tx1"/>
                  </w14:solidFill>
                </w14:textFill>
              </w:rPr>
              <w:t>、诊断，根据初步</w:t>
            </w:r>
            <w:r>
              <w:rPr>
                <w:rFonts w:hint="eastAsia" w:ascii="Times New Roman" w:hAnsi="Times New Roman" w:cs="Times New Roman"/>
                <w:color w:val="000000" w:themeColor="text1"/>
                <w:highlight w:val="none"/>
                <w:lang w:val="en-US" w:eastAsia="zh-CN"/>
                <w14:textFill>
                  <w14:solidFill>
                    <w14:schemeClr w14:val="tx1"/>
                  </w14:solidFill>
                </w14:textFill>
              </w:rPr>
              <w:t>检查</w:t>
            </w:r>
            <w:r>
              <w:rPr>
                <w:rFonts w:hint="default" w:ascii="Times New Roman" w:hAnsi="Times New Roman" w:eastAsia="宋体" w:cs="Times New Roman"/>
                <w:color w:val="000000" w:themeColor="text1"/>
                <w:highlight w:val="none"/>
                <w:lang w:val="en-US" w:eastAsia="zh-CN"/>
                <w14:textFill>
                  <w14:solidFill>
                    <w14:schemeClr w14:val="tx1"/>
                  </w14:solidFill>
                </w14:textFill>
              </w:rPr>
              <w:t>、诊断结果，症状轻微患者取药后可直接出院</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对病情严重的患者根据需要进行抽血检验及其他检验，然后根据病状进行针对性治疗，需要住院观察的患者进行住院观察，经过一段时间的治疗直至康复出院。</w:t>
            </w:r>
          </w:p>
          <w:p w14:paraId="7A8F0059">
            <w:pPr>
              <w:pStyle w:val="2"/>
              <w:keepNext w:val="0"/>
              <w:keepLines w:val="0"/>
              <w:pageBreakBefore w:val="0"/>
              <w:widowControl w:val="0"/>
              <w:kinsoku/>
              <w:wordWrap/>
              <w:overflowPunct/>
              <w:topLinePunct w:val="0"/>
              <w:autoSpaceDE/>
              <w:autoSpaceDN/>
              <w:bidi w:val="0"/>
              <w:adjustRightInd/>
              <w:snapToGrid w:val="0"/>
              <w:spacing w:before="157" w:beforeLines="50" w:line="240" w:lineRule="auto"/>
              <w:ind w:left="0" w:leftChars="0" w:right="0" w:firstLine="0" w:firstLineChars="0"/>
              <w:textAlignment w:val="auto"/>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 xml:space="preserve">主要污染工序：  </w:t>
            </w:r>
          </w:p>
          <w:p w14:paraId="74170CAE">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line="240" w:lineRule="auto"/>
              <w:ind w:firstLine="0"/>
              <w:textAlignment w:val="auto"/>
              <w:rPr>
                <w:rFonts w:hint="eastAsia" w:ascii="Times New Roman" w:hAnsi="Times New Roman" w:eastAsia="黑体" w:cs="Times New Roman"/>
                <w:color w:val="000000" w:themeColor="text1"/>
                <w:highlight w:val="none"/>
                <w:lang w:eastAsia="zh-CN" w:bidi="ar-SA"/>
                <w14:textFill>
                  <w14:solidFill>
                    <w14:schemeClr w14:val="tx1"/>
                  </w14:solidFill>
                </w14:textFill>
              </w:rPr>
            </w:pPr>
            <w:r>
              <w:rPr>
                <w:rFonts w:hint="eastAsia" w:ascii="Times New Roman" w:hAnsi="Times New Roman" w:eastAsia="黑体" w:cs="Times New Roman"/>
                <w:color w:val="000000" w:themeColor="text1"/>
                <w:highlight w:val="none"/>
                <w:lang w:val="en-US" w:eastAsia="zh-CN" w:bidi="ar-SA"/>
                <w14:textFill>
                  <w14:solidFill>
                    <w14:schemeClr w14:val="tx1"/>
                  </w14:solidFill>
                </w14:textFill>
              </w:rPr>
              <w:t xml:space="preserve">  </w:t>
            </w:r>
            <w:r>
              <w:rPr>
                <w:rFonts w:hint="eastAsia" w:ascii="Times New Roman" w:hAnsi="Times New Roman" w:eastAsia="黑体" w:cs="Times New Roman"/>
                <w:color w:val="000000" w:themeColor="text1"/>
                <w:highlight w:val="none"/>
                <w:lang w:eastAsia="zh-CN" w:bidi="ar-SA"/>
                <w14:textFill>
                  <w14:solidFill>
                    <w14:schemeClr w14:val="tx1"/>
                  </w14:solidFill>
                </w14:textFill>
              </w:rPr>
              <w:t>主要</w:t>
            </w:r>
            <w:r>
              <w:rPr>
                <w:rFonts w:hint="eastAsia" w:ascii="Times New Roman" w:hAnsi="Times New Roman" w:eastAsia="黑体" w:cs="Times New Roman"/>
                <w:color w:val="000000" w:themeColor="text1"/>
                <w:highlight w:val="none"/>
                <w:lang w:val="en-US" w:eastAsia="zh-CN" w:bidi="ar-SA"/>
                <w14:textFill>
                  <w14:solidFill>
                    <w14:schemeClr w14:val="tx1"/>
                  </w14:solidFill>
                </w14:textFill>
              </w:rPr>
              <w:t>产污环节</w:t>
            </w:r>
            <w:r>
              <w:rPr>
                <w:rFonts w:hint="eastAsia" w:ascii="Times New Roman" w:hAnsi="Times New Roman" w:eastAsia="黑体" w:cs="Times New Roman"/>
                <w:color w:val="000000" w:themeColor="text1"/>
                <w:highlight w:val="none"/>
                <w:lang w:eastAsia="zh-CN" w:bidi="ar-SA"/>
                <w14:textFill>
                  <w14:solidFill>
                    <w14:schemeClr w14:val="tx1"/>
                  </w14:solidFill>
                </w14:textFill>
              </w:rPr>
              <w:t>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367"/>
              <w:gridCol w:w="2253"/>
              <w:gridCol w:w="3892"/>
            </w:tblGrid>
            <w:tr w14:paraId="308D4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noWrap w:val="0"/>
                  <w:vAlign w:val="center"/>
                </w:tcPr>
                <w:p w14:paraId="1A60A974">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项目</w:t>
                  </w:r>
                </w:p>
              </w:tc>
              <w:tc>
                <w:tcPr>
                  <w:tcW w:w="1339" w:type="dxa"/>
                  <w:tcBorders>
                    <w:tl2br w:val="nil"/>
                    <w:tr2bl w:val="nil"/>
                  </w:tcBorders>
                  <w:noWrap w:val="0"/>
                  <w:vAlign w:val="center"/>
                </w:tcPr>
                <w:p w14:paraId="4D598460">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产污环节</w:t>
                  </w:r>
                </w:p>
              </w:tc>
              <w:tc>
                <w:tcPr>
                  <w:tcW w:w="2207" w:type="dxa"/>
                  <w:tcBorders>
                    <w:tl2br w:val="nil"/>
                    <w:tr2bl w:val="nil"/>
                  </w:tcBorders>
                  <w:noWrap w:val="0"/>
                  <w:vAlign w:val="center"/>
                </w:tcPr>
                <w:p w14:paraId="2C1404C9">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主要污染物</w:t>
                  </w:r>
                </w:p>
              </w:tc>
              <w:tc>
                <w:tcPr>
                  <w:tcW w:w="3812" w:type="dxa"/>
                  <w:tcBorders>
                    <w:tl2br w:val="nil"/>
                    <w:tr2bl w:val="nil"/>
                  </w:tcBorders>
                  <w:noWrap w:val="0"/>
                  <w:vAlign w:val="center"/>
                </w:tcPr>
                <w:p w14:paraId="68A3964B">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治理措施</w:t>
                  </w:r>
                </w:p>
              </w:tc>
            </w:tr>
            <w:tr w14:paraId="4A964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vMerge w:val="restart"/>
                  <w:tcBorders>
                    <w:tl2br w:val="nil"/>
                    <w:tr2bl w:val="nil"/>
                  </w:tcBorders>
                  <w:noWrap w:val="0"/>
                  <w:vAlign w:val="center"/>
                </w:tcPr>
                <w:p w14:paraId="6F4BB5A5">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废气</w:t>
                  </w:r>
                </w:p>
              </w:tc>
              <w:tc>
                <w:tcPr>
                  <w:tcW w:w="1339" w:type="dxa"/>
                  <w:tcBorders>
                    <w:tl2br w:val="nil"/>
                    <w:tr2bl w:val="nil"/>
                  </w:tcBorders>
                  <w:noWrap w:val="0"/>
                  <w:vAlign w:val="center"/>
                </w:tcPr>
                <w:p w14:paraId="05D2DE53">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baseline"/>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污水处理站</w:t>
                  </w:r>
                </w:p>
              </w:tc>
              <w:tc>
                <w:tcPr>
                  <w:tcW w:w="2207" w:type="dxa"/>
                  <w:tcBorders>
                    <w:tl2br w:val="nil"/>
                    <w:tr2bl w:val="nil"/>
                  </w:tcBorders>
                  <w:noWrap w:val="0"/>
                  <w:vAlign w:val="center"/>
                </w:tcPr>
                <w:p w14:paraId="7790C5CA">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NH</w:t>
                  </w:r>
                  <w:r>
                    <w:rPr>
                      <w:rFonts w:hint="eastAsia" w:ascii="Times New Roman" w:hAnsi="Times New Roman" w:cs="Times New Roman"/>
                      <w:b w:val="0"/>
                      <w:bCs w:val="0"/>
                      <w:color w:val="000000" w:themeColor="text1"/>
                      <w:sz w:val="21"/>
                      <w:szCs w:val="21"/>
                      <w:highlight w:val="none"/>
                      <w:u w:val="none"/>
                      <w:vertAlign w:val="subscript"/>
                      <w:lang w:val="en-US" w:eastAsia="zh-CN"/>
                      <w14:textFill>
                        <w14:solidFill>
                          <w14:schemeClr w14:val="tx1"/>
                        </w14:solidFill>
                      </w14:textFill>
                    </w:rPr>
                    <w:t>3</w:t>
                  </w: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、H</w:t>
                  </w:r>
                  <w:r>
                    <w:rPr>
                      <w:rFonts w:hint="eastAsia" w:ascii="Times New Roman" w:hAnsi="Times New Roman" w:cs="Times New Roman"/>
                      <w:b w:val="0"/>
                      <w:bCs w:val="0"/>
                      <w:color w:val="000000" w:themeColor="text1"/>
                      <w:sz w:val="21"/>
                      <w:szCs w:val="21"/>
                      <w:highlight w:val="none"/>
                      <w:u w:val="none"/>
                      <w:vertAlign w:val="subscript"/>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S、臭气浓度</w:t>
                  </w:r>
                </w:p>
              </w:tc>
              <w:tc>
                <w:tcPr>
                  <w:tcW w:w="3812" w:type="dxa"/>
                  <w:tcBorders>
                    <w:tl2br w:val="nil"/>
                    <w:tr2bl w:val="nil"/>
                  </w:tcBorders>
                  <w:noWrap w:val="0"/>
                  <w:vAlign w:val="center"/>
                </w:tcPr>
                <w:p w14:paraId="7E7697E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地埋式，污水处理站恶臭气体经管道收集后通过紫外线消毒+活性炭吸附处理后引至感染病楼房顶（20m）排放（DA001）</w:t>
                  </w:r>
                </w:p>
              </w:tc>
            </w:tr>
            <w:tr w14:paraId="4CD28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vMerge w:val="continue"/>
                  <w:tcBorders>
                    <w:tl2br w:val="nil"/>
                    <w:tr2bl w:val="nil"/>
                  </w:tcBorders>
                  <w:noWrap w:val="0"/>
                  <w:vAlign w:val="center"/>
                </w:tcPr>
                <w:p w14:paraId="143FA092">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p>
              </w:tc>
              <w:tc>
                <w:tcPr>
                  <w:tcW w:w="1339" w:type="dxa"/>
                  <w:tcBorders>
                    <w:tl2br w:val="nil"/>
                    <w:tr2bl w:val="nil"/>
                  </w:tcBorders>
                  <w:noWrap w:val="0"/>
                  <w:vAlign w:val="center"/>
                </w:tcPr>
                <w:p w14:paraId="53C12603">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汽车尾气</w:t>
                  </w:r>
                </w:p>
              </w:tc>
              <w:tc>
                <w:tcPr>
                  <w:tcW w:w="2207" w:type="dxa"/>
                  <w:tcBorders>
                    <w:tl2br w:val="nil"/>
                    <w:tr2bl w:val="nil"/>
                  </w:tcBorders>
                  <w:noWrap w:val="0"/>
                  <w:vAlign w:val="center"/>
                </w:tcPr>
                <w:p w14:paraId="21A5841C">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CO、THC、NOx</w:t>
                  </w:r>
                </w:p>
              </w:tc>
              <w:tc>
                <w:tcPr>
                  <w:tcW w:w="3812" w:type="dxa"/>
                  <w:tcBorders>
                    <w:tl2br w:val="nil"/>
                    <w:tr2bl w:val="nil"/>
                  </w:tcBorders>
                  <w:noWrap w:val="0"/>
                  <w:vAlign w:val="center"/>
                </w:tcPr>
                <w:p w14:paraId="4F337DC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通过通风系统排放</w:t>
                  </w:r>
                </w:p>
              </w:tc>
            </w:tr>
            <w:tr w14:paraId="21D5C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noWrap w:val="0"/>
                  <w:vAlign w:val="center"/>
                </w:tcPr>
                <w:p w14:paraId="0107F348">
                  <w:pPr>
                    <w:keepNext w:val="0"/>
                    <w:keepLines w:val="0"/>
                    <w:pageBreakBefore w:val="0"/>
                    <w:widowControl/>
                    <w:kinsoku/>
                    <w:wordWrap/>
                    <w:overflowPunct/>
                    <w:topLinePunct w:val="0"/>
                    <w:autoSpaceDE/>
                    <w:autoSpaceDN/>
                    <w:bidi w:val="0"/>
                    <w:adjustRightInd/>
                    <w:ind w:left="-105" w:leftChars="-50" w:right="-105" w:rightChars="-50"/>
                    <w:jc w:val="center"/>
                    <w:rPr>
                      <w:rFonts w:hint="default" w:ascii="Times New Roman" w:hAnsi="Times New Roman"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14:textFill>
                        <w14:solidFill>
                          <w14:schemeClr w14:val="tx1"/>
                        </w14:solidFill>
                      </w14:textFill>
                    </w:rPr>
                    <w:t>废水</w:t>
                  </w:r>
                </w:p>
              </w:tc>
              <w:tc>
                <w:tcPr>
                  <w:tcW w:w="1339" w:type="dxa"/>
                  <w:tcBorders>
                    <w:tl2br w:val="nil"/>
                    <w:tr2bl w:val="nil"/>
                  </w:tcBorders>
                  <w:noWrap w:val="0"/>
                  <w:vAlign w:val="center"/>
                </w:tcPr>
                <w:p w14:paraId="7416319E">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医院运营</w:t>
                  </w:r>
                </w:p>
              </w:tc>
              <w:tc>
                <w:tcPr>
                  <w:tcW w:w="2207" w:type="dxa"/>
                  <w:tcBorders>
                    <w:tl2br w:val="nil"/>
                    <w:tr2bl w:val="nil"/>
                  </w:tcBorders>
                  <w:noWrap w:val="0"/>
                  <w:vAlign w:val="center"/>
                </w:tcPr>
                <w:p w14:paraId="47B6AE6F">
                  <w:pPr>
                    <w:pStyle w:val="17"/>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jc w:val="center"/>
                    <w:textAlignment w:val="auto"/>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COD、BOD</w:t>
                  </w:r>
                  <w:r>
                    <w:rPr>
                      <w:rFonts w:hint="default" w:ascii="Times New Roman" w:hAnsi="Times New Roman" w:cs="Times New Roman"/>
                      <w:b w:val="0"/>
                      <w:bCs w:val="0"/>
                      <w:color w:val="000000" w:themeColor="text1"/>
                      <w:sz w:val="21"/>
                      <w:szCs w:val="21"/>
                      <w:highlight w:val="none"/>
                      <w:u w:val="none"/>
                      <w:vertAlign w:val="subscript"/>
                      <w:lang w:val="en-US" w:eastAsia="zh-CN"/>
                      <w14:textFill>
                        <w14:solidFill>
                          <w14:schemeClr w14:val="tx1"/>
                        </w14:solidFill>
                      </w14:textFill>
                    </w:rPr>
                    <w:t>5</w:t>
                  </w: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、SS、NH</w:t>
                  </w:r>
                  <w:r>
                    <w:rPr>
                      <w:rFonts w:hint="default" w:ascii="Times New Roman" w:hAnsi="Times New Roman" w:cs="Times New Roman"/>
                      <w:b w:val="0"/>
                      <w:bCs w:val="0"/>
                      <w:color w:val="000000" w:themeColor="text1"/>
                      <w:sz w:val="21"/>
                      <w:szCs w:val="21"/>
                      <w:highlight w:val="none"/>
                      <w:u w:val="none"/>
                      <w:vertAlign w:val="sub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-N</w:t>
                  </w: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、动植物油、阴离子表面活性剂、粪大肠菌群</w:t>
                  </w:r>
                </w:p>
              </w:tc>
              <w:tc>
                <w:tcPr>
                  <w:tcW w:w="3812" w:type="dxa"/>
                  <w:tcBorders>
                    <w:tl2br w:val="nil"/>
                    <w:tr2bl w:val="nil"/>
                  </w:tcBorders>
                  <w:noWrap w:val="0"/>
                  <w:vAlign w:val="center"/>
                </w:tcPr>
                <w:p w14:paraId="4E0E069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废水全部进入院内污水处理站处理并消毒后通过总排口（DW001）由市政污水管网进入渑池县第二污水处理厂进一步处理，最终排入涧河</w:t>
                  </w:r>
                </w:p>
              </w:tc>
            </w:tr>
            <w:tr w14:paraId="651AB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noWrap w:val="0"/>
                  <w:vAlign w:val="center"/>
                </w:tcPr>
                <w:p w14:paraId="488B7247">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噪声</w:t>
                  </w:r>
                </w:p>
              </w:tc>
              <w:tc>
                <w:tcPr>
                  <w:tcW w:w="1339" w:type="dxa"/>
                  <w:tcBorders>
                    <w:tl2br w:val="nil"/>
                    <w:tr2bl w:val="nil"/>
                  </w:tcBorders>
                  <w:noWrap w:val="0"/>
                  <w:vAlign w:val="center"/>
                </w:tcPr>
                <w:p w14:paraId="44DDBDCF">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医院运营</w:t>
                  </w:r>
                </w:p>
              </w:tc>
              <w:tc>
                <w:tcPr>
                  <w:tcW w:w="2207" w:type="dxa"/>
                  <w:tcBorders>
                    <w:tl2br w:val="nil"/>
                    <w:tr2bl w:val="nil"/>
                  </w:tcBorders>
                  <w:noWrap w:val="0"/>
                  <w:vAlign w:val="center"/>
                </w:tcPr>
                <w:p w14:paraId="51D0AE9B">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空调机组、风机、泵等</w:t>
                  </w:r>
                </w:p>
              </w:tc>
              <w:tc>
                <w:tcPr>
                  <w:tcW w:w="3812" w:type="dxa"/>
                  <w:tcBorders>
                    <w:tl2br w:val="nil"/>
                    <w:tr2bl w:val="nil"/>
                  </w:tcBorders>
                  <w:noWrap w:val="0"/>
                  <w:vAlign w:val="center"/>
                </w:tcPr>
                <w:p w14:paraId="698011B3">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地下隔声、建筑隔声、减震、距离衰减</w:t>
                  </w:r>
                </w:p>
              </w:tc>
            </w:tr>
            <w:tr w14:paraId="4C0E3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vMerge w:val="restart"/>
                  <w:tcBorders>
                    <w:tl2br w:val="nil"/>
                    <w:tr2bl w:val="nil"/>
                  </w:tcBorders>
                  <w:noWrap w:val="0"/>
                  <w:vAlign w:val="center"/>
                </w:tcPr>
                <w:p w14:paraId="50BA77EB">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固体废物</w:t>
                  </w:r>
                </w:p>
              </w:tc>
              <w:tc>
                <w:tcPr>
                  <w:tcW w:w="1339" w:type="dxa"/>
                  <w:tcBorders>
                    <w:tl2br w:val="nil"/>
                    <w:tr2bl w:val="nil"/>
                  </w:tcBorders>
                  <w:noWrap w:val="0"/>
                  <w:vAlign w:val="center"/>
                </w:tcPr>
                <w:p w14:paraId="6B3FE749">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污水处理站恶臭处理设施</w:t>
                  </w:r>
                </w:p>
              </w:tc>
              <w:tc>
                <w:tcPr>
                  <w:tcW w:w="2207" w:type="dxa"/>
                  <w:tcBorders>
                    <w:tl2br w:val="nil"/>
                    <w:tr2bl w:val="nil"/>
                  </w:tcBorders>
                  <w:noWrap w:val="0"/>
                  <w:vAlign w:val="center"/>
                </w:tcPr>
                <w:p w14:paraId="00FB8E42">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废活性炭</w:t>
                  </w:r>
                </w:p>
              </w:tc>
              <w:tc>
                <w:tcPr>
                  <w:tcW w:w="3812" w:type="dxa"/>
                  <w:vMerge w:val="restart"/>
                  <w:tcBorders>
                    <w:tl2br w:val="nil"/>
                    <w:tr2bl w:val="nil"/>
                  </w:tcBorders>
                  <w:noWrap w:val="0"/>
                  <w:vAlign w:val="center"/>
                </w:tcPr>
                <w:p w14:paraId="693A869B">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危废暂存间分类收集后，</w:t>
                  </w: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定期交由三门峡天蓝环保科技有限公司安全处置</w:t>
                  </w:r>
                </w:p>
              </w:tc>
            </w:tr>
            <w:tr w14:paraId="5CCDA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vMerge w:val="continue"/>
                  <w:tcBorders>
                    <w:tl2br w:val="nil"/>
                    <w:tr2bl w:val="nil"/>
                  </w:tcBorders>
                  <w:noWrap w:val="0"/>
                  <w:vAlign w:val="center"/>
                </w:tcPr>
                <w:p w14:paraId="68889212">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p>
              </w:tc>
              <w:tc>
                <w:tcPr>
                  <w:tcW w:w="1339" w:type="dxa"/>
                  <w:tcBorders>
                    <w:tl2br w:val="nil"/>
                    <w:tr2bl w:val="nil"/>
                  </w:tcBorders>
                  <w:noWrap w:val="0"/>
                  <w:vAlign w:val="center"/>
                </w:tcPr>
                <w:p w14:paraId="5E399C72">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医院运营</w:t>
                  </w:r>
                </w:p>
              </w:tc>
              <w:tc>
                <w:tcPr>
                  <w:tcW w:w="2207" w:type="dxa"/>
                  <w:tcBorders>
                    <w:tl2br w:val="nil"/>
                    <w:tr2bl w:val="nil"/>
                  </w:tcBorders>
                  <w:noWrap w:val="0"/>
                  <w:vAlign w:val="center"/>
                </w:tcPr>
                <w:p w14:paraId="1C0BE5F9">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医疗废物</w:t>
                  </w:r>
                </w:p>
              </w:tc>
              <w:tc>
                <w:tcPr>
                  <w:tcW w:w="3812" w:type="dxa"/>
                  <w:vMerge w:val="continue"/>
                  <w:tcBorders>
                    <w:tl2br w:val="nil"/>
                    <w:tr2bl w:val="nil"/>
                  </w:tcBorders>
                  <w:noWrap w:val="0"/>
                  <w:vAlign w:val="center"/>
                </w:tcPr>
                <w:p w14:paraId="14A21E0C">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p>
              </w:tc>
            </w:tr>
            <w:tr w14:paraId="1F880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vMerge w:val="continue"/>
                  <w:tcBorders>
                    <w:tl2br w:val="nil"/>
                    <w:tr2bl w:val="nil"/>
                  </w:tcBorders>
                  <w:noWrap w:val="0"/>
                  <w:vAlign w:val="center"/>
                </w:tcPr>
                <w:p w14:paraId="4E8C7B62">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p>
              </w:tc>
              <w:tc>
                <w:tcPr>
                  <w:tcW w:w="1339" w:type="dxa"/>
                  <w:tcBorders>
                    <w:tl2br w:val="nil"/>
                    <w:tr2bl w:val="nil"/>
                  </w:tcBorders>
                  <w:noWrap w:val="0"/>
                  <w:vAlign w:val="center"/>
                </w:tcPr>
                <w:p w14:paraId="4C31FC1A">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污水处理站</w:t>
                  </w:r>
                </w:p>
              </w:tc>
              <w:tc>
                <w:tcPr>
                  <w:tcW w:w="2207" w:type="dxa"/>
                  <w:tcBorders>
                    <w:tl2br w:val="nil"/>
                    <w:tr2bl w:val="nil"/>
                  </w:tcBorders>
                  <w:noWrap w:val="0"/>
                  <w:vAlign w:val="center"/>
                </w:tcPr>
                <w:p w14:paraId="470D9888">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污泥</w:t>
                  </w:r>
                </w:p>
              </w:tc>
              <w:tc>
                <w:tcPr>
                  <w:tcW w:w="3812" w:type="dxa"/>
                  <w:tcBorders>
                    <w:tl2br w:val="nil"/>
                    <w:tr2bl w:val="nil"/>
                  </w:tcBorders>
                  <w:noWrap w:val="0"/>
                  <w:vAlign w:val="center"/>
                </w:tcPr>
                <w:p w14:paraId="2A9E3B5B">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污水处理站脱水后的泥饼袋装密封后在污泥暂存间内暂存，定期交由三门峡天蓝环保科技有限公司安全处置</w:t>
                  </w:r>
                </w:p>
              </w:tc>
            </w:tr>
            <w:tr w14:paraId="5D0B5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vMerge w:val="continue"/>
                  <w:tcBorders>
                    <w:tl2br w:val="nil"/>
                    <w:tr2bl w:val="nil"/>
                  </w:tcBorders>
                  <w:noWrap w:val="0"/>
                  <w:vAlign w:val="center"/>
                </w:tcPr>
                <w:p w14:paraId="00C864B5">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p>
              </w:tc>
              <w:tc>
                <w:tcPr>
                  <w:tcW w:w="1339" w:type="dxa"/>
                  <w:tcBorders>
                    <w:tl2br w:val="nil"/>
                    <w:tr2bl w:val="nil"/>
                  </w:tcBorders>
                  <w:noWrap w:val="0"/>
                  <w:vAlign w:val="center"/>
                </w:tcPr>
                <w:p w14:paraId="1981D793">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食堂</w:t>
                  </w:r>
                </w:p>
              </w:tc>
              <w:tc>
                <w:tcPr>
                  <w:tcW w:w="2207" w:type="dxa"/>
                  <w:tcBorders>
                    <w:tl2br w:val="nil"/>
                    <w:tr2bl w:val="nil"/>
                  </w:tcBorders>
                  <w:noWrap w:val="0"/>
                  <w:vAlign w:val="center"/>
                </w:tcPr>
                <w:p w14:paraId="48B9DA79">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隔油池油渣</w:t>
                  </w:r>
                </w:p>
              </w:tc>
              <w:tc>
                <w:tcPr>
                  <w:tcW w:w="3812" w:type="dxa"/>
                  <w:tcBorders>
                    <w:tl2br w:val="nil"/>
                    <w:tr2bl w:val="nil"/>
                  </w:tcBorders>
                  <w:noWrap w:val="0"/>
                  <w:vAlign w:val="center"/>
                </w:tcPr>
                <w:p w14:paraId="1BCC0C77">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收集后定期交由有资质单位处置</w:t>
                  </w:r>
                </w:p>
              </w:tc>
            </w:tr>
            <w:tr w14:paraId="70A63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vMerge w:val="continue"/>
                  <w:tcBorders>
                    <w:tl2br w:val="nil"/>
                    <w:tr2bl w:val="nil"/>
                  </w:tcBorders>
                  <w:noWrap w:val="0"/>
                  <w:vAlign w:val="center"/>
                </w:tcPr>
                <w:p w14:paraId="7A2B6C06">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p>
              </w:tc>
              <w:tc>
                <w:tcPr>
                  <w:tcW w:w="1339" w:type="dxa"/>
                  <w:tcBorders>
                    <w:tl2br w:val="nil"/>
                    <w:tr2bl w:val="nil"/>
                  </w:tcBorders>
                  <w:noWrap w:val="0"/>
                  <w:vAlign w:val="center"/>
                </w:tcPr>
                <w:p w14:paraId="28CB49CC">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煎药室</w:t>
                  </w:r>
                </w:p>
              </w:tc>
              <w:tc>
                <w:tcPr>
                  <w:tcW w:w="2207" w:type="dxa"/>
                  <w:tcBorders>
                    <w:tl2br w:val="nil"/>
                    <w:tr2bl w:val="nil"/>
                  </w:tcBorders>
                  <w:noWrap w:val="0"/>
                  <w:vAlign w:val="center"/>
                </w:tcPr>
                <w:p w14:paraId="09F0C40E">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中药药渣</w:t>
                  </w:r>
                </w:p>
              </w:tc>
              <w:tc>
                <w:tcPr>
                  <w:tcW w:w="3812" w:type="dxa"/>
                  <w:vMerge w:val="restart"/>
                  <w:tcBorders>
                    <w:tl2br w:val="nil"/>
                    <w:tr2bl w:val="nil"/>
                  </w:tcBorders>
                  <w:noWrap w:val="0"/>
                  <w:vAlign w:val="center"/>
                </w:tcPr>
                <w:p w14:paraId="74C49793">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分类收集后由环卫部门统一清运</w:t>
                  </w:r>
                </w:p>
              </w:tc>
            </w:tr>
            <w:tr w14:paraId="4DCD7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vMerge w:val="continue"/>
                  <w:tcBorders>
                    <w:tl2br w:val="nil"/>
                    <w:tr2bl w:val="nil"/>
                  </w:tcBorders>
                  <w:noWrap w:val="0"/>
                  <w:vAlign w:val="center"/>
                </w:tcPr>
                <w:p w14:paraId="74BF03F8">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p>
              </w:tc>
              <w:tc>
                <w:tcPr>
                  <w:tcW w:w="1339" w:type="dxa"/>
                  <w:tcBorders>
                    <w:tl2br w:val="nil"/>
                    <w:tr2bl w:val="nil"/>
                  </w:tcBorders>
                  <w:noWrap w:val="0"/>
                  <w:vAlign w:val="center"/>
                </w:tcPr>
                <w:p w14:paraId="039D240E">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医院运营</w:t>
                  </w:r>
                </w:p>
              </w:tc>
              <w:tc>
                <w:tcPr>
                  <w:tcW w:w="2207" w:type="dxa"/>
                  <w:tcBorders>
                    <w:tl2br w:val="nil"/>
                    <w:tr2bl w:val="nil"/>
                  </w:tcBorders>
                  <w:noWrap w:val="0"/>
                  <w:vAlign w:val="center"/>
                </w:tcPr>
                <w:p w14:paraId="552D0C9D">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生活垃圾</w:t>
                  </w:r>
                </w:p>
              </w:tc>
              <w:tc>
                <w:tcPr>
                  <w:tcW w:w="3812" w:type="dxa"/>
                  <w:vMerge w:val="continue"/>
                  <w:tcBorders>
                    <w:tl2br w:val="nil"/>
                    <w:tr2bl w:val="nil"/>
                  </w:tcBorders>
                  <w:noWrap w:val="0"/>
                  <w:vAlign w:val="center"/>
                </w:tcPr>
                <w:p w14:paraId="3A847780">
                  <w:pPr>
                    <w:pStyle w:val="17"/>
                    <w:keepNext w:val="0"/>
                    <w:keepLines w:val="0"/>
                    <w:pageBreakBefore w:val="0"/>
                    <w:kinsoku/>
                    <w:wordWrap/>
                    <w:overflowPunct/>
                    <w:topLinePunct w:val="0"/>
                    <w:autoSpaceDE/>
                    <w:autoSpaceDN/>
                    <w:bidi w:val="0"/>
                    <w:adjustRightInd/>
                    <w:snapToGrid w:val="0"/>
                    <w:spacing w:line="260" w:lineRule="exact"/>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p>
              </w:tc>
            </w:tr>
          </w:tbl>
          <w:p w14:paraId="1F347262">
            <w:pPr>
              <w:pStyle w:val="173"/>
              <w:spacing w:line="520" w:lineRule="exact"/>
              <w:ind w:left="0" w:leftChars="0" w:firstLine="0" w:firstLineChars="0"/>
              <w:rPr>
                <w:rFonts w:hint="default" w:ascii="Times New Roman" w:hAnsi="Times New Roman" w:cs="Times New Roman"/>
                <w:bCs/>
                <w:color w:val="000000" w:themeColor="text1"/>
                <w:szCs w:val="21"/>
                <w:highlight w:val="none"/>
                <w:lang w:eastAsia="zh-CN"/>
                <w14:textFill>
                  <w14:solidFill>
                    <w14:schemeClr w14:val="tx1"/>
                  </w14:solidFill>
                </w14:textFill>
              </w:rPr>
            </w:pPr>
          </w:p>
        </w:tc>
      </w:tr>
      <w:tr w14:paraId="5216D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7" w:hRule="atLeast"/>
          <w:jc w:val="center"/>
        </w:trPr>
        <w:tc>
          <w:tcPr>
            <w:tcW w:w="496" w:type="dxa"/>
            <w:noWrap w:val="0"/>
            <w:vAlign w:val="center"/>
          </w:tcPr>
          <w:p w14:paraId="0C2A0332">
            <w:pPr>
              <w:pStyle w:val="30"/>
              <w:adjustRightInd w:val="0"/>
              <w:snapToGrid w:val="0"/>
              <w:spacing w:before="0" w:beforeAutospacing="0" w:after="0" w:afterAutospacing="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t>与项目有关的原有环境污染问题</w:t>
            </w:r>
          </w:p>
        </w:tc>
        <w:tc>
          <w:tcPr>
            <w:tcW w:w="8730" w:type="dxa"/>
            <w:noWrap w:val="0"/>
            <w:vAlign w:val="top"/>
          </w:tcPr>
          <w:p w14:paraId="7591733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2013年11月，</w:t>
            </w:r>
            <w:r>
              <w:rPr>
                <w:rFonts w:hint="default" w:ascii="Times New Roman" w:hAnsi="Times New Roman" w:cs="Times New Roman"/>
                <w:color w:val="000000" w:themeColor="text1"/>
                <w:sz w:val="24"/>
                <w:szCs w:val="22"/>
                <w:highlight w:val="none"/>
                <w14:textFill>
                  <w14:solidFill>
                    <w14:schemeClr w14:val="tx1"/>
                  </w14:solidFill>
                </w14:textFill>
              </w:rPr>
              <w:t>渑池县中医医院</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规划</w:t>
            </w:r>
            <w:r>
              <w:rPr>
                <w:rFonts w:hint="default" w:ascii="Times New Roman" w:hAnsi="Times New Roman" w:cs="Times New Roman"/>
                <w:color w:val="000000" w:themeColor="text1"/>
                <w:sz w:val="24"/>
                <w:szCs w:val="22"/>
                <w:highlight w:val="none"/>
                <w14:textFill>
                  <w14:solidFill>
                    <w14:schemeClr w14:val="tx1"/>
                  </w14:solidFill>
                </w14:textFill>
              </w:rPr>
              <w:t>迁建</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至韶州路孟岭桥西南角处，</w:t>
            </w:r>
            <w:r>
              <w:rPr>
                <w:rFonts w:hint="default" w:ascii="Times New Roman" w:hAnsi="Times New Roman" w:cs="Times New Roman"/>
                <w:color w:val="000000" w:themeColor="text1"/>
                <w:sz w:val="24"/>
                <w:szCs w:val="22"/>
                <w:highlight w:val="none"/>
                <w14:textFill>
                  <w14:solidFill>
                    <w14:schemeClr w14:val="tx1"/>
                  </w14:solidFill>
                </w14:textFill>
              </w:rPr>
              <w:t>建设规模为350张床位，总用地面积41369m</w:t>
            </w:r>
            <w:r>
              <w:rPr>
                <w:rFonts w:hint="default" w:ascii="Times New Roman" w:hAnsi="Times New Roman" w:cs="Times New Roman"/>
                <w:color w:val="000000" w:themeColor="text1"/>
                <w:sz w:val="24"/>
                <w:szCs w:val="22"/>
                <w:highlight w:val="none"/>
                <w:vertAlign w:val="superscript"/>
                <w14:textFill>
                  <w14:solidFill>
                    <w14:schemeClr w14:val="tx1"/>
                  </w14:solidFill>
                </w14:textFill>
              </w:rPr>
              <w:t>2</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；2014年8月，渑池县中医医院委托河南汇能阜力科技有限公司编制完成了《渑池县中医医院迁建项目环境影响报告书》；2014年9月11日，三门峡市环境保护局</w:t>
            </w:r>
            <w:r>
              <w:rPr>
                <w:rFonts w:hint="eastAsia" w:ascii="宋体" w:hAnsi="宋体" w:eastAsia="宋体" w:cs="宋体"/>
                <w:color w:val="000000" w:themeColor="text1"/>
                <w:sz w:val="24"/>
                <w:szCs w:val="22"/>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关于渑池县中医医院迁建项目环境影响报告书的审批意见</w:t>
            </w:r>
            <w:r>
              <w:rPr>
                <w:rFonts w:hint="eastAsia" w:ascii="宋体" w:hAnsi="宋体" w:eastAsia="宋体" w:cs="宋体"/>
                <w:color w:val="000000" w:themeColor="text1"/>
                <w:sz w:val="24"/>
                <w:szCs w:val="22"/>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，文号：三环审[2014]82号</w:t>
            </w:r>
            <w:r>
              <w:rPr>
                <w:rFonts w:hint="default" w:ascii="Times New Roman" w:hAnsi="Times New Roman" w:cs="Times New Roman"/>
                <w:color w:val="000000" w:themeColor="text1"/>
                <w:sz w:val="24"/>
                <w:szCs w:val="22"/>
                <w:highlight w:val="none"/>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目前，该医院正常运行。</w:t>
            </w:r>
          </w:p>
          <w:p w14:paraId="076CF76D">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2020年，渑池县中医院决定在中医院东侧建设感染病房楼1栋（含门诊、急诊、医技、感染病房），共设计床位100张。2021年12月，渑池县中医院委托河北创录环保科技有限公司编制完成了《渑池县中医院感染病房楼工程项目环境影响报告表》；2021年12月28日，三门峡市环境保护局渑池分局出具了</w:t>
            </w:r>
            <w:r>
              <w:rPr>
                <w:rFonts w:hint="eastAsia" w:ascii="宋体" w:hAnsi="宋体" w:eastAsia="宋体" w:cs="宋体"/>
                <w:color w:val="000000" w:themeColor="text1"/>
                <w:sz w:val="24"/>
                <w:szCs w:val="22"/>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关于渑池县中医院感染病房楼工程项目环境影响报告表的批复</w:t>
            </w:r>
            <w:r>
              <w:rPr>
                <w:rFonts w:hint="eastAsia" w:ascii="宋体" w:hAnsi="宋体" w:eastAsia="宋体" w:cs="宋体"/>
                <w:color w:val="000000" w:themeColor="text1"/>
                <w:sz w:val="24"/>
                <w:szCs w:val="22"/>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，文号：三环渑局审〔2021〕35号</w:t>
            </w:r>
            <w:r>
              <w:rPr>
                <w:rFonts w:hint="default" w:ascii="Times New Roman" w:hAnsi="Times New Roman" w:cs="Times New Roman"/>
                <w:color w:val="000000" w:themeColor="text1"/>
                <w:sz w:val="24"/>
                <w:szCs w:val="22"/>
                <w:highlight w:val="none"/>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目前，项目正在建设中。</w:t>
            </w:r>
          </w:p>
          <w:p w14:paraId="5DC9B4D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2019年，渑池县中医院决定在中医院西侧建设医养结合项目，共设置1260张床位，其中养老床位910张，住院床位350张。2022年07月，渑池县中医院委托陕西尚绿高科环境科技有限公司编制完成了《渑池县中医院医养结合项目环境影响报告表》；2022年9月19日，三门峡市环境保护局渑池分局出具了</w:t>
            </w:r>
            <w:r>
              <w:rPr>
                <w:rFonts w:hint="eastAsia" w:ascii="宋体" w:hAnsi="宋体" w:eastAsia="宋体" w:cs="宋体"/>
                <w:color w:val="000000" w:themeColor="text1"/>
                <w:sz w:val="24"/>
                <w:szCs w:val="22"/>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关于渑池县中医院医养结合项目环境影响报告表告知承诺制审批申请的批复</w:t>
            </w:r>
            <w:r>
              <w:rPr>
                <w:rFonts w:hint="eastAsia" w:ascii="宋体" w:hAnsi="宋体" w:eastAsia="宋体" w:cs="宋体"/>
                <w:color w:val="000000" w:themeColor="text1"/>
                <w:sz w:val="24"/>
                <w:szCs w:val="22"/>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，文号：三环渑局审〔2022〕19号</w:t>
            </w:r>
            <w:r>
              <w:rPr>
                <w:rFonts w:hint="default" w:ascii="Times New Roman" w:hAnsi="Times New Roman" w:cs="Times New Roman"/>
                <w:color w:val="000000" w:themeColor="text1"/>
                <w:sz w:val="24"/>
                <w:szCs w:val="22"/>
                <w:highlight w:val="none"/>
                <w14:textFill>
                  <w14:solidFill>
                    <w14:schemeClr w14:val="tx1"/>
                  </w14:solidFill>
                </w14:textFill>
              </w:rPr>
              <w:t>。</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目前，项目正在建设中。</w:t>
            </w:r>
          </w:p>
          <w:p w14:paraId="6415B60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color w:val="000000" w:themeColor="text1"/>
                <w:lang w:val="en-US" w:eastAsia="zh-CN"/>
                <w14:textFill>
                  <w14:solidFill>
                    <w14:schemeClr w14:val="tx1"/>
                  </w14:solidFill>
                </w14:textFill>
              </w:rPr>
            </w:pP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2023年05月15日，渑池县中医院完成了排污许可证延续，证书编号：12411221418285269H001U，有效期限：自2023年07月14日至2028年07月13日止。</w:t>
            </w:r>
          </w:p>
          <w:p w14:paraId="36B08475">
            <w:pPr>
              <w:pStyle w:val="194"/>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jc w:val="both"/>
              <w:textAlignment w:val="baseline"/>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t>1、</w:t>
            </w:r>
            <w:r>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t>现有工程</w:t>
            </w:r>
            <w:r>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t>概况</w:t>
            </w:r>
          </w:p>
          <w:p w14:paraId="27BDBFA4">
            <w:pPr>
              <w:pStyle w:val="194"/>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jc w:val="both"/>
              <w:textAlignment w:val="baseline"/>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zCs w:val="24"/>
                <w:highlight w:val="none"/>
                <w:lang w:val="en-US" w:eastAsia="zh-CN"/>
                <w14:textFill>
                  <w14:solidFill>
                    <w14:schemeClr w14:val="tx1"/>
                  </w14:solidFill>
                </w14:textFill>
              </w:rPr>
              <w:t>1.1工作流程及产污环节</w:t>
            </w:r>
          </w:p>
          <w:p w14:paraId="51387E7F">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（1）医疗工作流程及产污环节</w:t>
            </w:r>
          </w:p>
          <w:p w14:paraId="6E0057AD">
            <w:pPr>
              <w:widowControl/>
              <w:spacing w:line="408" w:lineRule="auto"/>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object>
                <v:shape id="_x0000_i1028" o:spt="75" alt="" type="#_x0000_t75" style="height:149.35pt;width:349.25pt;" o:ole="t" filled="f" o:preferrelative="t" stroked="f" coordsize="21600,21600">
                  <v:path/>
                  <v:fill on="f" focussize="0,0"/>
                  <v:stroke on="f"/>
                  <v:imagedata r:id="rId28" o:title=""/>
                  <o:lock v:ext="edit" aspectratio="t"/>
                  <w10:wrap type="none"/>
                  <w10:anchorlock/>
                </v:shape>
                <o:OLEObject Type="Embed" ProgID="Visio.Drawing.11" ShapeID="_x0000_i1028" DrawAspect="Content" ObjectID="_1468075728" r:id="rId27">
                  <o:LockedField>false</o:LockedField>
                </o:OLEObject>
              </w:object>
            </w:r>
          </w:p>
          <w:p w14:paraId="4CFDA37A">
            <w:pPr>
              <w:widowControl/>
              <w:spacing w:line="360" w:lineRule="auto"/>
              <w:jc w:val="center"/>
              <w:rPr>
                <w:rFonts w:hint="default" w:ascii="Times New Roman" w:hAnsi="Times New Roman" w:eastAsia="黑体" w:cs="Times New Roman"/>
                <w:color w:val="000000" w:themeColor="text1"/>
                <w:sz w:val="24"/>
                <w:szCs w:val="24"/>
                <w:highlight w:val="none"/>
                <w14:textFill>
                  <w14:solidFill>
                    <w14:schemeClr w14:val="tx1"/>
                  </w14:solidFill>
                </w14:textFill>
              </w:rPr>
            </w:pPr>
            <w:r>
              <w:rPr>
                <w:rFonts w:hint="default" w:ascii="Times New Roman" w:hAnsi="Times New Roman" w:eastAsia="黑体" w:cs="Times New Roman"/>
                <w:color w:val="000000" w:themeColor="text1"/>
                <w:sz w:val="24"/>
                <w:szCs w:val="24"/>
                <w:highlight w:val="none"/>
                <w14:textFill>
                  <w14:solidFill>
                    <w14:schemeClr w14:val="tx1"/>
                  </w14:solidFill>
                </w14:textFill>
              </w:rPr>
              <w:t>图</w:t>
            </w:r>
            <w:r>
              <w:rPr>
                <w:rFonts w:hint="eastAsia" w:ascii="Times New Roman" w:hAnsi="Times New Roman" w:eastAsia="黑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eastAsia" w:ascii="Times New Roman" w:hAnsi="Times New Roman" w:eastAsia="黑体" w:cs="Times New Roman"/>
                <w:bCs/>
                <w:color w:val="000000" w:themeColor="text1"/>
                <w:kern w:val="28"/>
                <w:sz w:val="24"/>
                <w:szCs w:val="24"/>
                <w:highlight w:val="none"/>
                <w:lang w:val="en-US" w:eastAsia="zh-CN"/>
                <w14:textFill>
                  <w14:solidFill>
                    <w14:schemeClr w14:val="tx1"/>
                  </w14:solidFill>
                </w14:textFill>
              </w:rPr>
              <w:t>医疗工作流程</w:t>
            </w:r>
            <w:r>
              <w:rPr>
                <w:rFonts w:hint="default" w:ascii="Times New Roman" w:hAnsi="Times New Roman" w:eastAsia="黑体" w:cs="Times New Roman"/>
                <w:bCs/>
                <w:color w:val="000000" w:themeColor="text1"/>
                <w:kern w:val="28"/>
                <w:sz w:val="24"/>
                <w:szCs w:val="24"/>
                <w:highlight w:val="none"/>
                <w14:textFill>
                  <w14:solidFill>
                    <w14:schemeClr w14:val="tx1"/>
                  </w14:solidFill>
                </w14:textFill>
              </w:rPr>
              <w:t>及产污环节</w:t>
            </w:r>
          </w:p>
          <w:p w14:paraId="7CAB44DF">
            <w:pPr>
              <w:keepNext w:val="0"/>
              <w:keepLines w:val="0"/>
              <w:pageBreakBefore w:val="0"/>
              <w:widowControl/>
              <w:kinsoku/>
              <w:wordWrap/>
              <w:overflowPunct/>
              <w:topLinePunct w:val="0"/>
              <w:autoSpaceDE/>
              <w:autoSpaceDN/>
              <w:bidi w:val="0"/>
              <w:adjustRightInd/>
              <w:snapToGrid/>
              <w:spacing w:line="42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（2）煎药室煎制工艺流程及产污环节</w:t>
            </w:r>
          </w:p>
          <w:p w14:paraId="63E0C743">
            <w:pPr>
              <w:widowControl/>
              <w:spacing w:line="408" w:lineRule="auto"/>
              <w:ind w:firstLine="482"/>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object>
                <v:shape id="_x0000_i1029" o:spt="75" alt="" type="#_x0000_t75" style="height:127.25pt;width:263.85pt;" o:ole="t" filled="f" o:preferrelative="t" stroked="f" coordsize="21600,21600">
                  <v:path/>
                  <v:fill on="f" focussize="0,0"/>
                  <v:stroke on="f"/>
                  <v:imagedata r:id="rId30" o:title=""/>
                  <o:lock v:ext="edit" aspectratio="t"/>
                  <w10:wrap type="none"/>
                  <w10:anchorlock/>
                </v:shape>
                <o:OLEObject Type="Embed" ProgID="Visio.Drawing.11" ShapeID="_x0000_i1029" DrawAspect="Content" ObjectID="_1468075729" r:id="rId29">
                  <o:LockedField>false</o:LockedField>
                </o:OLEObject>
              </w:object>
            </w:r>
          </w:p>
          <w:p w14:paraId="100A6DBB">
            <w:pPr>
              <w:keepNext w:val="0"/>
              <w:keepLines w:val="0"/>
              <w:pageBreakBefore w:val="0"/>
              <w:widowControl/>
              <w:kinsoku/>
              <w:wordWrap/>
              <w:overflowPunct/>
              <w:topLinePunct w:val="0"/>
              <w:autoSpaceDE/>
              <w:autoSpaceDN/>
              <w:bidi w:val="0"/>
              <w:adjustRightInd/>
              <w:snapToGrid/>
              <w:spacing w:line="360" w:lineRule="auto"/>
              <w:ind w:firstLine="482"/>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黑体" w:cs="Times New Roman"/>
                <w:bCs/>
                <w:color w:val="000000" w:themeColor="text1"/>
                <w:kern w:val="28"/>
                <w:sz w:val="24"/>
                <w:szCs w:val="24"/>
                <w:highlight w:val="none"/>
                <w14:textFill>
                  <w14:solidFill>
                    <w14:schemeClr w14:val="tx1"/>
                  </w14:solidFill>
                </w14:textFill>
              </w:rPr>
              <w:t>图</w:t>
            </w:r>
            <w:r>
              <w:rPr>
                <w:rFonts w:hint="eastAsia" w:ascii="Times New Roman" w:hAnsi="Times New Roman" w:eastAsia="黑体" w:cs="Times New Roman"/>
                <w:bCs/>
                <w:color w:val="000000" w:themeColor="text1"/>
                <w:kern w:val="28"/>
                <w:sz w:val="24"/>
                <w:szCs w:val="24"/>
                <w:highlight w:val="none"/>
                <w:lang w:val="en-US" w:eastAsia="zh-CN"/>
                <w14:textFill>
                  <w14:solidFill>
                    <w14:schemeClr w14:val="tx1"/>
                  </w14:solidFill>
                </w14:textFill>
              </w:rPr>
              <w:t>5</w:t>
            </w:r>
            <w:r>
              <w:rPr>
                <w:rFonts w:hint="default" w:ascii="Times New Roman" w:hAnsi="Times New Roman" w:eastAsia="黑体" w:cs="Times New Roman"/>
                <w:bCs/>
                <w:color w:val="000000" w:themeColor="text1"/>
                <w:kern w:val="28"/>
                <w:sz w:val="24"/>
                <w:szCs w:val="24"/>
                <w:highlight w:val="none"/>
                <w14:textFill>
                  <w14:solidFill>
                    <w14:schemeClr w14:val="tx1"/>
                  </w14:solidFill>
                </w14:textFill>
              </w:rPr>
              <w:t xml:space="preserve">   </w:t>
            </w:r>
            <w:r>
              <w:rPr>
                <w:rFonts w:hint="eastAsia" w:ascii="Times New Roman" w:hAnsi="Times New Roman" w:eastAsia="黑体" w:cs="Times New Roman"/>
                <w:bCs/>
                <w:color w:val="000000" w:themeColor="text1"/>
                <w:kern w:val="28"/>
                <w:sz w:val="24"/>
                <w:szCs w:val="24"/>
                <w:highlight w:val="none"/>
                <w:lang w:val="en-US" w:eastAsia="zh-CN"/>
                <w14:textFill>
                  <w14:solidFill>
                    <w14:schemeClr w14:val="tx1"/>
                  </w14:solidFill>
                </w14:textFill>
              </w:rPr>
              <w:t>煎药室煎制</w:t>
            </w:r>
            <w:r>
              <w:rPr>
                <w:rFonts w:hint="default" w:ascii="Times New Roman" w:hAnsi="Times New Roman" w:eastAsia="黑体" w:cs="Times New Roman"/>
                <w:bCs/>
                <w:color w:val="000000" w:themeColor="text1"/>
                <w:kern w:val="28"/>
                <w:sz w:val="24"/>
                <w:szCs w:val="24"/>
                <w:highlight w:val="none"/>
                <w14:textFill>
                  <w14:solidFill>
                    <w14:schemeClr w14:val="tx1"/>
                  </w14:solidFill>
                </w14:textFill>
              </w:rPr>
              <w:t>工艺流程及产污环节</w:t>
            </w:r>
          </w:p>
          <w:p w14:paraId="354C91FC">
            <w:pPr>
              <w:pStyle w:val="194"/>
              <w:keepNext w:val="0"/>
              <w:keepLines w:val="0"/>
              <w:pageBreakBefore w:val="0"/>
              <w:widowControl w:val="0"/>
              <w:kinsoku/>
              <w:wordWrap/>
              <w:overflowPunct/>
              <w:topLinePunct w:val="0"/>
              <w:autoSpaceDE/>
              <w:autoSpaceDN/>
              <w:bidi w:val="0"/>
              <w:adjustRightInd w:val="0"/>
              <w:snapToGrid w:val="0"/>
              <w:spacing w:after="0" w:line="420" w:lineRule="auto"/>
              <w:ind w:firstLine="480" w:firstLineChars="200"/>
              <w:jc w:val="both"/>
              <w:textAlignment w:val="baseline"/>
              <w:rPr>
                <w:rFonts w:hint="default" w:ascii="Times New Roman" w:hAnsi="Times New Roman" w:cs="Times New Roman"/>
                <w:b w:val="0"/>
                <w:bCs/>
                <w:color w:val="000000" w:themeColor="text1"/>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Cs w:val="24"/>
                <w:highlight w:val="none"/>
                <w:lang w:val="en-US" w:eastAsia="zh-CN"/>
                <w14:textFill>
                  <w14:solidFill>
                    <w14:schemeClr w14:val="tx1"/>
                  </w14:solidFill>
                </w14:textFill>
              </w:rPr>
              <w:t>（3）制氧站工艺流程及产污环节</w:t>
            </w:r>
          </w:p>
          <w:p w14:paraId="4715E86F">
            <w:pPr>
              <w:pStyle w:val="194"/>
              <w:keepNext w:val="0"/>
              <w:keepLines w:val="0"/>
              <w:pageBreakBefore w:val="0"/>
              <w:widowControl w:val="0"/>
              <w:kinsoku/>
              <w:wordWrap/>
              <w:overflowPunct/>
              <w:topLinePunct w:val="0"/>
              <w:autoSpaceDE/>
              <w:autoSpaceDN/>
              <w:bidi w:val="0"/>
              <w:adjustRightInd w:val="0"/>
              <w:snapToGrid w:val="0"/>
              <w:spacing w:after="0" w:line="420" w:lineRule="auto"/>
              <w:jc w:val="center"/>
              <w:textAlignment w:val="baseline"/>
              <w:rPr>
                <w:rFonts w:hint="eastAsia" w:ascii="Times New Roman" w:hAnsi="Times New Roman" w:cs="Times New Roman"/>
                <w:b w:val="0"/>
                <w:bCs/>
                <w:color w:val="000000" w:themeColor="text1"/>
                <w:szCs w:val="24"/>
                <w:highlight w:val="none"/>
                <w:lang w:val="en-US" w:eastAsia="zh-CN"/>
                <w14:textFill>
                  <w14:solidFill>
                    <w14:schemeClr w14:val="tx1"/>
                  </w14:solidFill>
                </w14:textFill>
              </w:rPr>
            </w:pPr>
            <w:r>
              <w:rPr>
                <w:rFonts w:hint="eastAsia" w:ascii="Times New Roman" w:hAnsi="Times New Roman" w:cs="Times New Roman"/>
                <w:b w:val="0"/>
                <w:bCs/>
                <w:color w:val="000000" w:themeColor="text1"/>
                <w:szCs w:val="24"/>
                <w:highlight w:val="none"/>
                <w:lang w:val="en-US" w:eastAsia="zh-CN"/>
                <w14:textFill>
                  <w14:solidFill>
                    <w14:schemeClr w14:val="tx1"/>
                  </w14:solidFill>
                </w14:textFill>
              </w:rPr>
              <w:object>
                <v:shape id="_x0000_i1030" o:spt="75" alt="" type="#_x0000_t75" style="height:174pt;width:309.55pt;" o:ole="t" filled="f" o:preferrelative="t" stroked="f" coordsize="21600,21600">
                  <v:path/>
                  <v:fill on="f" focussize="0,0"/>
                  <v:stroke on="f"/>
                  <v:imagedata r:id="rId32" o:title=""/>
                  <o:lock v:ext="edit" aspectratio="f"/>
                  <w10:wrap type="none"/>
                  <w10:anchorlock/>
                </v:shape>
                <o:OLEObject Type="Embed" ProgID="Visio.Drawing.11" ShapeID="_x0000_i1030" DrawAspect="Content" ObjectID="_1468075730" r:id="rId31">
                  <o:LockedField>false</o:LockedField>
                </o:OLEObject>
              </w:object>
            </w:r>
          </w:p>
          <w:p w14:paraId="0F009533">
            <w:pPr>
              <w:widowControl/>
              <w:spacing w:line="240" w:lineRule="auto"/>
              <w:ind w:firstLine="482"/>
              <w:jc w:val="center"/>
              <w:rPr>
                <w:rFonts w:hint="eastAsia" w:ascii="Times New Roman" w:hAnsi="Times New Roman" w:eastAsia="黑体" w:cs="Times New Roman"/>
                <w:bCs/>
                <w:color w:val="000000" w:themeColor="text1"/>
                <w:kern w:val="28"/>
                <w:sz w:val="24"/>
                <w:szCs w:val="24"/>
                <w:highlight w:val="none"/>
                <w:lang w:val="en-US" w:eastAsia="zh-CN"/>
                <w14:textFill>
                  <w14:solidFill>
                    <w14:schemeClr w14:val="tx1"/>
                  </w14:solidFill>
                </w14:textFill>
              </w:rPr>
            </w:pPr>
            <w:r>
              <w:rPr>
                <w:rFonts w:hint="eastAsia" w:ascii="Times New Roman" w:hAnsi="Times New Roman" w:eastAsia="黑体" w:cs="Times New Roman"/>
                <w:bCs/>
                <w:color w:val="000000" w:themeColor="text1"/>
                <w:kern w:val="28"/>
                <w:sz w:val="24"/>
                <w:szCs w:val="24"/>
                <w:highlight w:val="none"/>
                <w:lang w:val="en-US" w:eastAsia="zh-CN"/>
                <w14:textFill>
                  <w14:solidFill>
                    <w14:schemeClr w14:val="tx1"/>
                  </w14:solidFill>
                </w14:textFill>
              </w:rPr>
              <w:t>图6   制氧站工艺流程及产污环节</w:t>
            </w:r>
          </w:p>
          <w:p w14:paraId="46EE11CF">
            <w:pPr>
              <w:pStyle w:val="194"/>
              <w:keepNext w:val="0"/>
              <w:keepLines w:val="0"/>
              <w:pageBreakBefore w:val="0"/>
              <w:widowControl w:val="0"/>
              <w:kinsoku/>
              <w:wordWrap/>
              <w:overflowPunct/>
              <w:topLinePunct w:val="0"/>
              <w:autoSpaceDE/>
              <w:autoSpaceDN/>
              <w:bidi w:val="0"/>
              <w:adjustRightInd w:val="0"/>
              <w:snapToGrid w:val="0"/>
              <w:spacing w:after="0" w:line="520" w:lineRule="exact"/>
              <w:ind w:firstLine="482" w:firstLineChars="200"/>
              <w:jc w:val="both"/>
              <w:textAlignment w:val="baseline"/>
              <w:outlineLvl w:val="9"/>
              <w:rPr>
                <w:rFonts w:hint="eastAsia" w:ascii="Times New Roman" w:hAnsi="Times New Roman" w:cs="Times New Roman"/>
                <w:b/>
                <w:bCs w:val="0"/>
                <w:color w:val="000000" w:themeColor="text1"/>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zCs w:val="24"/>
                <w:highlight w:val="none"/>
                <w:lang w:val="en-US" w:eastAsia="zh-CN"/>
                <w14:textFill>
                  <w14:solidFill>
                    <w14:schemeClr w14:val="tx1"/>
                  </w14:solidFill>
                </w14:textFill>
              </w:rPr>
              <w:t>工艺流程简述：</w:t>
            </w:r>
          </w:p>
          <w:p w14:paraId="15598B71">
            <w:pPr>
              <w:pStyle w:val="194"/>
              <w:keepNext w:val="0"/>
              <w:keepLines w:val="0"/>
              <w:pageBreakBefore w:val="0"/>
              <w:widowControl w:val="0"/>
              <w:kinsoku/>
              <w:wordWrap/>
              <w:overflowPunct/>
              <w:topLinePunct w:val="0"/>
              <w:autoSpaceDE/>
              <w:autoSpaceDN/>
              <w:bidi w:val="0"/>
              <w:adjustRightInd w:val="0"/>
              <w:snapToGrid w:val="0"/>
              <w:spacing w:after="0" w:line="520" w:lineRule="exact"/>
              <w:ind w:firstLine="480" w:firstLineChars="200"/>
              <w:jc w:val="both"/>
              <w:textAlignment w:val="baseline"/>
              <w:outlineLvl w:val="9"/>
              <w:rPr>
                <w:rFonts w:hint="default" w:ascii="Times New Roman" w:hAnsi="Times New Roman" w:cs="Times New Roman"/>
                <w:b w:val="0"/>
                <w:bCs/>
                <w:color w:val="000000" w:themeColor="text1"/>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Cs w:val="24"/>
                <w:highlight w:val="none"/>
                <w:lang w:val="en-US" w:eastAsia="zh-CN"/>
                <w14:textFill>
                  <w14:solidFill>
                    <w14:schemeClr w14:val="tx1"/>
                  </w14:solidFill>
                </w14:textFill>
              </w:rPr>
              <w:t>空气进入空压机，经过压缩后排气压力为0.75Mpa。压缩空气继续通过初级精密过滤器，用于除去液态水，过滤精度&lt;3μm。此时，压缩空气进入压力露点为2</w:t>
            </w:r>
            <w:r>
              <w:rPr>
                <w:rFonts w:hint="eastAsia" w:ascii="Times New Roman" w:hAnsi="Times New Roman" w:cs="Times New Roman"/>
                <w:b w:val="0"/>
                <w:bCs/>
                <w:color w:val="000000" w:themeColor="text1"/>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Cs w:val="24"/>
                <w:highlight w:val="none"/>
                <w:lang w:val="en-US" w:eastAsia="zh-CN"/>
                <w14:textFill>
                  <w14:solidFill>
                    <w14:schemeClr w14:val="tx1"/>
                  </w14:solidFill>
                </w14:textFill>
              </w:rPr>
              <w:t>10℃的风冷型冷冻式干燥机，排气温度&lt;40℃。压缩空气冷却后首先进入中级精密过滤器，除去压缩空气中凝结的水分，接着进入精密除油过滤器，除掉压缩空气中未除净的微量油量和碳氢化合物，然后进入空气储气罐。空气储气罐的作用是存贮压缩空气，维持压缩空气的压力平衡，为制氧主机提供稳定的净化气源。</w:t>
            </w:r>
          </w:p>
          <w:p w14:paraId="5D7A4257">
            <w:pPr>
              <w:pStyle w:val="194"/>
              <w:keepNext w:val="0"/>
              <w:keepLines w:val="0"/>
              <w:pageBreakBefore w:val="0"/>
              <w:widowControl w:val="0"/>
              <w:kinsoku/>
              <w:wordWrap/>
              <w:overflowPunct/>
              <w:topLinePunct w:val="0"/>
              <w:autoSpaceDE/>
              <w:autoSpaceDN/>
              <w:bidi w:val="0"/>
              <w:adjustRightInd w:val="0"/>
              <w:snapToGrid w:val="0"/>
              <w:spacing w:after="0" w:line="520" w:lineRule="exact"/>
              <w:ind w:firstLine="480" w:firstLineChars="200"/>
              <w:jc w:val="both"/>
              <w:textAlignment w:val="baseline"/>
              <w:outlineLvl w:val="9"/>
              <w:rPr>
                <w:rFonts w:hint="default" w:ascii="Times New Roman" w:hAnsi="Times New Roman" w:cs="Times New Roman"/>
                <w:b w:val="0"/>
                <w:bCs/>
                <w:color w:val="000000" w:themeColor="text1"/>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Cs w:val="24"/>
                <w:highlight w:val="none"/>
                <w:lang w:val="en-US" w:eastAsia="zh-CN"/>
                <w14:textFill>
                  <w14:solidFill>
                    <w14:schemeClr w14:val="tx1"/>
                  </w14:solidFill>
                </w14:textFill>
              </w:rPr>
              <w:t>利用变压吸附原理的制氧主机内装有可吸附氮气分子的专用碳分子筛双塔</w:t>
            </w:r>
            <w:r>
              <w:rPr>
                <w:rFonts w:hint="eastAsia" w:ascii="Times New Roman" w:hAnsi="Times New Roman" w:cs="Times New Roman"/>
                <w:b w:val="0"/>
                <w:bCs/>
                <w:color w:val="000000" w:themeColor="text1"/>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Cs w:val="24"/>
                <w:highlight w:val="none"/>
                <w:lang w:val="en-US" w:eastAsia="zh-CN"/>
                <w14:textFill>
                  <w14:solidFill>
                    <w14:schemeClr w14:val="tx1"/>
                  </w14:solidFill>
                </w14:textFill>
              </w:rPr>
              <w:t>和受控制的气体阀门组成。利用变压原理，自动的将压缩空气分离成纯净的氧气，即碳分子筛优先吸附空气中的的氮原子，未被吸附的氧原子穿过吸附床成为成品氧气。两个塔一个吸附制氧，一个解析再生，相互交替工作，连续生成氧气。生成的氧气输入氧气储气罐，然后通过高效消毒除菌过滤器和后级高效消毒除菌过滤器，供给氧气分气缸</w:t>
            </w:r>
            <w:r>
              <w:rPr>
                <w:rFonts w:hint="eastAsia" w:ascii="Times New Roman" w:hAnsi="Times New Roman" w:cs="Times New Roman"/>
                <w:b w:val="0"/>
                <w:bCs/>
                <w:color w:val="000000" w:themeColor="text1"/>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Cs w:val="24"/>
                <w:highlight w:val="none"/>
                <w:lang w:val="en-US" w:eastAsia="zh-CN"/>
                <w14:textFill>
                  <w14:solidFill>
                    <w14:schemeClr w14:val="tx1"/>
                  </w14:solidFill>
                </w14:textFill>
              </w:rPr>
              <w:t>再分别供给用氧区域。自动切换氧气汇流排作为备用。</w:t>
            </w:r>
          </w:p>
          <w:p w14:paraId="6168FD12">
            <w:pPr>
              <w:pStyle w:val="194"/>
              <w:keepNext w:val="0"/>
              <w:keepLines w:val="0"/>
              <w:pageBreakBefore w:val="0"/>
              <w:widowControl w:val="0"/>
              <w:kinsoku/>
              <w:wordWrap/>
              <w:overflowPunct/>
              <w:topLinePunct w:val="0"/>
              <w:autoSpaceDE/>
              <w:autoSpaceDN/>
              <w:bidi w:val="0"/>
              <w:adjustRightInd w:val="0"/>
              <w:snapToGrid w:val="0"/>
              <w:spacing w:after="0" w:line="520" w:lineRule="exact"/>
              <w:jc w:val="both"/>
              <w:textAlignment w:val="baseline"/>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t>1.2</w:t>
            </w:r>
            <w:r>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t>现有工程污染物排放情况</w:t>
            </w:r>
          </w:p>
          <w:p w14:paraId="670D142D">
            <w:pPr>
              <w:keepNext w:val="0"/>
              <w:keepLines w:val="0"/>
              <w:pageBreakBefore w:val="0"/>
              <w:widowControl w:val="0"/>
              <w:numPr>
                <w:ilvl w:val="0"/>
                <w:numId w:val="4"/>
              </w:numPr>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废气</w:t>
            </w:r>
          </w:p>
          <w:p w14:paraId="10C7A639">
            <w:pPr>
              <w:pStyle w:val="20"/>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现有工程产生的废气主要为污水处理站产生的恶臭气体、食堂油烟、煎药室废气以及汽车尾气。其中污水处理站采用地埋式加盖密闭，恶臭气体经风机引至病房楼顶（50m）排放；食堂油烟经油烟净化装置处理后引至病房楼顶（与污水处理站恶臭气体共用1根排气筒）排放；煎药室废气经集气罩收集后引至病房楼顶（与污水处理站恶臭气体</w:t>
            </w: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共用1根排气筒）排放；汽车尾气则通过机械排放系统排放。</w:t>
            </w:r>
          </w:p>
          <w:p w14:paraId="6C52C8E2">
            <w:pPr>
              <w:pStyle w:val="20"/>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eastAsia="宋体" w:cs="Times New Roman"/>
                <w:bCs/>
                <w:color w:val="000000" w:themeColor="text1"/>
                <w:kern w:val="28"/>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根据河南鼎晟检测技术有限公司202</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3</w:t>
            </w: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年0</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8</w:t>
            </w: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月</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02</w:t>
            </w: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日对现有工程</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废气无组织监测结果可知（见附件6），污水处理站四周</w:t>
            </w:r>
            <w:r>
              <w:rPr>
                <w:rFonts w:hint="default" w:ascii="Times New Roman" w:hAnsi="Times New Roman" w:cs="Times New Roman"/>
                <w:bCs/>
                <w:color w:val="000000" w:themeColor="text1"/>
                <w:sz w:val="24"/>
                <w:highlight w:val="none"/>
                <w14:textFill>
                  <w14:solidFill>
                    <w14:schemeClr w14:val="tx1"/>
                  </w14:solidFill>
                </w14:textFill>
              </w:rPr>
              <w:t>无组织</w:t>
            </w:r>
            <w:r>
              <w:rPr>
                <w:rFonts w:hint="default" w:ascii="Times New Roman" w:hAnsi="Times New Roman" w:cs="Times New Roman"/>
                <w:bCs/>
                <w:color w:val="000000" w:themeColor="text1"/>
                <w:sz w:val="24"/>
                <w:szCs w:val="24"/>
                <w:highlight w:val="none"/>
                <w14:textFill>
                  <w14:solidFill>
                    <w14:schemeClr w14:val="tx1"/>
                  </w14:solidFill>
                </w14:textFill>
              </w:rPr>
              <w:t>监控点</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甲烷最高体积</w:t>
            </w:r>
            <w:r>
              <w:rPr>
                <w:rFonts w:hint="default" w:ascii="Times New Roman" w:hAnsi="Times New Roman" w:cs="Times New Roman"/>
                <w:bCs/>
                <w:color w:val="000000" w:themeColor="text1"/>
                <w:sz w:val="24"/>
                <w:szCs w:val="24"/>
                <w:highlight w:val="none"/>
                <w14:textFill>
                  <w14:solidFill>
                    <w14:schemeClr w14:val="tx1"/>
                  </w14:solidFill>
                </w14:textFill>
              </w:rPr>
              <w:t>浓度</w:t>
            </w:r>
            <w:r>
              <w:rPr>
                <w:rFonts w:hint="default" w:ascii="Times New Roman" w:hAnsi="Times New Roman" w:cs="Times New Roman"/>
                <w:bCs/>
                <w:color w:val="000000" w:themeColor="text1"/>
                <w:sz w:val="24"/>
                <w:highlight w:val="none"/>
                <w14:textFill>
                  <w14:solidFill>
                    <w14:schemeClr w14:val="tx1"/>
                  </w14:solidFill>
                </w14:textFill>
              </w:rPr>
              <w:t>为</w:t>
            </w:r>
            <w:r>
              <w:rPr>
                <w:rFonts w:hint="eastAsia" w:ascii="Times New Roman" w:hAnsi="Times New Roman" w:cs="Times New Roman"/>
                <w:bCs/>
                <w:color w:val="000000" w:themeColor="text1"/>
                <w:sz w:val="24"/>
                <w:highlight w:val="none"/>
                <w:lang w:val="en-US" w:eastAsia="zh-CN"/>
                <w14:textFill>
                  <w14:solidFill>
                    <w14:schemeClr w14:val="tx1"/>
                  </w14:solidFill>
                </w14:textFill>
              </w:rPr>
              <w:t>0.00055%~0.00061%</w:t>
            </w:r>
            <w:r>
              <w:rPr>
                <w:rFonts w:hint="default" w:ascii="Times New Roman" w:hAnsi="Times New Roman" w:cs="Times New Roman"/>
                <w:bCs/>
                <w:color w:val="000000" w:themeColor="text1"/>
                <w:sz w:val="24"/>
                <w:highlight w:val="none"/>
                <w:lang w:val="en-US" w:eastAsia="zh-CN"/>
                <w14:textFill>
                  <w14:solidFill>
                    <w14:schemeClr w14:val="tx1"/>
                  </w14:solidFill>
                </w14:textFill>
              </w:rPr>
              <w:t>，满足《医疗机构水污染物排放标准》（GB18466-2005）表3标准要求</w:t>
            </w:r>
            <w:r>
              <w:rPr>
                <w:rFonts w:hint="eastAsia" w:ascii="Times New Roman" w:hAnsi="Times New Roman"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厂界四周无组织</w:t>
            </w:r>
            <w:r>
              <w:rPr>
                <w:rFonts w:hint="default" w:ascii="Times New Roman" w:hAnsi="Times New Roman" w:cs="Times New Roman"/>
                <w:bCs/>
                <w:color w:val="000000" w:themeColor="text1"/>
                <w:sz w:val="24"/>
                <w:szCs w:val="24"/>
                <w:highlight w:val="none"/>
                <w14:textFill>
                  <w14:solidFill>
                    <w14:schemeClr w14:val="tx1"/>
                  </w14:solidFill>
                </w14:textFill>
              </w:rPr>
              <w:t>监控点</w:t>
            </w:r>
            <w:r>
              <w:rPr>
                <w:rFonts w:hint="default" w:ascii="Times New Roman" w:hAnsi="Times New Roman" w:cs="Times New Roman"/>
                <w:bCs/>
                <w:color w:val="000000" w:themeColor="text1"/>
                <w:sz w:val="24"/>
                <w:highlight w:val="none"/>
                <w:lang w:val="en-US" w:eastAsia="zh-CN"/>
                <w14:textFill>
                  <w14:solidFill>
                    <w14:schemeClr w14:val="tx1"/>
                  </w14:solidFill>
                </w14:textFill>
              </w:rPr>
              <w:t>NH</w:t>
            </w:r>
            <w:r>
              <w:rPr>
                <w:rFonts w:hint="default" w:ascii="Times New Roman" w:hAnsi="Times New Roman" w:cs="Times New Roman"/>
                <w:bCs/>
                <w:color w:val="000000" w:themeColor="text1"/>
                <w:sz w:val="24"/>
                <w:highlight w:val="none"/>
                <w:vertAlign w:val="subscript"/>
                <w:lang w:val="en-US" w:eastAsia="zh-CN"/>
                <w14:textFill>
                  <w14:solidFill>
                    <w14:schemeClr w14:val="tx1"/>
                  </w14:solidFill>
                </w14:textFill>
              </w:rPr>
              <w:t>3</w:t>
            </w:r>
            <w:r>
              <w:rPr>
                <w:rFonts w:hint="default" w:ascii="Times New Roman" w:hAnsi="Times New Roman" w:cs="Times New Roman"/>
                <w:bCs/>
                <w:color w:val="000000" w:themeColor="text1"/>
                <w:sz w:val="24"/>
                <w:szCs w:val="24"/>
                <w:highlight w:val="none"/>
                <w14:textFill>
                  <w14:solidFill>
                    <w14:schemeClr w14:val="tx1"/>
                  </w14:solidFill>
                </w14:textFill>
              </w:rPr>
              <w:t>浓度</w:t>
            </w:r>
            <w:r>
              <w:rPr>
                <w:rFonts w:hint="default" w:ascii="Times New Roman" w:hAnsi="Times New Roman" w:cs="Times New Roman"/>
                <w:bCs/>
                <w:color w:val="000000" w:themeColor="text1"/>
                <w:sz w:val="24"/>
                <w:highlight w:val="none"/>
                <w14:textFill>
                  <w14:solidFill>
                    <w14:schemeClr w14:val="tx1"/>
                  </w14:solidFill>
                </w14:textFill>
              </w:rPr>
              <w:t>为</w:t>
            </w:r>
            <w:r>
              <w:rPr>
                <w:rFonts w:hint="eastAsia" w:ascii="Times New Roman" w:hAnsi="Times New Roman" w:cs="Times New Roman"/>
                <w:bCs/>
                <w:color w:val="000000" w:themeColor="text1"/>
                <w:sz w:val="24"/>
                <w:highlight w:val="none"/>
                <w:lang w:val="en-US" w:eastAsia="zh-CN"/>
                <w14:textFill>
                  <w14:solidFill>
                    <w14:schemeClr w14:val="tx1"/>
                  </w14:solidFill>
                </w14:textFill>
              </w:rPr>
              <w:t>0.16</w:t>
            </w:r>
            <w:r>
              <w:rPr>
                <w:rFonts w:hint="default" w:ascii="Times New Roman" w:hAnsi="Times New Roman" w:cs="Times New Roman"/>
                <w:bCs/>
                <w:color w:val="000000" w:themeColor="text1"/>
                <w:sz w:val="24"/>
                <w:highlight w:val="none"/>
                <w14:textFill>
                  <w14:solidFill>
                    <w14:schemeClr w14:val="tx1"/>
                  </w14:solidFill>
                </w14:textFill>
              </w:rPr>
              <w:t>mg/m</w:t>
            </w:r>
            <w:r>
              <w:rPr>
                <w:rFonts w:hint="default" w:ascii="Times New Roman" w:hAnsi="Times New Roman" w:cs="Times New Roman"/>
                <w:bCs/>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bCs/>
                <w:color w:val="000000" w:themeColor="text1"/>
                <w:sz w:val="24"/>
                <w:highlight w:val="none"/>
                <w14:textFill>
                  <w14:solidFill>
                    <w14:schemeClr w14:val="tx1"/>
                  </w14:solidFill>
                </w14:textFill>
              </w:rPr>
              <w:t>~0.</w:t>
            </w:r>
            <w:r>
              <w:rPr>
                <w:rFonts w:hint="eastAsia" w:ascii="Times New Roman" w:hAnsi="Times New Roman" w:cs="Times New Roman"/>
                <w:bCs/>
                <w:color w:val="000000" w:themeColor="text1"/>
                <w:sz w:val="24"/>
                <w:highlight w:val="none"/>
                <w:lang w:val="en-US" w:eastAsia="zh-CN"/>
                <w14:textFill>
                  <w14:solidFill>
                    <w14:schemeClr w14:val="tx1"/>
                  </w14:solidFill>
                </w14:textFill>
              </w:rPr>
              <w:t>23</w:t>
            </w:r>
            <w:r>
              <w:rPr>
                <w:rFonts w:hint="default" w:ascii="Times New Roman" w:hAnsi="Times New Roman" w:cs="Times New Roman"/>
                <w:bCs/>
                <w:color w:val="000000" w:themeColor="text1"/>
                <w:sz w:val="24"/>
                <w:highlight w:val="none"/>
                <w14:textFill>
                  <w14:solidFill>
                    <w14:schemeClr w14:val="tx1"/>
                  </w14:solidFill>
                </w14:textFill>
              </w:rPr>
              <w:t>mg/m</w:t>
            </w:r>
            <w:r>
              <w:rPr>
                <w:rFonts w:hint="default" w:ascii="Times New Roman" w:hAnsi="Times New Roman" w:cs="Times New Roman"/>
                <w:bCs/>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bCs/>
                <w:color w:val="000000" w:themeColor="text1"/>
                <w:sz w:val="24"/>
                <w:highlight w:val="none"/>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H</w:t>
            </w:r>
            <w:r>
              <w:rPr>
                <w:rFonts w:hint="default" w:ascii="Times New Roman" w:hAnsi="Times New Roman" w:cs="Times New Roman"/>
                <w:bCs/>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cs="Times New Roman"/>
                <w:bCs/>
                <w:color w:val="000000" w:themeColor="text1"/>
                <w:sz w:val="24"/>
                <w:highlight w:val="none"/>
                <w:lang w:val="en-US" w:eastAsia="zh-CN"/>
                <w14:textFill>
                  <w14:solidFill>
                    <w14:schemeClr w14:val="tx1"/>
                  </w14:solidFill>
                </w14:textFill>
              </w:rPr>
              <w:t>S</w:t>
            </w:r>
            <w:r>
              <w:rPr>
                <w:rFonts w:hint="default" w:ascii="Times New Roman" w:hAnsi="Times New Roman" w:cs="Times New Roman"/>
                <w:bCs/>
                <w:color w:val="000000" w:themeColor="text1"/>
                <w:sz w:val="24"/>
                <w:szCs w:val="24"/>
                <w:highlight w:val="none"/>
                <w14:textFill>
                  <w14:solidFill>
                    <w14:schemeClr w14:val="tx1"/>
                  </w14:solidFill>
                </w14:textFill>
              </w:rPr>
              <w:t>浓度</w:t>
            </w:r>
            <w:r>
              <w:rPr>
                <w:rFonts w:hint="default" w:ascii="Times New Roman" w:hAnsi="Times New Roman" w:cs="Times New Roman"/>
                <w:bCs/>
                <w:color w:val="000000" w:themeColor="text1"/>
                <w:sz w:val="24"/>
                <w:highlight w:val="none"/>
                <w14:textFill>
                  <w14:solidFill>
                    <w14:schemeClr w14:val="tx1"/>
                  </w14:solidFill>
                </w14:textFill>
              </w:rPr>
              <w:t>为0.</w:t>
            </w:r>
            <w:r>
              <w:rPr>
                <w:rFonts w:hint="eastAsia" w:ascii="Times New Roman" w:hAnsi="Times New Roman" w:cs="Times New Roman"/>
                <w:bCs/>
                <w:color w:val="000000" w:themeColor="text1"/>
                <w:sz w:val="24"/>
                <w:highlight w:val="none"/>
                <w:lang w:val="en-US" w:eastAsia="zh-CN"/>
                <w14:textFill>
                  <w14:solidFill>
                    <w14:schemeClr w14:val="tx1"/>
                  </w14:solidFill>
                </w14:textFill>
              </w:rPr>
              <w:t>008</w:t>
            </w:r>
            <w:r>
              <w:rPr>
                <w:rFonts w:hint="default" w:ascii="Times New Roman" w:hAnsi="Times New Roman" w:cs="Times New Roman"/>
                <w:bCs/>
                <w:color w:val="000000" w:themeColor="text1"/>
                <w:sz w:val="24"/>
                <w:highlight w:val="none"/>
                <w14:textFill>
                  <w14:solidFill>
                    <w14:schemeClr w14:val="tx1"/>
                  </w14:solidFill>
                </w14:textFill>
              </w:rPr>
              <w:t>mg/m</w:t>
            </w:r>
            <w:r>
              <w:rPr>
                <w:rFonts w:hint="default" w:ascii="Times New Roman" w:hAnsi="Times New Roman" w:cs="Times New Roman"/>
                <w:bCs/>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bCs/>
                <w:color w:val="000000" w:themeColor="text1"/>
                <w:sz w:val="24"/>
                <w:highlight w:val="none"/>
                <w14:textFill>
                  <w14:solidFill>
                    <w14:schemeClr w14:val="tx1"/>
                  </w14:solidFill>
                </w14:textFill>
              </w:rPr>
              <w:t>~0.</w:t>
            </w:r>
            <w:r>
              <w:rPr>
                <w:rFonts w:hint="eastAsia" w:ascii="Times New Roman" w:hAnsi="Times New Roman" w:cs="Times New Roman"/>
                <w:bCs/>
                <w:color w:val="000000" w:themeColor="text1"/>
                <w:sz w:val="24"/>
                <w:highlight w:val="none"/>
                <w:lang w:val="en-US" w:eastAsia="zh-CN"/>
                <w14:textFill>
                  <w14:solidFill>
                    <w14:schemeClr w14:val="tx1"/>
                  </w14:solidFill>
                </w14:textFill>
              </w:rPr>
              <w:t>018</w:t>
            </w:r>
            <w:r>
              <w:rPr>
                <w:rFonts w:hint="default" w:ascii="Times New Roman" w:hAnsi="Times New Roman" w:cs="Times New Roman"/>
                <w:bCs/>
                <w:color w:val="000000" w:themeColor="text1"/>
                <w:sz w:val="24"/>
                <w:highlight w:val="none"/>
                <w14:textFill>
                  <w14:solidFill>
                    <w14:schemeClr w14:val="tx1"/>
                  </w14:solidFill>
                </w14:textFill>
              </w:rPr>
              <w:t>mg/m</w:t>
            </w:r>
            <w:r>
              <w:rPr>
                <w:rFonts w:hint="default" w:ascii="Times New Roman" w:hAnsi="Times New Roman" w:cs="Times New Roman"/>
                <w:bCs/>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bCs/>
                <w:color w:val="000000" w:themeColor="text1"/>
                <w:sz w:val="24"/>
                <w:highlight w:val="none"/>
                <w14:textFill>
                  <w14:solidFill>
                    <w14:schemeClr w14:val="tx1"/>
                  </w14:solidFill>
                </w14:textFill>
              </w:rPr>
              <w:t>，</w:t>
            </w:r>
            <w:r>
              <w:rPr>
                <w:rFonts w:hint="default" w:ascii="Times New Roman" w:hAnsi="Times New Roman" w:cs="Times New Roman"/>
                <w:bCs/>
                <w:color w:val="000000" w:themeColor="text1"/>
                <w:sz w:val="24"/>
                <w:highlight w:val="none"/>
                <w:lang w:val="en-US" w:eastAsia="zh-CN"/>
                <w14:textFill>
                  <w14:solidFill>
                    <w14:schemeClr w14:val="tx1"/>
                  </w14:solidFill>
                </w14:textFill>
              </w:rPr>
              <w:t>臭气浓度＜10，</w:t>
            </w:r>
            <w:r>
              <w:rPr>
                <w:rFonts w:hint="eastAsia" w:ascii="Times New Roman" w:hAnsi="Times New Roman" w:cs="Times New Roman"/>
                <w:bCs/>
                <w:color w:val="000000" w:themeColor="text1"/>
                <w:sz w:val="24"/>
                <w:highlight w:val="none"/>
                <w:lang w:val="en-US" w:eastAsia="zh-CN"/>
                <w14:textFill>
                  <w14:solidFill>
                    <w14:schemeClr w14:val="tx1"/>
                  </w14:solidFill>
                </w14:textFill>
              </w:rPr>
              <w:t>氯气未检出，均</w:t>
            </w:r>
            <w:r>
              <w:rPr>
                <w:rFonts w:hint="default" w:ascii="Times New Roman" w:hAnsi="Times New Roman" w:cs="Times New Roman"/>
                <w:bCs/>
                <w:color w:val="000000" w:themeColor="text1"/>
                <w:sz w:val="24"/>
                <w:highlight w:val="none"/>
                <w:lang w:val="en-US" w:eastAsia="zh-CN"/>
                <w14:textFill>
                  <w14:solidFill>
                    <w14:schemeClr w14:val="tx1"/>
                  </w14:solidFill>
                </w14:textFill>
              </w:rPr>
              <w:t>满足《医疗机构水污染物排放标准》（GB18466-2005）表3标准要求。</w:t>
            </w:r>
          </w:p>
          <w:p w14:paraId="394EF7E6">
            <w:pPr>
              <w:pStyle w:val="20"/>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同时，对现有工程</w:t>
            </w:r>
            <w:r>
              <w:rPr>
                <w:rFonts w:hint="eastAsia" w:ascii="Times New Roman" w:hAnsi="Times New Roman" w:cs="Times New Roman"/>
                <w:color w:val="000000" w:themeColor="text1"/>
                <w:sz w:val="24"/>
                <w:highlight w:val="none"/>
                <w:lang w:val="en-US" w:eastAsia="zh-CN"/>
                <w14:textFill>
                  <w14:solidFill>
                    <w14:schemeClr w14:val="tx1"/>
                  </w14:solidFill>
                </w14:textFill>
              </w:rPr>
              <w:t>NH</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3</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H</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S有组织排放量进行核算。根据美国EPA对城市污水处理厂恶臭污染物产生情况的研究，每处理1g的BOD</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5</w:t>
            </w:r>
            <w:r>
              <w:rPr>
                <w:rFonts w:hint="eastAsia" w:ascii="Times New Roman" w:hAnsi="Times New Roman" w:cs="Times New Roman"/>
                <w:color w:val="000000" w:themeColor="text1"/>
                <w:sz w:val="24"/>
                <w:highlight w:val="none"/>
                <w:lang w:val="en-US" w:eastAsia="zh-CN"/>
                <w14:textFill>
                  <w14:solidFill>
                    <w14:schemeClr w14:val="tx1"/>
                  </w14:solidFill>
                </w14:textFill>
              </w:rPr>
              <w:t>可产生0.0031g的NH</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和0.00012g的H</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S。现有工程废水产生量为57998.5m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/a，BOD</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5</w:t>
            </w:r>
            <w:r>
              <w:rPr>
                <w:rFonts w:hint="eastAsia" w:ascii="Times New Roman" w:hAnsi="Times New Roman" w:cs="Times New Roman"/>
                <w:color w:val="000000" w:themeColor="text1"/>
                <w:sz w:val="24"/>
                <w:highlight w:val="none"/>
                <w:lang w:val="en-US" w:eastAsia="zh-CN"/>
                <w14:textFill>
                  <w14:solidFill>
                    <w14:schemeClr w14:val="tx1"/>
                  </w14:solidFill>
                </w14:textFill>
              </w:rPr>
              <w:t>进水水质为166mg/L，出水16.6mg/L，则NH</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排放量为0.0269t/a，H</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S排放量为0.001t/a。</w:t>
            </w:r>
          </w:p>
          <w:p w14:paraId="1DD8BD72">
            <w:pPr>
              <w:pStyle w:val="20"/>
              <w:keepNext w:val="0"/>
              <w:keepLines w:val="0"/>
              <w:pageBreakBefore w:val="0"/>
              <w:widowControl w:val="0"/>
              <w:kinsoku/>
              <w:wordWrap/>
              <w:overflowPunct/>
              <w:topLinePunct w:val="0"/>
              <w:autoSpaceDE/>
              <w:autoSpaceDN/>
              <w:bidi w:val="0"/>
              <w:spacing w:line="520" w:lineRule="exact"/>
              <w:jc w:val="both"/>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（2）废水</w:t>
            </w:r>
          </w:p>
          <w:p w14:paraId="17E5814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4"/>
                <w:szCs w:val="24"/>
                <w:highlight w:val="none"/>
                <w14:textFill>
                  <w14:solidFill>
                    <w14:schemeClr w14:val="tx1"/>
                  </w14:solidFill>
                </w14:textFill>
              </w:rPr>
              <w:t>现有工程</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废水主要包括医疗废水、生活污水、含油废水、洗衣房废水、煎药房容器清洗废水以及其他废液，其中其他废液主要为医院日常工作中使用大量的有机溶剂、消毒剂等，如氯仿、乙醚、乙醇、有机酸类、酮类等，由此产生的有机废液单独收集、附专用标签后，定期交由有医疗废物处理处置资质的单位进行安全处置。废水产生量为57998.5m</w:t>
            </w:r>
            <w:r>
              <w:rPr>
                <w:rFonts w:hint="eastAsia" w:ascii="Times New Roman" w:hAnsi="Times New Roman" w:cs="Times New Roman"/>
                <w:bCs/>
                <w:color w:val="000000" w:themeColor="text1"/>
                <w:kern w:val="28"/>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/a（158.9m</w:t>
            </w:r>
            <w:r>
              <w:rPr>
                <w:rFonts w:hint="eastAsia" w:ascii="Times New Roman" w:hAnsi="Times New Roman" w:cs="Times New Roman"/>
                <w:bCs/>
                <w:color w:val="000000" w:themeColor="text1"/>
                <w:kern w:val="28"/>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/d），现有工程污水处理站规模为300m</w:t>
            </w:r>
            <w:r>
              <w:rPr>
                <w:rFonts w:hint="eastAsia" w:ascii="Times New Roman" w:hAnsi="Times New Roman" w:cs="Times New Roman"/>
                <w:bCs/>
                <w:color w:val="000000" w:themeColor="text1"/>
                <w:kern w:val="28"/>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/d，采用“生物接触氧化+次氯酸钠消毒”的处理工艺。</w:t>
            </w:r>
          </w:p>
          <w:p w14:paraId="10A53CBF">
            <w:pPr>
              <w:pStyle w:val="20"/>
              <w:keepNext w:val="0"/>
              <w:keepLines w:val="0"/>
              <w:pageBreakBefore w:val="0"/>
              <w:widowControl w:val="0"/>
              <w:kinsoku/>
              <w:wordWrap/>
              <w:overflowPunct/>
              <w:topLinePunct w:val="0"/>
              <w:autoSpaceDE/>
              <w:autoSpaceDN/>
              <w:bidi w:val="0"/>
              <w:spacing w:line="520" w:lineRule="exact"/>
              <w:jc w:val="both"/>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根据河南鼎晟检测技术有限公司202</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3</w:t>
            </w: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年</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10</w:t>
            </w: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月</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23</w:t>
            </w: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日对现有工程</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废水处理站监测结果（见附件6），并结合环评核算数据，现有工程综合废水主要污染物产排情况见下表。</w:t>
            </w:r>
          </w:p>
          <w:p w14:paraId="053CDC24">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line="240" w:lineRule="auto"/>
              <w:ind w:firstLine="0"/>
              <w:jc w:val="center"/>
              <w:textAlignment w:val="auto"/>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现有工程</w:t>
            </w:r>
            <w:r>
              <w:rPr>
                <w:rFonts w:hint="eastAsia" w:ascii="Times New Roman" w:hAnsi="Times New Roman" w:eastAsia="黑体" w:cs="Times New Roman"/>
                <w:color w:val="000000" w:themeColor="text1"/>
                <w:highlight w:val="none"/>
                <w:lang w:val="en-US" w:eastAsia="zh-CN"/>
                <w14:textFill>
                  <w14:solidFill>
                    <w14:schemeClr w14:val="tx1"/>
                  </w14:solidFill>
                </w14:textFill>
              </w:rPr>
              <w:t>综合废水主要污染物产排</w:t>
            </w:r>
            <w:r>
              <w:rPr>
                <w:rFonts w:hint="eastAsia"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情</w:t>
            </w:r>
            <w:r>
              <w:rPr>
                <w:rFonts w:hint="eastAsia" w:ascii="Times New Roman" w:hAnsi="Times New Roman" w:eastAsia="黑体" w:cs="Times New Roman"/>
                <w:color w:val="000000" w:themeColor="text1"/>
                <w:highlight w:val="none"/>
                <w:lang w:val="en-US" w:eastAsia="zh-CN"/>
                <w14:textFill>
                  <w14:solidFill>
                    <w14:schemeClr w14:val="tx1"/>
                  </w14:solidFill>
                </w14:textFill>
              </w:rPr>
              <w:t>况一览表</w:t>
            </w:r>
          </w:p>
          <w:tbl>
            <w:tblPr>
              <w:tblStyle w:val="34"/>
              <w:tblW w:w="85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870"/>
              <w:gridCol w:w="885"/>
              <w:gridCol w:w="735"/>
              <w:gridCol w:w="855"/>
              <w:gridCol w:w="1035"/>
              <w:gridCol w:w="1290"/>
              <w:gridCol w:w="1201"/>
            </w:tblGrid>
            <w:tr w14:paraId="6F11A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vMerge w:val="restart"/>
                  <w:noWrap w:val="0"/>
                  <w:vAlign w:val="center"/>
                </w:tcPr>
                <w:p w14:paraId="6A2D9AEE">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项目</w:t>
                  </w:r>
                </w:p>
              </w:tc>
              <w:tc>
                <w:tcPr>
                  <w:tcW w:w="6871" w:type="dxa"/>
                  <w:gridSpan w:val="7"/>
                  <w:noWrap w:val="0"/>
                  <w:vAlign w:val="center"/>
                </w:tcPr>
                <w:p w14:paraId="1C4372C0">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baseline"/>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综合</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水质及处理效果</w:t>
                  </w:r>
                </w:p>
              </w:tc>
            </w:tr>
            <w:tr w14:paraId="04268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vMerge w:val="continue"/>
                  <w:noWrap w:val="0"/>
                  <w:vAlign w:val="center"/>
                </w:tcPr>
                <w:p w14:paraId="5137FB43">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70" w:type="dxa"/>
                  <w:noWrap w:val="0"/>
                  <w:vAlign w:val="center"/>
                </w:tcPr>
                <w:p w14:paraId="147674E2">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COD</w:t>
                  </w:r>
                </w:p>
              </w:tc>
              <w:tc>
                <w:tcPr>
                  <w:tcW w:w="885" w:type="dxa"/>
                  <w:noWrap w:val="0"/>
                  <w:vAlign w:val="center"/>
                </w:tcPr>
                <w:p w14:paraId="134ABC9A">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BOD</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5</w:t>
                  </w:r>
                </w:p>
              </w:tc>
              <w:tc>
                <w:tcPr>
                  <w:tcW w:w="735" w:type="dxa"/>
                  <w:noWrap w:val="0"/>
                  <w:vAlign w:val="center"/>
                </w:tcPr>
                <w:p w14:paraId="17C7A5F0">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SS</w:t>
                  </w:r>
                </w:p>
              </w:tc>
              <w:tc>
                <w:tcPr>
                  <w:tcW w:w="855" w:type="dxa"/>
                  <w:noWrap w:val="0"/>
                  <w:vAlign w:val="center"/>
                </w:tcPr>
                <w:p w14:paraId="268250E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NH</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-N</w:t>
                  </w:r>
                </w:p>
              </w:tc>
              <w:tc>
                <w:tcPr>
                  <w:tcW w:w="1035" w:type="dxa"/>
                  <w:noWrap w:val="0"/>
                  <w:vAlign w:val="center"/>
                </w:tcPr>
                <w:p w14:paraId="007DDC8D">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动植物油</w:t>
                  </w:r>
                </w:p>
              </w:tc>
              <w:tc>
                <w:tcPr>
                  <w:tcW w:w="1290" w:type="dxa"/>
                  <w:noWrap w:val="0"/>
                  <w:vAlign w:val="center"/>
                </w:tcPr>
                <w:p w14:paraId="7ACF6054">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粪大肠菌群</w:t>
                  </w:r>
                </w:p>
                <w:p w14:paraId="446D595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（个/L）</w:t>
                  </w:r>
                </w:p>
              </w:tc>
              <w:tc>
                <w:tcPr>
                  <w:tcW w:w="1201" w:type="dxa"/>
                  <w:noWrap w:val="0"/>
                  <w:vAlign w:val="center"/>
                </w:tcPr>
                <w:p w14:paraId="33457ED4">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阴离子表面活性剂</w:t>
                  </w:r>
                </w:p>
              </w:tc>
            </w:tr>
            <w:tr w14:paraId="2CC3E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noWrap w:val="0"/>
                  <w:vAlign w:val="center"/>
                </w:tcPr>
                <w:p w14:paraId="52CA1B8D">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进水水质（mg/L）</w:t>
                  </w:r>
                </w:p>
              </w:tc>
              <w:tc>
                <w:tcPr>
                  <w:tcW w:w="870" w:type="dxa"/>
                  <w:noWrap w:val="0"/>
                  <w:vAlign w:val="center"/>
                </w:tcPr>
                <w:p w14:paraId="0D9B861E">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270</w:t>
                  </w:r>
                </w:p>
              </w:tc>
              <w:tc>
                <w:tcPr>
                  <w:tcW w:w="885" w:type="dxa"/>
                  <w:noWrap w:val="0"/>
                  <w:vAlign w:val="center"/>
                </w:tcPr>
                <w:p w14:paraId="0663471B">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166</w:t>
                  </w:r>
                </w:p>
              </w:tc>
              <w:tc>
                <w:tcPr>
                  <w:tcW w:w="735" w:type="dxa"/>
                  <w:noWrap w:val="0"/>
                  <w:vAlign w:val="center"/>
                </w:tcPr>
                <w:p w14:paraId="6BFA472D">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154</w:t>
                  </w:r>
                </w:p>
              </w:tc>
              <w:tc>
                <w:tcPr>
                  <w:tcW w:w="855" w:type="dxa"/>
                  <w:noWrap w:val="0"/>
                  <w:vAlign w:val="center"/>
                </w:tcPr>
                <w:p w14:paraId="56A8E1E7">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48.2</w:t>
                  </w:r>
                </w:p>
              </w:tc>
              <w:tc>
                <w:tcPr>
                  <w:tcW w:w="1035" w:type="dxa"/>
                  <w:noWrap w:val="0"/>
                  <w:vAlign w:val="center"/>
                </w:tcPr>
                <w:p w14:paraId="566671C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18</w:t>
                  </w:r>
                </w:p>
              </w:tc>
              <w:tc>
                <w:tcPr>
                  <w:tcW w:w="1290" w:type="dxa"/>
                  <w:noWrap w:val="0"/>
                  <w:vAlign w:val="center"/>
                </w:tcPr>
                <w:p w14:paraId="181C816D">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1.8×10</w:t>
                  </w:r>
                  <w:r>
                    <w:rPr>
                      <w:rFonts w:hint="default" w:ascii="Times New Roman" w:hAnsi="Times New Roman" w:cs="Times New Roman"/>
                      <w:b w:val="0"/>
                      <w:bCs w:val="0"/>
                      <w:color w:val="000000" w:themeColor="text1"/>
                      <w:sz w:val="21"/>
                      <w:szCs w:val="21"/>
                      <w:highlight w:val="none"/>
                      <w:u w:val="none"/>
                      <w:vertAlign w:val="superscript"/>
                      <w:lang w:val="en-US" w:eastAsia="zh-CN"/>
                      <w14:textFill>
                        <w14:solidFill>
                          <w14:schemeClr w14:val="tx1"/>
                        </w14:solidFill>
                      </w14:textFill>
                    </w:rPr>
                    <w:t>8</w:t>
                  </w:r>
                </w:p>
              </w:tc>
              <w:tc>
                <w:tcPr>
                  <w:tcW w:w="1201" w:type="dxa"/>
                  <w:noWrap w:val="0"/>
                  <w:vAlign w:val="center"/>
                </w:tcPr>
                <w:p w14:paraId="5C301C1A">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w:t>
                  </w:r>
                </w:p>
              </w:tc>
            </w:tr>
            <w:tr w14:paraId="036A3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noWrap w:val="0"/>
                  <w:vAlign w:val="center"/>
                </w:tcPr>
                <w:p w14:paraId="6C35345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污染物产生量（t/a）</w:t>
                  </w:r>
                </w:p>
              </w:tc>
              <w:tc>
                <w:tcPr>
                  <w:tcW w:w="870" w:type="dxa"/>
                  <w:noWrap w:val="0"/>
                  <w:vAlign w:val="center"/>
                </w:tcPr>
                <w:p w14:paraId="7072876E">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15.6596</w:t>
                  </w:r>
                </w:p>
              </w:tc>
              <w:tc>
                <w:tcPr>
                  <w:tcW w:w="885" w:type="dxa"/>
                  <w:noWrap w:val="0"/>
                  <w:vAlign w:val="center"/>
                </w:tcPr>
                <w:p w14:paraId="3D4F27D2">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9.6278</w:t>
                  </w:r>
                </w:p>
              </w:tc>
              <w:tc>
                <w:tcPr>
                  <w:tcW w:w="735" w:type="dxa"/>
                  <w:noWrap w:val="0"/>
                  <w:vAlign w:val="center"/>
                </w:tcPr>
                <w:p w14:paraId="5D71D5D7">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8.9318</w:t>
                  </w:r>
                </w:p>
              </w:tc>
              <w:tc>
                <w:tcPr>
                  <w:tcW w:w="855" w:type="dxa"/>
                  <w:noWrap w:val="0"/>
                  <w:vAlign w:val="center"/>
                </w:tcPr>
                <w:p w14:paraId="7CB66BEC">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2.7955</w:t>
                  </w:r>
                </w:p>
              </w:tc>
              <w:tc>
                <w:tcPr>
                  <w:tcW w:w="1035" w:type="dxa"/>
                  <w:noWrap w:val="0"/>
                  <w:vAlign w:val="center"/>
                </w:tcPr>
                <w:p w14:paraId="47C04792">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1.044</w:t>
                  </w:r>
                </w:p>
              </w:tc>
              <w:tc>
                <w:tcPr>
                  <w:tcW w:w="1290" w:type="dxa"/>
                  <w:noWrap w:val="0"/>
                  <w:vAlign w:val="center"/>
                </w:tcPr>
                <w:p w14:paraId="103540BB">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201" w:type="dxa"/>
                  <w:noWrap w:val="0"/>
                  <w:vAlign w:val="center"/>
                </w:tcPr>
                <w:p w14:paraId="40281CFC">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0.58</w:t>
                  </w:r>
                </w:p>
              </w:tc>
            </w:tr>
            <w:tr w14:paraId="4BCE5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noWrap w:val="0"/>
                  <w:vAlign w:val="center"/>
                </w:tcPr>
                <w:p w14:paraId="6D48B73C">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去除率（%）</w:t>
                  </w:r>
                </w:p>
              </w:tc>
              <w:tc>
                <w:tcPr>
                  <w:tcW w:w="870" w:type="dxa"/>
                  <w:noWrap w:val="0"/>
                  <w:vAlign w:val="center"/>
                </w:tcPr>
                <w:p w14:paraId="1DC43346">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74</w:t>
                  </w:r>
                </w:p>
              </w:tc>
              <w:tc>
                <w:tcPr>
                  <w:tcW w:w="885" w:type="dxa"/>
                  <w:noWrap w:val="0"/>
                  <w:vAlign w:val="center"/>
                </w:tcPr>
                <w:p w14:paraId="2BA54D32">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90</w:t>
                  </w:r>
                </w:p>
              </w:tc>
              <w:tc>
                <w:tcPr>
                  <w:tcW w:w="735" w:type="dxa"/>
                  <w:noWrap w:val="0"/>
                  <w:vAlign w:val="center"/>
                </w:tcPr>
                <w:p w14:paraId="5AC4CB18">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73</w:t>
                  </w:r>
                </w:p>
              </w:tc>
              <w:tc>
                <w:tcPr>
                  <w:tcW w:w="855" w:type="dxa"/>
                  <w:noWrap w:val="0"/>
                  <w:vAlign w:val="center"/>
                </w:tcPr>
                <w:p w14:paraId="2A7DABF2">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70</w:t>
                  </w:r>
                </w:p>
              </w:tc>
              <w:tc>
                <w:tcPr>
                  <w:tcW w:w="1035" w:type="dxa"/>
                  <w:noWrap w:val="0"/>
                  <w:vAlign w:val="center"/>
                </w:tcPr>
                <w:p w14:paraId="47A09D0E">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97</w:t>
                  </w:r>
                </w:p>
              </w:tc>
              <w:tc>
                <w:tcPr>
                  <w:tcW w:w="1290" w:type="dxa"/>
                  <w:noWrap w:val="0"/>
                  <w:vAlign w:val="center"/>
                </w:tcPr>
                <w:p w14:paraId="6058F198">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100</w:t>
                  </w:r>
                </w:p>
              </w:tc>
              <w:tc>
                <w:tcPr>
                  <w:tcW w:w="1201" w:type="dxa"/>
                  <w:noWrap w:val="0"/>
                  <w:vAlign w:val="center"/>
                </w:tcPr>
                <w:p w14:paraId="4C9AC9D6">
                  <w:pPr>
                    <w:keepNext w:val="0"/>
                    <w:keepLines w:val="0"/>
                    <w:pageBreakBefore w:val="0"/>
                    <w:widowControl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80</w:t>
                  </w:r>
                </w:p>
              </w:tc>
            </w:tr>
            <w:tr w14:paraId="1DF5D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noWrap w:val="0"/>
                  <w:vAlign w:val="center"/>
                </w:tcPr>
                <w:p w14:paraId="4F240CAE">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出水水质（mg/L）</w:t>
                  </w:r>
                </w:p>
              </w:tc>
              <w:tc>
                <w:tcPr>
                  <w:tcW w:w="870" w:type="dxa"/>
                  <w:noWrap w:val="0"/>
                  <w:vAlign w:val="center"/>
                </w:tcPr>
                <w:p w14:paraId="468BC71F">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71</w:t>
                  </w:r>
                </w:p>
              </w:tc>
              <w:tc>
                <w:tcPr>
                  <w:tcW w:w="885" w:type="dxa"/>
                  <w:noWrap w:val="0"/>
                  <w:vAlign w:val="center"/>
                </w:tcPr>
                <w:p w14:paraId="631D52AD">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16.6</w:t>
                  </w:r>
                </w:p>
              </w:tc>
              <w:tc>
                <w:tcPr>
                  <w:tcW w:w="735" w:type="dxa"/>
                  <w:noWrap w:val="0"/>
                  <w:vAlign w:val="center"/>
                </w:tcPr>
                <w:p w14:paraId="6C70B111">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42</w:t>
                  </w:r>
                </w:p>
              </w:tc>
              <w:tc>
                <w:tcPr>
                  <w:tcW w:w="855" w:type="dxa"/>
                  <w:noWrap w:val="0"/>
                  <w:vAlign w:val="center"/>
                </w:tcPr>
                <w:p w14:paraId="03F32D30">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14.46</w:t>
                  </w:r>
                </w:p>
              </w:tc>
              <w:tc>
                <w:tcPr>
                  <w:tcW w:w="1035" w:type="dxa"/>
                  <w:noWrap w:val="0"/>
                  <w:vAlign w:val="center"/>
                </w:tcPr>
                <w:p w14:paraId="712DB2D5">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0.54</w:t>
                  </w:r>
                </w:p>
              </w:tc>
              <w:tc>
                <w:tcPr>
                  <w:tcW w:w="1290" w:type="dxa"/>
                  <w:noWrap w:val="0"/>
                  <w:vAlign w:val="center"/>
                </w:tcPr>
                <w:p w14:paraId="2F316A12">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w:t>
                  </w:r>
                </w:p>
              </w:tc>
              <w:tc>
                <w:tcPr>
                  <w:tcW w:w="1201" w:type="dxa"/>
                  <w:noWrap w:val="0"/>
                  <w:vAlign w:val="center"/>
                </w:tcPr>
                <w:p w14:paraId="4628981E">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w:t>
                  </w:r>
                </w:p>
              </w:tc>
            </w:tr>
            <w:tr w14:paraId="0D5FD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noWrap w:val="0"/>
                  <w:vAlign w:val="center"/>
                </w:tcPr>
                <w:p w14:paraId="44396708">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污染物排放量（t/a）</w:t>
                  </w:r>
                </w:p>
              </w:tc>
              <w:tc>
                <w:tcPr>
                  <w:tcW w:w="870" w:type="dxa"/>
                  <w:noWrap w:val="0"/>
                  <w:vAlign w:val="center"/>
                </w:tcPr>
                <w:p w14:paraId="2E6507B6">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4.1179</w:t>
                  </w:r>
                </w:p>
              </w:tc>
              <w:tc>
                <w:tcPr>
                  <w:tcW w:w="885" w:type="dxa"/>
                  <w:noWrap w:val="0"/>
                  <w:vAlign w:val="center"/>
                </w:tcPr>
                <w:p w14:paraId="669F763D">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0.9628</w:t>
                  </w:r>
                </w:p>
              </w:tc>
              <w:tc>
                <w:tcPr>
                  <w:tcW w:w="735" w:type="dxa"/>
                  <w:noWrap w:val="0"/>
                  <w:vAlign w:val="center"/>
                </w:tcPr>
                <w:p w14:paraId="0223A5CE">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2.4359</w:t>
                  </w:r>
                </w:p>
              </w:tc>
              <w:tc>
                <w:tcPr>
                  <w:tcW w:w="855" w:type="dxa"/>
                  <w:noWrap w:val="0"/>
                  <w:vAlign w:val="center"/>
                </w:tcPr>
                <w:p w14:paraId="57C99BED">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0.8387</w:t>
                  </w:r>
                </w:p>
              </w:tc>
              <w:tc>
                <w:tcPr>
                  <w:tcW w:w="1035" w:type="dxa"/>
                  <w:noWrap w:val="0"/>
                  <w:vAlign w:val="center"/>
                </w:tcPr>
                <w:p w14:paraId="42CF8C73">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0.0313</w:t>
                  </w:r>
                </w:p>
              </w:tc>
              <w:tc>
                <w:tcPr>
                  <w:tcW w:w="1290" w:type="dxa"/>
                  <w:noWrap w:val="0"/>
                  <w:vAlign w:val="center"/>
                </w:tcPr>
                <w:p w14:paraId="40087753">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w:t>
                  </w:r>
                </w:p>
              </w:tc>
              <w:tc>
                <w:tcPr>
                  <w:tcW w:w="1201" w:type="dxa"/>
                  <w:noWrap w:val="0"/>
                  <w:vAlign w:val="center"/>
                </w:tcPr>
                <w:p w14:paraId="4C57B111">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0.116</w:t>
                  </w:r>
                </w:p>
              </w:tc>
            </w:tr>
            <w:tr w14:paraId="7716E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noWrap w:val="0"/>
                  <w:vAlign w:val="center"/>
                </w:tcPr>
                <w:p w14:paraId="216B92DB">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排放标准</w:t>
                  </w:r>
                </w:p>
              </w:tc>
              <w:tc>
                <w:tcPr>
                  <w:tcW w:w="870" w:type="dxa"/>
                  <w:noWrap w:val="0"/>
                  <w:vAlign w:val="center"/>
                </w:tcPr>
                <w:p w14:paraId="4B8B8ECD">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250</w:t>
                  </w:r>
                </w:p>
              </w:tc>
              <w:tc>
                <w:tcPr>
                  <w:tcW w:w="885" w:type="dxa"/>
                  <w:noWrap w:val="0"/>
                  <w:vAlign w:val="center"/>
                </w:tcPr>
                <w:p w14:paraId="0780F580">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100</w:t>
                  </w:r>
                </w:p>
              </w:tc>
              <w:tc>
                <w:tcPr>
                  <w:tcW w:w="735" w:type="dxa"/>
                  <w:noWrap w:val="0"/>
                  <w:vAlign w:val="center"/>
                </w:tcPr>
                <w:p w14:paraId="65188BC7">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60</w:t>
                  </w:r>
                </w:p>
              </w:tc>
              <w:tc>
                <w:tcPr>
                  <w:tcW w:w="855" w:type="dxa"/>
                  <w:noWrap w:val="0"/>
                  <w:vAlign w:val="center"/>
                </w:tcPr>
                <w:p w14:paraId="0189A1C7">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035" w:type="dxa"/>
                  <w:noWrap w:val="0"/>
                  <w:vAlign w:val="center"/>
                </w:tcPr>
                <w:p w14:paraId="20E42013">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w:t>
                  </w:r>
                </w:p>
              </w:tc>
              <w:tc>
                <w:tcPr>
                  <w:tcW w:w="1290" w:type="dxa"/>
                  <w:noWrap w:val="0"/>
                  <w:vAlign w:val="center"/>
                </w:tcPr>
                <w:p w14:paraId="12CD5A68">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5000</w:t>
                  </w:r>
                </w:p>
              </w:tc>
              <w:tc>
                <w:tcPr>
                  <w:tcW w:w="1201" w:type="dxa"/>
                  <w:noWrap w:val="0"/>
                  <w:vAlign w:val="center"/>
                </w:tcPr>
                <w:p w14:paraId="215D0E50">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w:t>
                  </w:r>
                </w:p>
              </w:tc>
            </w:tr>
            <w:tr w14:paraId="2B70B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4" w:type="dxa"/>
                  <w:noWrap w:val="0"/>
                  <w:vAlign w:val="center"/>
                </w:tcPr>
                <w:p w14:paraId="26B76A92">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渑池县污水处理厂进水水质指标</w:t>
                  </w:r>
                </w:p>
              </w:tc>
              <w:tc>
                <w:tcPr>
                  <w:tcW w:w="870" w:type="dxa"/>
                  <w:noWrap w:val="0"/>
                  <w:vAlign w:val="center"/>
                </w:tcPr>
                <w:p w14:paraId="24C3E811">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320</w:t>
                  </w:r>
                </w:p>
              </w:tc>
              <w:tc>
                <w:tcPr>
                  <w:tcW w:w="885" w:type="dxa"/>
                  <w:noWrap w:val="0"/>
                  <w:vAlign w:val="center"/>
                </w:tcPr>
                <w:p w14:paraId="746DE2FA">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160</w:t>
                  </w:r>
                </w:p>
              </w:tc>
              <w:tc>
                <w:tcPr>
                  <w:tcW w:w="735" w:type="dxa"/>
                  <w:noWrap w:val="0"/>
                  <w:vAlign w:val="center"/>
                </w:tcPr>
                <w:p w14:paraId="19D6C5DC">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300</w:t>
                  </w:r>
                </w:p>
              </w:tc>
              <w:tc>
                <w:tcPr>
                  <w:tcW w:w="855" w:type="dxa"/>
                  <w:noWrap w:val="0"/>
                  <w:vAlign w:val="center"/>
                </w:tcPr>
                <w:p w14:paraId="5B8DC5AC">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30</w:t>
                  </w:r>
                </w:p>
              </w:tc>
              <w:tc>
                <w:tcPr>
                  <w:tcW w:w="1035" w:type="dxa"/>
                  <w:noWrap w:val="0"/>
                  <w:vAlign w:val="center"/>
                </w:tcPr>
                <w:p w14:paraId="448C7E56">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290" w:type="dxa"/>
                  <w:noWrap w:val="0"/>
                  <w:vAlign w:val="center"/>
                </w:tcPr>
                <w:p w14:paraId="55476A82">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201" w:type="dxa"/>
                  <w:noWrap w:val="0"/>
                  <w:vAlign w:val="center"/>
                </w:tcPr>
                <w:p w14:paraId="46C470C0">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r>
          </w:tbl>
          <w:p w14:paraId="45CE658C">
            <w:pPr>
              <w:keepNext w:val="0"/>
              <w:keepLines w:val="0"/>
              <w:pageBreakBefore w:val="0"/>
              <w:widowControl w:val="0"/>
              <w:kinsoku/>
              <w:wordWrap/>
              <w:overflowPunct/>
              <w:topLinePunct w:val="0"/>
              <w:autoSpaceDE/>
              <w:autoSpaceDN/>
              <w:bidi w:val="0"/>
              <w:adjustRightInd/>
              <w:snapToGrid/>
              <w:spacing w:line="520" w:lineRule="exact"/>
              <w:ind w:firstLine="482"/>
              <w:jc w:val="both"/>
              <w:textAlignment w:val="auto"/>
              <w:outlineLvl w:val="2"/>
              <w:rPr>
                <w:rFonts w:hint="default" w:ascii="Times New Roman" w:hAnsi="Times New Roman" w:cs="Times New Roman"/>
                <w:bCs/>
                <w:color w:val="000000" w:themeColor="text1"/>
                <w:sz w:val="24"/>
                <w:highlight w:val="none"/>
                <w14:textFill>
                  <w14:solidFill>
                    <w14:schemeClr w14:val="tx1"/>
                  </w14:solidFill>
                </w14:textFill>
              </w:rPr>
            </w:pP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根据上表可知，项目综合废水处理后，各污染物排放浓度均</w:t>
            </w:r>
            <w:r>
              <w:rPr>
                <w:rFonts w:hint="default" w:ascii="Times New Roman" w:hAnsi="Times New Roman" w:cs="Times New Roman"/>
                <w:bCs/>
                <w:color w:val="000000" w:themeColor="text1"/>
                <w:kern w:val="28"/>
                <w:sz w:val="24"/>
                <w:szCs w:val="24"/>
                <w:highlight w:val="none"/>
                <w14:textFill>
                  <w14:solidFill>
                    <w14:schemeClr w14:val="tx1"/>
                  </w14:solidFill>
                </w14:textFill>
              </w:rPr>
              <w:t>满足《医疗机构水污染物排放标准》（GB18466-2005）表</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2预处理</w:t>
            </w:r>
            <w:r>
              <w:rPr>
                <w:rFonts w:hint="default" w:ascii="Times New Roman" w:hAnsi="Times New Roman" w:cs="Times New Roman"/>
                <w:bCs/>
                <w:color w:val="000000" w:themeColor="text1"/>
                <w:kern w:val="28"/>
                <w:sz w:val="24"/>
                <w:szCs w:val="24"/>
                <w:highlight w:val="none"/>
                <w14:textFill>
                  <w14:solidFill>
                    <w14:schemeClr w14:val="tx1"/>
                  </w14:solidFill>
                </w14:textFill>
              </w:rPr>
              <w:t>标准</w:t>
            </w:r>
            <w:r>
              <w:rPr>
                <w:rFonts w:hint="default" w:ascii="Times New Roman" w:hAnsi="Times New Roman" w:cs="Times New Roman"/>
                <w:bCs/>
                <w:color w:val="000000" w:themeColor="text1"/>
                <w:sz w:val="24"/>
                <w:szCs w:val="24"/>
                <w:highlight w:val="none"/>
                <w14:textFill>
                  <w14:solidFill>
                    <w14:schemeClr w14:val="tx1"/>
                  </w14:solidFill>
                </w14:textFill>
              </w:rPr>
              <w:t>和</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渑池县第二</w:t>
            </w:r>
            <w:r>
              <w:rPr>
                <w:rFonts w:hint="default" w:ascii="Times New Roman" w:hAnsi="Times New Roman" w:cs="Times New Roman"/>
                <w:bCs/>
                <w:color w:val="000000" w:themeColor="text1"/>
                <w:sz w:val="24"/>
                <w:szCs w:val="24"/>
                <w:highlight w:val="none"/>
                <w14:textFill>
                  <w14:solidFill>
                    <w14:schemeClr w14:val="tx1"/>
                  </w14:solidFill>
                </w14:textFill>
              </w:rPr>
              <w:t>污水处理厂进水水质标准</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要求</w:t>
            </w:r>
            <w:r>
              <w:rPr>
                <w:rFonts w:hint="default" w:ascii="Times New Roman" w:hAnsi="Times New Roman" w:cs="Times New Roman"/>
                <w:bCs/>
                <w:color w:val="000000" w:themeColor="text1"/>
                <w:sz w:val="24"/>
                <w:szCs w:val="24"/>
                <w:highlight w:val="none"/>
                <w14:textFill>
                  <w14:solidFill>
                    <w14:schemeClr w14:val="tx1"/>
                  </w14:solidFill>
                </w14:textFill>
              </w:rPr>
              <w:t>，然后进入</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渑池县第二</w:t>
            </w:r>
            <w:r>
              <w:rPr>
                <w:rFonts w:hint="default" w:ascii="Times New Roman" w:hAnsi="Times New Roman" w:cs="Times New Roman"/>
                <w:bCs/>
                <w:color w:val="000000" w:themeColor="text1"/>
                <w:sz w:val="24"/>
                <w:szCs w:val="24"/>
                <w:highlight w:val="none"/>
                <w14:textFill>
                  <w14:solidFill>
                    <w14:schemeClr w14:val="tx1"/>
                  </w14:solidFill>
                </w14:textFill>
              </w:rPr>
              <w:t>污水处理厂进一步处理，最终排入涧河</w:t>
            </w:r>
            <w:r>
              <w:rPr>
                <w:rFonts w:hint="default" w:ascii="Times New Roman" w:hAnsi="Times New Roman" w:cs="Times New Roman"/>
                <w:bCs/>
                <w:color w:val="000000" w:themeColor="text1"/>
                <w:sz w:val="24"/>
                <w:highlight w:val="none"/>
                <w14:textFill>
                  <w14:solidFill>
                    <w14:schemeClr w14:val="tx1"/>
                  </w14:solidFill>
                </w14:textFill>
              </w:rPr>
              <w:t>。</w:t>
            </w:r>
          </w:p>
          <w:p w14:paraId="7CE61949">
            <w:pPr>
              <w:pStyle w:val="20"/>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（3）噪声</w:t>
            </w:r>
          </w:p>
          <w:p w14:paraId="7843903B">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现有工程噪声主要</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来源于</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风机、水泵、空调机组、制氧系统</w:t>
            </w:r>
            <w:r>
              <w:rPr>
                <w:rFonts w:hint="default" w:ascii="Times New Roman" w:hAnsi="Times New Roman" w:cs="Times New Roman"/>
                <w:bCs/>
                <w:color w:val="000000" w:themeColor="text1"/>
                <w:sz w:val="24"/>
                <w:szCs w:val="24"/>
                <w:highlight w:val="none"/>
                <w14:textFill>
                  <w14:solidFill>
                    <w14:schemeClr w14:val="tx1"/>
                  </w14:solidFill>
                </w14:textFill>
              </w:rPr>
              <w:t>等设备运行产生的噪声。</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根据调查可知，项目空调机组、</w:t>
            </w:r>
            <w:r>
              <w:rPr>
                <w:rFonts w:hint="default" w:ascii="Times New Roman" w:hAnsi="Times New Roman" w:cs="Times New Roman"/>
                <w:color w:val="000000" w:themeColor="text1"/>
                <w:sz w:val="24"/>
                <w:szCs w:val="24"/>
                <w:highlight w:val="none"/>
                <w14:textFill>
                  <w14:solidFill>
                    <w14:schemeClr w14:val="tx1"/>
                  </w14:solidFill>
                </w14:textFill>
              </w:rPr>
              <w:t>送排风系统、水泵等设备均置于地下室</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对所有有振动的</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设备均设减震</w:t>
            </w:r>
            <w:r>
              <w:rPr>
                <w:rFonts w:hint="default" w:ascii="Times New Roman" w:hAnsi="Times New Roman" w:cs="Times New Roman"/>
                <w:color w:val="000000" w:themeColor="text1"/>
                <w:sz w:val="24"/>
                <w:szCs w:val="24"/>
                <w:highlight w:val="none"/>
                <w14:textFill>
                  <w14:solidFill>
                    <w14:schemeClr w14:val="tx1"/>
                  </w14:solidFill>
                </w14:textFill>
              </w:rPr>
              <w:t>基础，接管采用柔性减振接头，对所有送、排风系统作</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消声</w:t>
            </w:r>
            <w:r>
              <w:rPr>
                <w:rFonts w:hint="default" w:ascii="Times New Roman" w:hAnsi="Times New Roman" w:cs="Times New Roman"/>
                <w:color w:val="000000" w:themeColor="text1"/>
                <w:sz w:val="24"/>
                <w:szCs w:val="24"/>
                <w:highlight w:val="none"/>
                <w14:textFill>
                  <w14:solidFill>
                    <w14:schemeClr w14:val="tx1"/>
                  </w14:solidFill>
                </w14:textFill>
              </w:rPr>
              <w:t>处理</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冷却塔置于病房楼楼顶，对冷却塔的水泵安装适宜的</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隔声设施</w:t>
            </w:r>
            <w:r>
              <w:rPr>
                <w:rFonts w:hint="default" w:ascii="Times New Roman" w:hAnsi="Times New Roman" w:cs="Times New Roman"/>
                <w:color w:val="000000" w:themeColor="text1"/>
                <w:sz w:val="24"/>
                <w:szCs w:val="24"/>
                <w:highlight w:val="none"/>
                <w14:textFill>
                  <w14:solidFill>
                    <w14:schemeClr w14:val="tx1"/>
                  </w14:solidFill>
                </w14:textFill>
              </w:rPr>
              <w:t>，在冷却塔周围用消音百叶进行围合</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制氧系统设置在相对封</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闭</w:t>
            </w:r>
            <w:r>
              <w:rPr>
                <w:rFonts w:hint="default" w:ascii="Times New Roman" w:hAnsi="Times New Roman" w:cs="Times New Roman"/>
                <w:color w:val="000000" w:themeColor="text1"/>
                <w:sz w:val="24"/>
                <w:szCs w:val="24"/>
                <w:highlight w:val="none"/>
                <w14:textFill>
                  <w14:solidFill>
                    <w14:schemeClr w14:val="tx1"/>
                  </w14:solidFill>
                </w14:textFill>
              </w:rPr>
              <w:t>的氧气站房内，采用实体墙、隔声门窗，空压机等设减振垫，排气口设消音器。</w:t>
            </w:r>
          </w:p>
          <w:p w14:paraId="2BFB35D4">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根据河南鼎晟检测技术有限公司202</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3</w:t>
            </w: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年0</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8</w:t>
            </w: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月</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02</w:t>
            </w: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日对现有工程</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厂界噪声监测结果可知（见附件6），</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采取以上措施后，项目东、北、西</w:t>
            </w:r>
            <w:r>
              <w:rPr>
                <w:rFonts w:hint="default" w:ascii="Times New Roman" w:hAnsi="Times New Roman" w:cs="Times New Roman"/>
                <w:bCs/>
                <w:color w:val="000000" w:themeColor="text1"/>
                <w:kern w:val="28"/>
                <w:sz w:val="24"/>
                <w:szCs w:val="24"/>
                <w:highlight w:val="none"/>
                <w14:textFill>
                  <w14:solidFill>
                    <w14:schemeClr w14:val="tx1"/>
                  </w14:solidFill>
                </w14:textFill>
              </w:rPr>
              <w:t>厂界噪声</w:t>
            </w:r>
            <w:r>
              <w:rPr>
                <w:rFonts w:hint="default" w:ascii="Times New Roman" w:hAnsi="Times New Roman" w:cs="Times New Roman"/>
                <w:bCs/>
                <w:color w:val="000000" w:themeColor="text1"/>
                <w:sz w:val="24"/>
                <w:szCs w:val="24"/>
                <w:highlight w:val="none"/>
                <w14:textFill>
                  <w14:solidFill>
                    <w14:schemeClr w14:val="tx1"/>
                  </w14:solidFill>
                </w14:textFill>
              </w:rPr>
              <w:t>满足《工业企业厂界环境噪声排放标准》（GB12348-2008）2类标准要求。</w:t>
            </w:r>
          </w:p>
          <w:p w14:paraId="3FEFC8F2">
            <w:pPr>
              <w:pStyle w:val="20"/>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（4）固废处置</w:t>
            </w:r>
          </w:p>
          <w:p w14:paraId="10044027">
            <w:pPr>
              <w:keepNext w:val="0"/>
              <w:keepLines w:val="0"/>
              <w:pageBreakBefore w:val="0"/>
              <w:widowControl w:val="0"/>
              <w:kinsoku/>
              <w:wordWrap/>
              <w:overflowPunct/>
              <w:topLinePunct w:val="0"/>
              <w:autoSpaceDE/>
              <w:autoSpaceDN/>
              <w:bidi w:val="0"/>
              <w:adjustRightInd/>
              <w:snapToGrid/>
              <w:spacing w:line="520" w:lineRule="exact"/>
              <w:ind w:firstLine="477" w:firstLineChars="199"/>
              <w:jc w:val="both"/>
              <w:textAlignment w:val="auto"/>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现有工程</w:t>
            </w:r>
            <w:r>
              <w:rPr>
                <w:rFonts w:hint="eastAsia" w:ascii="Times New Roman" w:hAnsi="Times New Roman" w:cs="Times New Roman"/>
                <w:bCs/>
                <w:color w:val="000000" w:themeColor="text1"/>
                <w:sz w:val="24"/>
                <w:highlight w:val="none"/>
                <w:lang w:val="en-US" w:eastAsia="zh-CN"/>
                <w14:textFill>
                  <w14:solidFill>
                    <w14:schemeClr w14:val="tx1"/>
                  </w14:solidFill>
                </w14:textFill>
              </w:rPr>
              <w:t>中药药渣收集后与</w:t>
            </w:r>
            <w:r>
              <w:rPr>
                <w:rFonts w:hint="default" w:ascii="Times New Roman" w:hAnsi="Times New Roman" w:cs="Times New Roman"/>
                <w:bCs/>
                <w:color w:val="000000" w:themeColor="text1"/>
                <w:sz w:val="24"/>
                <w:highlight w:val="none"/>
                <w14:textFill>
                  <w14:solidFill>
                    <w14:schemeClr w14:val="tx1"/>
                  </w14:solidFill>
                </w14:textFill>
              </w:rPr>
              <w:t>生活垃圾</w:t>
            </w:r>
            <w:r>
              <w:rPr>
                <w:rFonts w:hint="eastAsia" w:ascii="Times New Roman" w:hAnsi="Times New Roman" w:cs="Times New Roman"/>
                <w:bCs/>
                <w:color w:val="000000" w:themeColor="text1"/>
                <w:sz w:val="24"/>
                <w:highlight w:val="none"/>
                <w:lang w:val="en-US" w:eastAsia="zh-CN"/>
                <w14:textFill>
                  <w14:solidFill>
                    <w14:schemeClr w14:val="tx1"/>
                  </w14:solidFill>
                </w14:textFill>
              </w:rPr>
              <w:t>一起</w:t>
            </w:r>
            <w:r>
              <w:rPr>
                <w:rFonts w:hint="default" w:ascii="Times New Roman" w:hAnsi="Times New Roman" w:cs="Times New Roman"/>
                <w:bCs/>
                <w:color w:val="000000" w:themeColor="text1"/>
                <w:sz w:val="24"/>
                <w:highlight w:val="none"/>
                <w14:textFill>
                  <w14:solidFill>
                    <w14:schemeClr w14:val="tx1"/>
                  </w14:solidFill>
                </w14:textFill>
              </w:rPr>
              <w:t>定期交由当地环卫部门统一处理；</w:t>
            </w:r>
            <w:r>
              <w:rPr>
                <w:rFonts w:hint="eastAsia" w:ascii="Times New Roman" w:hAnsi="Times New Roman" w:cs="Times New Roman"/>
                <w:bCs/>
                <w:color w:val="000000" w:themeColor="text1"/>
                <w:sz w:val="24"/>
                <w:highlight w:val="none"/>
                <w:lang w:val="en-US" w:eastAsia="zh-CN"/>
                <w14:textFill>
                  <w14:solidFill>
                    <w14:schemeClr w14:val="tx1"/>
                  </w14:solidFill>
                </w14:textFill>
              </w:rPr>
              <w:t>污泥经浓缩、消毒、脱水后存放在污泥暂存间，定期交由</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三门峡天蓝环保科技有限公司运走进行安全处置</w:t>
            </w:r>
            <w:r>
              <w:rPr>
                <w:rFonts w:hint="eastAsia" w:ascii="Times New Roman" w:hAnsi="Times New Roman" w:cs="Times New Roman"/>
                <w:color w:val="000000" w:themeColor="text1"/>
                <w:sz w:val="24"/>
                <w:highlight w:val="none"/>
                <w:lang w:val="en-US" w:eastAsia="zh-CN"/>
                <w14:textFill>
                  <w14:solidFill>
                    <w14:schemeClr w14:val="tx1"/>
                  </w14:solidFill>
                </w14:textFill>
              </w:rPr>
              <w:t>；医疗废物分类收集暂存在医疗废物暂存间，</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定期交由</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三门峡天蓝环保科技有限公司运走进行安全处置</w:t>
            </w:r>
            <w:r>
              <w:rPr>
                <w:rFonts w:hint="eastAsia" w:ascii="Times New Roman" w:hAnsi="Times New Roman" w:cs="Times New Roman"/>
                <w:color w:val="000000" w:themeColor="text1"/>
                <w:sz w:val="24"/>
                <w:highlight w:val="none"/>
                <w:lang w:val="en-US" w:eastAsia="zh-CN"/>
                <w14:textFill>
                  <w14:solidFill>
                    <w14:schemeClr w14:val="tx1"/>
                  </w14:solidFill>
                </w14:textFill>
              </w:rPr>
              <w:t>；隔油池油渣收集后交由有资质的单位处置；废碳分子筛、废滤芯则由制氧系统生产厂家回收</w:t>
            </w:r>
            <w:r>
              <w:rPr>
                <w:rFonts w:hint="default" w:ascii="Times New Roman" w:hAnsi="Times New Roman" w:cs="Times New Roman"/>
                <w:bCs/>
                <w:color w:val="000000" w:themeColor="text1"/>
                <w:sz w:val="24"/>
                <w:highlight w:val="none"/>
                <w14:textFill>
                  <w14:solidFill>
                    <w14:schemeClr w14:val="tx1"/>
                  </w14:solidFill>
                </w14:textFill>
              </w:rPr>
              <w:t>。</w:t>
            </w:r>
          </w:p>
          <w:p w14:paraId="7ADA2A01">
            <w:pPr>
              <w:pStyle w:val="194"/>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jc w:val="both"/>
              <w:textAlignment w:val="baseline"/>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t>2、在建</w:t>
            </w:r>
            <w:r>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t>工程</w:t>
            </w:r>
            <w:r>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t>①概况</w:t>
            </w:r>
          </w:p>
          <w:p w14:paraId="3849AB6B">
            <w:pPr>
              <w:pStyle w:val="194"/>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jc w:val="both"/>
              <w:textAlignment w:val="baseline"/>
              <w:rPr>
                <w:rFonts w:hint="eastAsia" w:ascii="Times New Roman" w:hAnsi="Times New Roman" w:cs="Times New Roman"/>
                <w:b/>
                <w:bCs w:val="0"/>
                <w:color w:val="000000" w:themeColor="text1"/>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zCs w:val="24"/>
                <w:highlight w:val="none"/>
                <w:lang w:val="en-US" w:eastAsia="zh-CN"/>
                <w14:textFill>
                  <w14:solidFill>
                    <w14:schemeClr w14:val="tx1"/>
                  </w14:solidFill>
                </w14:textFill>
              </w:rPr>
              <w:t>2.1工作流程及产污环节</w:t>
            </w:r>
          </w:p>
          <w:p w14:paraId="1EA50FAE">
            <w:pPr>
              <w:pStyle w:val="194"/>
              <w:keepNext w:val="0"/>
              <w:keepLines w:val="0"/>
              <w:pageBreakBefore w:val="0"/>
              <w:widowControl w:val="0"/>
              <w:kinsoku/>
              <w:wordWrap/>
              <w:overflowPunct/>
              <w:topLinePunct w:val="0"/>
              <w:autoSpaceDE/>
              <w:autoSpaceDN/>
              <w:bidi w:val="0"/>
              <w:adjustRightInd w:val="0"/>
              <w:snapToGrid w:val="0"/>
              <w:spacing w:after="0" w:line="520" w:lineRule="exact"/>
              <w:ind w:firstLine="482" w:firstLineChars="200"/>
              <w:jc w:val="both"/>
              <w:textAlignment w:val="baseline"/>
              <w:outlineLvl w:val="9"/>
              <w:rPr>
                <w:rFonts w:hint="eastAsia" w:ascii="Times New Roman" w:hAnsi="Times New Roman" w:cs="Times New Roman"/>
                <w:b/>
                <w:bCs w:val="0"/>
                <w:color w:val="000000" w:themeColor="text1"/>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zCs w:val="24"/>
                <w:highlight w:val="none"/>
                <w:lang w:val="en-US" w:eastAsia="zh-CN"/>
                <w14:textFill>
                  <w14:solidFill>
                    <w14:schemeClr w14:val="tx1"/>
                  </w14:solidFill>
                </w14:textFill>
              </w:rPr>
              <w:t>工作流程简述：</w:t>
            </w:r>
          </w:p>
          <w:p w14:paraId="01C4AFA3">
            <w:pPr>
              <w:pStyle w:val="2"/>
              <w:keepNext w:val="0"/>
              <w:keepLines w:val="0"/>
              <w:pageBreakBefore w:val="0"/>
              <w:widowControl w:val="0"/>
              <w:numPr>
                <w:ilvl w:val="0"/>
                <w:numId w:val="5"/>
              </w:numPr>
              <w:kinsoku/>
              <w:wordWrap/>
              <w:overflowPunct/>
              <w:topLinePunct w:val="0"/>
              <w:autoSpaceDE/>
              <w:autoSpaceDN/>
              <w:bidi w:val="0"/>
              <w:adjustRightInd/>
              <w:snapToGrid w:val="0"/>
              <w:spacing w:line="520" w:lineRule="exact"/>
              <w:ind w:left="0" w:right="0" w:firstLine="480" w:firstLineChars="200"/>
              <w:jc w:val="both"/>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门诊、治疗就诊患者一般需先进行挂号缴费，或现场前台进行咨询。</w:t>
            </w:r>
          </w:p>
          <w:p w14:paraId="63D46596">
            <w:pPr>
              <w:pStyle w:val="2"/>
              <w:keepNext w:val="0"/>
              <w:keepLines w:val="0"/>
              <w:pageBreakBefore w:val="0"/>
              <w:widowControl w:val="0"/>
              <w:numPr>
                <w:ilvl w:val="0"/>
                <w:numId w:val="5"/>
              </w:numPr>
              <w:kinsoku/>
              <w:wordWrap/>
              <w:overflowPunct/>
              <w:topLinePunct w:val="0"/>
              <w:autoSpaceDE/>
              <w:autoSpaceDN/>
              <w:bidi w:val="0"/>
              <w:adjustRightInd/>
              <w:snapToGrid w:val="0"/>
              <w:spacing w:line="520" w:lineRule="exact"/>
              <w:ind w:left="0" w:right="0" w:firstLine="480" w:firstLineChars="200"/>
              <w:jc w:val="both"/>
              <w:textAlignment w:val="auto"/>
              <w:rPr>
                <w:rFonts w:hint="default" w:ascii="Times New Roman" w:hAnsi="Times New Roman" w:cs="Times New Roman"/>
                <w:b/>
                <w:bCs w:val="0"/>
                <w:color w:val="000000" w:themeColor="text1"/>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诊断、检验对就诊患者在诊室内（检查室）进行初步诊断，根据初诊结果对患者进行血压、心电圈、血型等简单的检查、检验来进一步确诊，过程中无含重金属等试剂、材料的使用。</w:t>
            </w:r>
          </w:p>
          <w:p w14:paraId="0588CC0F">
            <w:pPr>
              <w:pStyle w:val="2"/>
              <w:keepNext w:val="0"/>
              <w:keepLines w:val="0"/>
              <w:pageBreakBefore w:val="0"/>
              <w:widowControl w:val="0"/>
              <w:numPr>
                <w:ilvl w:val="0"/>
                <w:numId w:val="5"/>
              </w:numPr>
              <w:kinsoku/>
              <w:wordWrap/>
              <w:overflowPunct/>
              <w:topLinePunct w:val="0"/>
              <w:autoSpaceDE/>
              <w:autoSpaceDN/>
              <w:bidi w:val="0"/>
              <w:adjustRightInd/>
              <w:snapToGrid w:val="0"/>
              <w:spacing w:line="520" w:lineRule="exact"/>
              <w:ind w:left="0" w:right="0" w:firstLine="480" w:firstLineChars="20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治疗根据检查结果进行对症治疗，需住院治疗的患者转至病房区观察、休息，无需住院的患者诊断后或拿药后离开。</w:t>
            </w:r>
          </w:p>
          <w:p w14:paraId="3F0B4C4C">
            <w:pPr>
              <w:rPr>
                <w:rFonts w:hint="default"/>
                <w:color w:val="000000" w:themeColor="text1"/>
                <w:lang w:val="en-US" w:eastAsia="zh-CN"/>
                <w14:textFill>
                  <w14:solidFill>
                    <w14:schemeClr w14:val="tx1"/>
                  </w14:solidFill>
                </w14:textFill>
              </w:rPr>
            </w:pPr>
          </w:p>
          <w:p w14:paraId="5006FAE6">
            <w:pPr>
              <w:widowControl/>
              <w:spacing w:line="408" w:lineRule="auto"/>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object>
                <v:shape id="_x0000_i1031" o:spt="75" alt="" type="#_x0000_t75" style="height:279.65pt;width:295.2pt;" o:ole="t" filled="f" o:preferrelative="t" stroked="f" coordsize="21600,21600">
                  <v:path/>
                  <v:fill on="f" focussize="0,0"/>
                  <v:stroke on="f"/>
                  <v:imagedata r:id="rId34" o:title=""/>
                  <o:lock v:ext="edit" aspectratio="f"/>
                  <w10:wrap type="none"/>
                  <w10:anchorlock/>
                </v:shape>
                <o:OLEObject Type="Embed" ProgID="Visio.Drawing.11" ShapeID="_x0000_i1031" DrawAspect="Content" ObjectID="_1468075731" r:id="rId33">
                  <o:LockedField>false</o:LockedField>
                </o:OLEObject>
              </w:object>
            </w:r>
          </w:p>
          <w:p w14:paraId="4F99EE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highlight w:val="none"/>
                <w14:textFill>
                  <w14:solidFill>
                    <w14:schemeClr w14:val="tx1"/>
                  </w14:solidFill>
                </w14:textFill>
              </w:rPr>
              <w:t>图</w:t>
            </w:r>
            <w:r>
              <w:rPr>
                <w:rFonts w:hint="eastAsia" w:ascii="Times New Roman" w:hAnsi="Times New Roman" w:eastAsia="黑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eastAsia" w:ascii="Times New Roman" w:hAnsi="Times New Roman" w:eastAsia="黑体" w:cs="Times New Roman"/>
                <w:bCs/>
                <w:color w:val="000000" w:themeColor="text1"/>
                <w:kern w:val="28"/>
                <w:sz w:val="24"/>
                <w:szCs w:val="24"/>
                <w:highlight w:val="none"/>
                <w:lang w:val="en-US" w:eastAsia="zh-CN"/>
                <w14:textFill>
                  <w14:solidFill>
                    <w14:schemeClr w14:val="tx1"/>
                  </w14:solidFill>
                </w14:textFill>
              </w:rPr>
              <w:t>医疗工作流程</w:t>
            </w:r>
            <w:r>
              <w:rPr>
                <w:rFonts w:hint="default" w:ascii="Times New Roman" w:hAnsi="Times New Roman" w:eastAsia="黑体" w:cs="Times New Roman"/>
                <w:bCs/>
                <w:color w:val="000000" w:themeColor="text1"/>
                <w:kern w:val="28"/>
                <w:sz w:val="24"/>
                <w:szCs w:val="24"/>
                <w:highlight w:val="none"/>
                <w14:textFill>
                  <w14:solidFill>
                    <w14:schemeClr w14:val="tx1"/>
                  </w14:solidFill>
                </w14:textFill>
              </w:rPr>
              <w:t>及产污环节</w:t>
            </w:r>
          </w:p>
          <w:p w14:paraId="6AA90E13">
            <w:pPr>
              <w:pStyle w:val="194"/>
              <w:keepNext w:val="0"/>
              <w:keepLines w:val="0"/>
              <w:pageBreakBefore w:val="0"/>
              <w:widowControl w:val="0"/>
              <w:kinsoku/>
              <w:wordWrap/>
              <w:overflowPunct/>
              <w:topLinePunct w:val="0"/>
              <w:autoSpaceDE/>
              <w:autoSpaceDN/>
              <w:bidi w:val="0"/>
              <w:adjustRightInd w:val="0"/>
              <w:snapToGrid w:val="0"/>
              <w:spacing w:after="0" w:line="520" w:lineRule="exact"/>
              <w:jc w:val="both"/>
              <w:textAlignment w:val="baseline"/>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t>2.2在建</w:t>
            </w:r>
            <w:r>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t>工程</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①</w:t>
            </w:r>
            <w:r>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t>污染物排放情况</w:t>
            </w:r>
          </w:p>
          <w:p w14:paraId="1A0D564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由于项目正在建设中，本次评价污染物排放数据采用环评中的估算数据，具体排放情况如下：</w:t>
            </w:r>
          </w:p>
          <w:p w14:paraId="24953CD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（1）废气</w:t>
            </w:r>
          </w:p>
          <w:p w14:paraId="46EEE8F2">
            <w:pPr>
              <w:pStyle w:val="20"/>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在建工程</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①</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产生的</w:t>
            </w:r>
            <w:r>
              <w:rPr>
                <w:rFonts w:hint="default" w:ascii="Times New Roman" w:hAnsi="Times New Roman" w:cs="Times New Roman"/>
                <w:color w:val="000000" w:themeColor="text1"/>
                <w:sz w:val="24"/>
                <w:highlight w:val="none"/>
                <w:lang w:val="en-US" w:eastAsia="zh-CN"/>
                <w14:textFill>
                  <w14:solidFill>
                    <w14:schemeClr w14:val="tx1"/>
                  </w14:solidFill>
                </w14:textFill>
              </w:rPr>
              <w:t>废气主要</w:t>
            </w:r>
            <w:r>
              <w:rPr>
                <w:rFonts w:hint="eastAsia" w:ascii="Times New Roman" w:hAnsi="Times New Roman" w:cs="Times New Roman"/>
                <w:color w:val="000000" w:themeColor="text1"/>
                <w:sz w:val="24"/>
                <w:highlight w:val="none"/>
                <w:lang w:val="en-US" w:eastAsia="zh-CN"/>
                <w14:textFill>
                  <w14:solidFill>
                    <w14:schemeClr w14:val="tx1"/>
                  </w14:solidFill>
                </w14:textFill>
              </w:rPr>
              <w:t>为污水处理站产生的恶臭气体、食堂油烟、</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煎药室废气以及汽车尾气</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。其中</w:t>
            </w:r>
            <w:r>
              <w:rPr>
                <w:rFonts w:hint="eastAsia" w:ascii="Times New Roman" w:hAnsi="Times New Roman" w:cs="Times New Roman"/>
                <w:color w:val="000000" w:themeColor="text1"/>
                <w:sz w:val="24"/>
                <w:highlight w:val="none"/>
                <w:lang w:val="en-US" w:eastAsia="zh-CN"/>
                <w14:textFill>
                  <w14:solidFill>
                    <w14:schemeClr w14:val="tx1"/>
                  </w14:solidFill>
                </w14:textFill>
              </w:rPr>
              <w:t>污水处理设置在院区西北角，采用地埋式设计，地面上仅设置设备操作间，各污水处理构筑物均加盖板密闭并埋于地下，盖板上预留进、出气口，使每格池子的臭气能相通，并设置总排气管排出，收集的恶臭气体经紫外线消毒+活性炭吸附处理后引至感染病楼房顶（20m）排放；</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食堂油烟经油烟净化装置处理后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由8m高烟囱</w:t>
            </w:r>
            <w:r>
              <w:rPr>
                <w:rFonts w:hint="default" w:ascii="Times New Roman" w:hAnsi="Times New Roman" w:cs="Times New Roman"/>
                <w:color w:val="000000" w:themeColor="text1"/>
                <w:sz w:val="24"/>
                <w:szCs w:val="24"/>
                <w:highlight w:val="none"/>
                <w14:textFill>
                  <w14:solidFill>
                    <w14:schemeClr w14:val="tx1"/>
                  </w14:solidFill>
                </w14:textFill>
              </w:rPr>
              <w:t>排放</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；煎药室废气经集气罩收集后引至</w:t>
            </w:r>
            <w:r>
              <w:rPr>
                <w:rFonts w:hint="eastAsia" w:ascii="Times New Roman" w:hAnsi="Times New Roman" w:cs="Times New Roman"/>
                <w:color w:val="000000" w:themeColor="text1"/>
                <w:sz w:val="24"/>
                <w:highlight w:val="none"/>
                <w:lang w:val="en-US" w:eastAsia="zh-CN"/>
                <w14:textFill>
                  <w14:solidFill>
                    <w14:schemeClr w14:val="tx1"/>
                  </w14:solidFill>
                </w14:textFill>
              </w:rPr>
              <w:t>感染病楼房</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顶（与污水处理站恶臭气体</w:t>
            </w: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共用1根排气筒）排放；汽车尾气经绿化植物吸附、自然稀释扩散后</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无组织</w:t>
            </w: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排放。</w:t>
            </w:r>
          </w:p>
          <w:p w14:paraId="54E59387">
            <w:pPr>
              <w:pStyle w:val="20"/>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根据环评可知，在建工程①废气排放量见下表。</w:t>
            </w:r>
          </w:p>
          <w:p w14:paraId="4E9A2799">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ind w:firstLine="0"/>
              <w:jc w:val="center"/>
              <w:textAlignment w:val="auto"/>
              <w:rPr>
                <w:rFonts w:hint="default" w:ascii="Times New Roman" w:hAnsi="Times New Roman" w:eastAsia="黑体" w:cs="Times New Roman"/>
                <w:bCs/>
                <w:color w:val="000000" w:themeColor="text1"/>
                <w14:textFill>
                  <w14:solidFill>
                    <w14:schemeClr w14:val="tx1"/>
                  </w14:solidFill>
                </w14:textFill>
              </w:rPr>
            </w:pPr>
            <w:r>
              <w:rPr>
                <w:rFonts w:hint="eastAsia" w:ascii="Times New Roman" w:hAnsi="Times New Roman" w:cs="Times New Roman"/>
                <w:bCs/>
                <w:color w:val="000000" w:themeColor="text1"/>
                <w:lang w:val="en-US" w:eastAsia="zh-CN"/>
                <w14:textFill>
                  <w14:solidFill>
                    <w14:schemeClr w14:val="tx1"/>
                  </w14:solidFill>
                </w14:textFill>
              </w:rPr>
              <w:t>在</w:t>
            </w:r>
            <w:r>
              <w:rPr>
                <w:rFonts w:hint="default" w:ascii="Times New Roman" w:hAnsi="Times New Roman" w:cs="Times New Roman"/>
                <w:bCs/>
                <w:color w:val="000000" w:themeColor="text1"/>
                <w:lang w:val="en-US" w:eastAsia="zh-CN"/>
                <w14:textFill>
                  <w14:solidFill>
                    <w14:schemeClr w14:val="tx1"/>
                  </w14:solidFill>
                </w14:textFill>
              </w:rPr>
              <w:t>建工程</w:t>
            </w:r>
            <w:r>
              <w:rPr>
                <w:rFonts w:hint="eastAsia" w:ascii="Times New Roman" w:hAnsi="Times New Roman" w:cs="Times New Roman"/>
                <w:bCs/>
                <w:color w:val="000000" w:themeColor="text1"/>
                <w:lang w:val="en-US" w:eastAsia="zh-CN"/>
                <w14:textFill>
                  <w14:solidFill>
                    <w14:schemeClr w14:val="tx1"/>
                  </w14:solidFill>
                </w14:textFill>
              </w:rPr>
              <w:t>①废气</w:t>
            </w:r>
            <w:r>
              <w:rPr>
                <w:rFonts w:hint="eastAsia" w:ascii="Times New Roman" w:hAnsi="Times New Roman" w:eastAsia="黑体" w:cs="Times New Roman"/>
                <w:bCs/>
                <w:color w:val="000000" w:themeColor="text1"/>
                <w14:textFill>
                  <w14:solidFill>
                    <w14:schemeClr w14:val="tx1"/>
                  </w14:solidFill>
                </w14:textFill>
              </w:rPr>
              <w:t>污染物年排放量</w:t>
            </w:r>
            <w:r>
              <w:rPr>
                <w:rFonts w:hint="eastAsia" w:ascii="Times New Roman" w:hAnsi="Times New Roman" w:cs="Times New Roman"/>
                <w:bCs/>
                <w:color w:val="000000" w:themeColor="text1"/>
                <w:lang w:val="en-US" w:eastAsia="zh-CN"/>
                <w14:textFill>
                  <w14:solidFill>
                    <w14:schemeClr w14:val="tx1"/>
                  </w14:solidFill>
                </w14:textFill>
              </w:rPr>
              <w:t>一览</w:t>
            </w:r>
            <w:r>
              <w:rPr>
                <w:rFonts w:hint="eastAsia" w:ascii="Times New Roman" w:hAnsi="Times New Roman" w:eastAsia="黑体" w:cs="Times New Roman"/>
                <w:bCs/>
                <w:color w:val="000000" w:themeColor="text1"/>
                <w14:textFill>
                  <w14:solidFill>
                    <w14:schemeClr w14:val="tx1"/>
                  </w14:solidFill>
                </w14:textFill>
              </w:rPr>
              <w:t>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66"/>
              <w:gridCol w:w="3173"/>
              <w:gridCol w:w="3175"/>
            </w:tblGrid>
            <w:tr w14:paraId="60DBF2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9" w:type="dxa"/>
                  <w:noWrap w:val="0"/>
                  <w:vAlign w:val="center"/>
                </w:tcPr>
                <w:p w14:paraId="127ADD48">
                  <w:pPr>
                    <w:autoSpaceDE w:val="0"/>
                    <w:autoSpaceDN w:val="0"/>
                    <w:spacing w:before="20" w:after="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3016" w:type="dxa"/>
                  <w:noWrap w:val="0"/>
                  <w:vAlign w:val="center"/>
                </w:tcPr>
                <w:p w14:paraId="0B6D5C3A">
                  <w:pPr>
                    <w:autoSpaceDE w:val="0"/>
                    <w:autoSpaceDN w:val="0"/>
                    <w:spacing w:before="20" w:after="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tc>
              <w:tc>
                <w:tcPr>
                  <w:tcW w:w="3018" w:type="dxa"/>
                  <w:noWrap w:val="0"/>
                  <w:vAlign w:val="center"/>
                </w:tcPr>
                <w:p w14:paraId="48BC3F20">
                  <w:pPr>
                    <w:autoSpaceDE w:val="0"/>
                    <w:autoSpaceDN w:val="0"/>
                    <w:spacing w:before="20" w:after="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年排放量（t/a）</w:t>
                  </w:r>
                </w:p>
              </w:tc>
            </w:tr>
            <w:tr w14:paraId="724C2B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9" w:type="dxa"/>
                  <w:noWrap w:val="0"/>
                  <w:vAlign w:val="center"/>
                </w:tcPr>
                <w:p w14:paraId="45731946">
                  <w:pPr>
                    <w:autoSpaceDE w:val="0"/>
                    <w:autoSpaceDN w:val="0"/>
                    <w:spacing w:before="20" w:after="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16" w:type="dxa"/>
                  <w:noWrap w:val="0"/>
                  <w:vAlign w:val="center"/>
                </w:tcPr>
                <w:p w14:paraId="595FCBB0">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NH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-N</w:t>
                  </w:r>
                </w:p>
              </w:tc>
              <w:tc>
                <w:tcPr>
                  <w:tcW w:w="3018" w:type="dxa"/>
                  <w:noWrap w:val="0"/>
                  <w:vAlign w:val="center"/>
                </w:tcPr>
                <w:p w14:paraId="2DB88CF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0.0038</w:t>
                  </w:r>
                </w:p>
              </w:tc>
            </w:tr>
            <w:tr w14:paraId="5057DC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9" w:type="dxa"/>
                  <w:noWrap w:val="0"/>
                  <w:vAlign w:val="center"/>
                </w:tcPr>
                <w:p w14:paraId="059D644E">
                  <w:pPr>
                    <w:autoSpaceDE w:val="0"/>
                    <w:autoSpaceDN w:val="0"/>
                    <w:spacing w:before="20" w:after="2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3016" w:type="dxa"/>
                  <w:noWrap w:val="0"/>
                  <w:vAlign w:val="center"/>
                </w:tcPr>
                <w:p w14:paraId="21DDA186">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S</w:t>
                  </w:r>
                </w:p>
              </w:tc>
              <w:tc>
                <w:tcPr>
                  <w:tcW w:w="3018" w:type="dxa"/>
                  <w:noWrap w:val="0"/>
                  <w:vAlign w:val="center"/>
                </w:tcPr>
                <w:p w14:paraId="19DEB7CC">
                  <w:pPr>
                    <w:keepNext w:val="0"/>
                    <w:keepLines w:val="0"/>
                    <w:pageBreakBefore w:val="0"/>
                    <w:widowControl w:val="0"/>
                    <w:kinsoku/>
                    <w:wordWrap/>
                    <w:overflowPunct/>
                    <w:topLinePunct w:val="0"/>
                    <w:autoSpaceDE w:val="0"/>
                    <w:autoSpaceDN w:val="0"/>
                    <w:bidi w:val="0"/>
                    <w:adjustRightInd/>
                    <w:snapToGrid/>
                    <w:spacing w:line="0" w:lineRule="atLeast"/>
                    <w:ind w:left="-7" w:leftChars="-50" w:right="-105" w:rightChars="-50" w:hanging="98" w:hangingChars="47"/>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0.0001</w:t>
                  </w:r>
                </w:p>
              </w:tc>
            </w:tr>
            <w:tr w14:paraId="6CA43F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9" w:type="dxa"/>
                  <w:noWrap w:val="0"/>
                  <w:vAlign w:val="center"/>
                </w:tcPr>
                <w:p w14:paraId="63C9A7F5">
                  <w:pPr>
                    <w:autoSpaceDE w:val="0"/>
                    <w:autoSpaceDN w:val="0"/>
                    <w:spacing w:before="20" w:after="2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3016" w:type="dxa"/>
                  <w:noWrap w:val="0"/>
                  <w:vAlign w:val="center"/>
                </w:tcPr>
                <w:p w14:paraId="6773907A">
                  <w:pPr>
                    <w:spacing w:line="0" w:lineRule="atLeast"/>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油烟</w:t>
                  </w:r>
                </w:p>
              </w:tc>
              <w:tc>
                <w:tcPr>
                  <w:tcW w:w="3018" w:type="dxa"/>
                  <w:noWrap w:val="0"/>
                  <w:vAlign w:val="center"/>
                </w:tcPr>
                <w:p w14:paraId="54B8D92A">
                  <w:pPr>
                    <w:keepNext w:val="0"/>
                    <w:keepLines w:val="0"/>
                    <w:pageBreakBefore w:val="0"/>
                    <w:widowControl w:val="0"/>
                    <w:kinsoku/>
                    <w:wordWrap/>
                    <w:overflowPunct/>
                    <w:topLinePunct w:val="0"/>
                    <w:bidi w:val="0"/>
                    <w:adjustRightInd/>
                    <w:snapToGrid/>
                    <w:spacing w:line="0" w:lineRule="atLeast"/>
                    <w:ind w:left="-105" w:leftChars="-50" w:right="-105" w:rightChars="-50"/>
                    <w:jc w:val="center"/>
                    <w:textAlignment w:val="baseline"/>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黑体" w:cs="Times New Roman"/>
                      <w:color w:val="000000" w:themeColor="text1"/>
                      <w:szCs w:val="21"/>
                      <w:lang w:val="en-US" w:eastAsia="zh-CN"/>
                      <w14:textFill>
                        <w14:solidFill>
                          <w14:schemeClr w14:val="tx1"/>
                        </w14:solidFill>
                      </w14:textFill>
                    </w:rPr>
                    <w:t>0.0099</w:t>
                  </w:r>
                </w:p>
              </w:tc>
            </w:tr>
          </w:tbl>
          <w:p w14:paraId="4A53DC79">
            <w:pPr>
              <w:pStyle w:val="20"/>
              <w:keepNext w:val="0"/>
              <w:keepLines w:val="0"/>
              <w:pageBreakBefore w:val="0"/>
              <w:widowControl w:val="0"/>
              <w:kinsoku/>
              <w:wordWrap/>
              <w:overflowPunct/>
              <w:topLinePunct w:val="0"/>
              <w:autoSpaceDE/>
              <w:autoSpaceDN/>
              <w:bidi w:val="0"/>
              <w:spacing w:line="520" w:lineRule="exact"/>
              <w:jc w:val="both"/>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（2）废水</w:t>
            </w:r>
          </w:p>
          <w:p w14:paraId="10FBE70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kern w:val="28"/>
                <w:sz w:val="24"/>
                <w:szCs w:val="24"/>
                <w:highlight w:val="none"/>
                <w:lang w:eastAsia="zh-CN"/>
                <w14:textFill>
                  <w14:solidFill>
                    <w14:schemeClr w14:val="tx1"/>
                  </w14:solidFill>
                </w14:textFill>
              </w:rPr>
              <w:t>在建</w:t>
            </w:r>
            <w:r>
              <w:rPr>
                <w:rFonts w:hint="default" w:ascii="Times New Roman" w:hAnsi="Times New Roman" w:cs="Times New Roman"/>
                <w:b w:val="0"/>
                <w:bCs w:val="0"/>
                <w:color w:val="000000" w:themeColor="text1"/>
                <w:kern w:val="0"/>
                <w:sz w:val="24"/>
                <w:szCs w:val="22"/>
                <w:highlight w:val="none"/>
                <w:u w:val="none"/>
                <w:lang w:eastAsia="zh-CN"/>
                <w14:textFill>
                  <w14:solidFill>
                    <w14:schemeClr w14:val="tx1"/>
                  </w14:solidFill>
                </w14:textFill>
              </w:rPr>
              <w:t>项目</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①</w:t>
            </w:r>
            <w:r>
              <w:rPr>
                <w:rFonts w:hint="default"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废水主要</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包括门急诊医疗废水、化验废水、检验废水、住院病房医疗废水、医务人员医疗废水、食堂废水、洗衣房洗涤废水、煎制容器清洗废水等</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。废水产生量为26475.275m</w:t>
            </w:r>
            <w:r>
              <w:rPr>
                <w:rFonts w:hint="eastAsia" w:ascii="Times New Roman" w:hAnsi="Times New Roman" w:cs="Times New Roman"/>
                <w:bCs/>
                <w:color w:val="000000" w:themeColor="text1"/>
                <w:kern w:val="28"/>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/a（72.535m</w:t>
            </w:r>
            <w:r>
              <w:rPr>
                <w:rFonts w:hint="eastAsia" w:ascii="Times New Roman" w:hAnsi="Times New Roman" w:cs="Times New Roman"/>
                <w:bCs/>
                <w:color w:val="000000" w:themeColor="text1"/>
                <w:kern w:val="28"/>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/d），在建工程污水处理站规模为100m</w:t>
            </w:r>
            <w:r>
              <w:rPr>
                <w:rFonts w:hint="eastAsia" w:ascii="Times New Roman" w:hAnsi="Times New Roman" w:cs="Times New Roman"/>
                <w:bCs/>
                <w:color w:val="000000" w:themeColor="text1"/>
                <w:kern w:val="28"/>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/d，采用“预消毒+AO生物接触氧化法+消毒工艺”的处理工艺。</w:t>
            </w:r>
          </w:p>
          <w:p w14:paraId="3E4B2341">
            <w:pPr>
              <w:pStyle w:val="20"/>
              <w:keepNext w:val="0"/>
              <w:keepLines w:val="0"/>
              <w:pageBreakBefore w:val="0"/>
              <w:widowControl w:val="0"/>
              <w:kinsoku/>
              <w:wordWrap/>
              <w:overflowPunct/>
              <w:topLinePunct w:val="0"/>
              <w:autoSpaceDE/>
              <w:autoSpaceDN/>
              <w:bidi w:val="0"/>
              <w:spacing w:line="520" w:lineRule="exact"/>
              <w:jc w:val="both"/>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根据环评可知，</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在建工程</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①</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综合废水主要污染物产排情况见下表。</w:t>
            </w:r>
          </w:p>
          <w:p w14:paraId="22F41997">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ind w:firstLine="0"/>
              <w:jc w:val="center"/>
              <w:textAlignment w:val="auto"/>
              <w:rPr>
                <w:rFonts w:hint="default" w:ascii="Times New Roman" w:hAnsi="Times New Roman" w:eastAsia="黑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在建工程</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①</w:t>
            </w:r>
            <w:r>
              <w:rPr>
                <w:rFonts w:hint="eastAsia" w:ascii="Times New Roman" w:hAnsi="Times New Roman" w:eastAsia="黑体" w:cs="Times New Roman"/>
                <w:color w:val="000000" w:themeColor="text1"/>
                <w:highlight w:val="none"/>
                <w:lang w:val="en-US" w:eastAsia="zh-CN"/>
                <w14:textFill>
                  <w14:solidFill>
                    <w14:schemeClr w14:val="tx1"/>
                  </w14:solidFill>
                </w14:textFill>
              </w:rPr>
              <w:t>综合废水主要污染物产排情况一览表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957"/>
              <w:gridCol w:w="940"/>
              <w:gridCol w:w="814"/>
              <w:gridCol w:w="940"/>
              <w:gridCol w:w="1113"/>
              <w:gridCol w:w="1254"/>
              <w:gridCol w:w="1294"/>
            </w:tblGrid>
            <w:tr w14:paraId="09230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restart"/>
                  <w:noWrap w:val="0"/>
                  <w:vAlign w:val="center"/>
                </w:tcPr>
                <w:p w14:paraId="79952A36">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项目</w:t>
                  </w:r>
                </w:p>
              </w:tc>
              <w:tc>
                <w:tcPr>
                  <w:tcW w:w="7000" w:type="dxa"/>
                  <w:gridSpan w:val="7"/>
                  <w:noWrap w:val="0"/>
                  <w:vAlign w:val="center"/>
                </w:tcPr>
                <w:p w14:paraId="241DBAEC">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baseline"/>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综合</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水质及处理效果</w:t>
                  </w:r>
                </w:p>
              </w:tc>
            </w:tr>
            <w:tr w14:paraId="741B7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Merge w:val="continue"/>
                  <w:noWrap w:val="0"/>
                  <w:vAlign w:val="center"/>
                </w:tcPr>
                <w:p w14:paraId="61E0FF23">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16" w:type="dxa"/>
                  <w:noWrap w:val="0"/>
                  <w:vAlign w:val="center"/>
                </w:tcPr>
                <w:p w14:paraId="5A15CFF5">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COD</w:t>
                  </w:r>
                </w:p>
              </w:tc>
              <w:tc>
                <w:tcPr>
                  <w:tcW w:w="900" w:type="dxa"/>
                  <w:noWrap w:val="0"/>
                  <w:vAlign w:val="center"/>
                </w:tcPr>
                <w:p w14:paraId="0A80F84B">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BOD</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5</w:t>
                  </w:r>
                </w:p>
              </w:tc>
              <w:tc>
                <w:tcPr>
                  <w:tcW w:w="780" w:type="dxa"/>
                  <w:noWrap w:val="0"/>
                  <w:vAlign w:val="center"/>
                </w:tcPr>
                <w:p w14:paraId="077A9EC0">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SS</w:t>
                  </w:r>
                </w:p>
              </w:tc>
              <w:tc>
                <w:tcPr>
                  <w:tcW w:w="900" w:type="dxa"/>
                  <w:noWrap w:val="0"/>
                  <w:vAlign w:val="center"/>
                </w:tcPr>
                <w:p w14:paraId="5292FC19">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NH</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-N</w:t>
                  </w:r>
                </w:p>
              </w:tc>
              <w:tc>
                <w:tcPr>
                  <w:tcW w:w="1065" w:type="dxa"/>
                  <w:noWrap w:val="0"/>
                  <w:vAlign w:val="center"/>
                </w:tcPr>
                <w:p w14:paraId="081BC8C8">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动植物油</w:t>
                  </w:r>
                </w:p>
              </w:tc>
              <w:tc>
                <w:tcPr>
                  <w:tcW w:w="1200" w:type="dxa"/>
                  <w:noWrap w:val="0"/>
                  <w:vAlign w:val="center"/>
                </w:tcPr>
                <w:p w14:paraId="10A42FF6">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粪大肠菌群</w:t>
                  </w:r>
                </w:p>
                <w:p w14:paraId="20CC8AD5">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（个/L）</w:t>
                  </w:r>
                </w:p>
              </w:tc>
              <w:tc>
                <w:tcPr>
                  <w:tcW w:w="1239" w:type="dxa"/>
                  <w:noWrap w:val="0"/>
                  <w:vAlign w:val="center"/>
                </w:tcPr>
                <w:p w14:paraId="57A58BF6">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阴离子表面活性剂</w:t>
                  </w:r>
                </w:p>
              </w:tc>
            </w:tr>
            <w:tr w14:paraId="34F24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noWrap w:val="0"/>
                  <w:vAlign w:val="center"/>
                </w:tcPr>
                <w:p w14:paraId="57BD0EE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进水水质（mg/L）</w:t>
                  </w:r>
                </w:p>
              </w:tc>
              <w:tc>
                <w:tcPr>
                  <w:tcW w:w="916" w:type="dxa"/>
                  <w:noWrap w:val="0"/>
                  <w:vAlign w:val="center"/>
                </w:tcPr>
                <w:p w14:paraId="0C4FD47F">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250</w:t>
                  </w:r>
                </w:p>
              </w:tc>
              <w:tc>
                <w:tcPr>
                  <w:tcW w:w="900" w:type="dxa"/>
                  <w:noWrap w:val="0"/>
                  <w:vAlign w:val="center"/>
                </w:tcPr>
                <w:p w14:paraId="57A1EF94">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150</w:t>
                  </w:r>
                </w:p>
              </w:tc>
              <w:tc>
                <w:tcPr>
                  <w:tcW w:w="780" w:type="dxa"/>
                  <w:noWrap w:val="0"/>
                  <w:vAlign w:val="center"/>
                </w:tcPr>
                <w:p w14:paraId="0F02308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100</w:t>
                  </w:r>
                </w:p>
              </w:tc>
              <w:tc>
                <w:tcPr>
                  <w:tcW w:w="900" w:type="dxa"/>
                  <w:noWrap w:val="0"/>
                  <w:vAlign w:val="center"/>
                </w:tcPr>
                <w:p w14:paraId="6A35F474">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40</w:t>
                  </w:r>
                </w:p>
              </w:tc>
              <w:tc>
                <w:tcPr>
                  <w:tcW w:w="1065" w:type="dxa"/>
                  <w:noWrap w:val="0"/>
                  <w:vAlign w:val="center"/>
                </w:tcPr>
                <w:p w14:paraId="26D9A75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w:t>
                  </w:r>
                </w:p>
              </w:tc>
              <w:tc>
                <w:tcPr>
                  <w:tcW w:w="1200" w:type="dxa"/>
                  <w:noWrap w:val="0"/>
                  <w:vAlign w:val="center"/>
                </w:tcPr>
                <w:p w14:paraId="02DAAA39">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1.8</w:t>
                  </w: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w:t>
                  </w:r>
                  <w:r>
                    <w:rPr>
                      <w:rFonts w:hint="eastAsia" w:ascii="Times New Roman" w:hAnsi="Times New Roman" w:cs="Times New Roman"/>
                      <w:b w:val="0"/>
                      <w:bCs w:val="0"/>
                      <w:color w:val="000000" w:themeColor="text1"/>
                      <w:sz w:val="21"/>
                      <w:szCs w:val="21"/>
                      <w:highlight w:val="none"/>
                      <w:u w:val="none"/>
                      <w:vertAlign w:val="superscript"/>
                      <w:lang w:val="en-US" w:eastAsia="zh-CN"/>
                      <w14:textFill>
                        <w14:solidFill>
                          <w14:schemeClr w14:val="tx1"/>
                        </w14:solidFill>
                      </w14:textFill>
                    </w:rPr>
                    <w:t>8</w:t>
                  </w:r>
                </w:p>
              </w:tc>
              <w:tc>
                <w:tcPr>
                  <w:tcW w:w="1239" w:type="dxa"/>
                  <w:noWrap w:val="0"/>
                  <w:vAlign w:val="center"/>
                </w:tcPr>
                <w:p w14:paraId="35A84E73">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w:t>
                  </w:r>
                </w:p>
              </w:tc>
            </w:tr>
            <w:tr w14:paraId="58FBA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noWrap w:val="0"/>
                  <w:vAlign w:val="center"/>
                </w:tcPr>
                <w:p w14:paraId="48F511D3">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污染物产生量（t/a）</w:t>
                  </w:r>
                </w:p>
              </w:tc>
              <w:tc>
                <w:tcPr>
                  <w:tcW w:w="916" w:type="dxa"/>
                  <w:noWrap w:val="0"/>
                  <w:vAlign w:val="center"/>
                </w:tcPr>
                <w:p w14:paraId="1EE1BA82">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6.6188</w:t>
                  </w:r>
                </w:p>
              </w:tc>
              <w:tc>
                <w:tcPr>
                  <w:tcW w:w="900" w:type="dxa"/>
                  <w:noWrap w:val="0"/>
                  <w:vAlign w:val="center"/>
                </w:tcPr>
                <w:p w14:paraId="2D76F09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3.9713</w:t>
                  </w:r>
                </w:p>
              </w:tc>
              <w:tc>
                <w:tcPr>
                  <w:tcW w:w="780" w:type="dxa"/>
                  <w:noWrap w:val="0"/>
                  <w:vAlign w:val="center"/>
                </w:tcPr>
                <w:p w14:paraId="2FBA6F3E">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2.6475</w:t>
                  </w:r>
                </w:p>
              </w:tc>
              <w:tc>
                <w:tcPr>
                  <w:tcW w:w="900" w:type="dxa"/>
                  <w:noWrap w:val="0"/>
                  <w:vAlign w:val="center"/>
                </w:tcPr>
                <w:p w14:paraId="54107168">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1.059</w:t>
                  </w:r>
                </w:p>
              </w:tc>
              <w:tc>
                <w:tcPr>
                  <w:tcW w:w="1065" w:type="dxa"/>
                  <w:noWrap w:val="0"/>
                  <w:vAlign w:val="center"/>
                </w:tcPr>
                <w:p w14:paraId="4CF38D4B">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0.5295</w:t>
                  </w:r>
                </w:p>
              </w:tc>
              <w:tc>
                <w:tcPr>
                  <w:tcW w:w="1200" w:type="dxa"/>
                  <w:noWrap w:val="0"/>
                  <w:vAlign w:val="center"/>
                </w:tcPr>
                <w:p w14:paraId="44CC083F">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239" w:type="dxa"/>
                  <w:noWrap w:val="0"/>
                  <w:vAlign w:val="center"/>
                </w:tcPr>
                <w:p w14:paraId="45E1B249">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0.2648</w:t>
                  </w:r>
                </w:p>
              </w:tc>
            </w:tr>
            <w:tr w14:paraId="6C1BF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noWrap w:val="0"/>
                  <w:vAlign w:val="center"/>
                </w:tcPr>
                <w:p w14:paraId="36894005">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去除率（%）</w:t>
                  </w:r>
                </w:p>
              </w:tc>
              <w:tc>
                <w:tcPr>
                  <w:tcW w:w="916" w:type="dxa"/>
                  <w:noWrap w:val="0"/>
                  <w:vAlign w:val="center"/>
                </w:tcPr>
                <w:p w14:paraId="2324CB7C">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80</w:t>
                  </w:r>
                </w:p>
              </w:tc>
              <w:tc>
                <w:tcPr>
                  <w:tcW w:w="900" w:type="dxa"/>
                  <w:noWrap w:val="0"/>
                  <w:vAlign w:val="center"/>
                </w:tcPr>
                <w:p w14:paraId="09372669">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90</w:t>
                  </w:r>
                </w:p>
              </w:tc>
              <w:tc>
                <w:tcPr>
                  <w:tcW w:w="780" w:type="dxa"/>
                  <w:noWrap w:val="0"/>
                  <w:vAlign w:val="center"/>
                </w:tcPr>
                <w:p w14:paraId="44299EA5">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90</w:t>
                  </w:r>
                </w:p>
              </w:tc>
              <w:tc>
                <w:tcPr>
                  <w:tcW w:w="900" w:type="dxa"/>
                  <w:noWrap w:val="0"/>
                  <w:vAlign w:val="center"/>
                </w:tcPr>
                <w:p w14:paraId="3025530B">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70</w:t>
                  </w:r>
                </w:p>
              </w:tc>
              <w:tc>
                <w:tcPr>
                  <w:tcW w:w="1065" w:type="dxa"/>
                  <w:noWrap w:val="0"/>
                  <w:vAlign w:val="center"/>
                </w:tcPr>
                <w:p w14:paraId="028BC8B0">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97</w:t>
                  </w:r>
                </w:p>
              </w:tc>
              <w:tc>
                <w:tcPr>
                  <w:tcW w:w="1200" w:type="dxa"/>
                  <w:noWrap w:val="0"/>
                  <w:vAlign w:val="center"/>
                </w:tcPr>
                <w:p w14:paraId="3D712F8C">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100</w:t>
                  </w:r>
                </w:p>
              </w:tc>
              <w:tc>
                <w:tcPr>
                  <w:tcW w:w="1239" w:type="dxa"/>
                  <w:noWrap w:val="0"/>
                  <w:vAlign w:val="center"/>
                </w:tcPr>
                <w:p w14:paraId="6C2D20BA">
                  <w:pPr>
                    <w:keepNext w:val="0"/>
                    <w:keepLines w:val="0"/>
                    <w:pageBreakBefore w:val="0"/>
                    <w:widowControl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80</w:t>
                  </w:r>
                </w:p>
              </w:tc>
            </w:tr>
            <w:tr w14:paraId="7436F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noWrap w:val="0"/>
                  <w:vAlign w:val="center"/>
                </w:tcPr>
                <w:p w14:paraId="0C1FEBF3">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出水水质（mg/L）</w:t>
                  </w:r>
                </w:p>
              </w:tc>
              <w:tc>
                <w:tcPr>
                  <w:tcW w:w="916" w:type="dxa"/>
                  <w:noWrap w:val="0"/>
                  <w:vAlign w:val="center"/>
                </w:tcPr>
                <w:p w14:paraId="535D797C">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50</w:t>
                  </w:r>
                </w:p>
              </w:tc>
              <w:tc>
                <w:tcPr>
                  <w:tcW w:w="900" w:type="dxa"/>
                  <w:noWrap w:val="0"/>
                  <w:vAlign w:val="center"/>
                </w:tcPr>
                <w:p w14:paraId="0CBF891A">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15</w:t>
                  </w:r>
                </w:p>
              </w:tc>
              <w:tc>
                <w:tcPr>
                  <w:tcW w:w="780" w:type="dxa"/>
                  <w:noWrap w:val="0"/>
                  <w:vAlign w:val="center"/>
                </w:tcPr>
                <w:p w14:paraId="60168174">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w:t>
                  </w:r>
                </w:p>
              </w:tc>
              <w:tc>
                <w:tcPr>
                  <w:tcW w:w="900" w:type="dxa"/>
                  <w:noWrap w:val="0"/>
                  <w:vAlign w:val="center"/>
                </w:tcPr>
                <w:p w14:paraId="5F1BD6E3">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12</w:t>
                  </w:r>
                </w:p>
              </w:tc>
              <w:tc>
                <w:tcPr>
                  <w:tcW w:w="1065" w:type="dxa"/>
                  <w:noWrap w:val="0"/>
                  <w:vAlign w:val="center"/>
                </w:tcPr>
                <w:p w14:paraId="4C636B92">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0.6</w:t>
                  </w:r>
                </w:p>
              </w:tc>
              <w:tc>
                <w:tcPr>
                  <w:tcW w:w="1200" w:type="dxa"/>
                  <w:noWrap w:val="0"/>
                  <w:vAlign w:val="center"/>
                </w:tcPr>
                <w:p w14:paraId="1F250969">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w:t>
                  </w:r>
                </w:p>
              </w:tc>
              <w:tc>
                <w:tcPr>
                  <w:tcW w:w="1239" w:type="dxa"/>
                  <w:noWrap w:val="0"/>
                  <w:vAlign w:val="center"/>
                </w:tcPr>
                <w:p w14:paraId="332826C8">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w:t>
                  </w:r>
                </w:p>
              </w:tc>
            </w:tr>
            <w:tr w14:paraId="29E83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noWrap w:val="0"/>
                  <w:vAlign w:val="center"/>
                </w:tcPr>
                <w:p w14:paraId="2F285ECE">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污染物排放量（t/a）</w:t>
                  </w:r>
                </w:p>
              </w:tc>
              <w:tc>
                <w:tcPr>
                  <w:tcW w:w="916" w:type="dxa"/>
                  <w:noWrap w:val="0"/>
                  <w:vAlign w:val="center"/>
                </w:tcPr>
                <w:p w14:paraId="19AB0CDD">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1.3238</w:t>
                  </w:r>
                </w:p>
              </w:tc>
              <w:tc>
                <w:tcPr>
                  <w:tcW w:w="900" w:type="dxa"/>
                  <w:noWrap w:val="0"/>
                  <w:vAlign w:val="center"/>
                </w:tcPr>
                <w:p w14:paraId="6CF7141A">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0.3971</w:t>
                  </w:r>
                </w:p>
              </w:tc>
              <w:tc>
                <w:tcPr>
                  <w:tcW w:w="780" w:type="dxa"/>
                  <w:noWrap w:val="0"/>
                  <w:vAlign w:val="center"/>
                </w:tcPr>
                <w:p w14:paraId="11B5B226">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0.2648</w:t>
                  </w:r>
                </w:p>
              </w:tc>
              <w:tc>
                <w:tcPr>
                  <w:tcW w:w="900" w:type="dxa"/>
                  <w:noWrap w:val="0"/>
                  <w:vAlign w:val="center"/>
                </w:tcPr>
                <w:p w14:paraId="162512B8">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0.3177</w:t>
                  </w:r>
                </w:p>
              </w:tc>
              <w:tc>
                <w:tcPr>
                  <w:tcW w:w="1065" w:type="dxa"/>
                  <w:noWrap w:val="0"/>
                  <w:vAlign w:val="center"/>
                </w:tcPr>
                <w:p w14:paraId="4F01516B">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0.0159</w:t>
                  </w:r>
                </w:p>
              </w:tc>
              <w:tc>
                <w:tcPr>
                  <w:tcW w:w="1200" w:type="dxa"/>
                  <w:noWrap w:val="0"/>
                  <w:vAlign w:val="center"/>
                </w:tcPr>
                <w:p w14:paraId="52CDB422">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239" w:type="dxa"/>
                  <w:noWrap w:val="0"/>
                  <w:vAlign w:val="center"/>
                </w:tcPr>
                <w:p w14:paraId="48DEFEC0">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0.053</w:t>
                  </w:r>
                </w:p>
              </w:tc>
            </w:tr>
            <w:tr w14:paraId="57C9E4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noWrap w:val="0"/>
                  <w:vAlign w:val="center"/>
                </w:tcPr>
                <w:p w14:paraId="47E7A7E5">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排放标准</w:t>
                  </w:r>
                </w:p>
              </w:tc>
              <w:tc>
                <w:tcPr>
                  <w:tcW w:w="916" w:type="dxa"/>
                  <w:noWrap w:val="0"/>
                  <w:vAlign w:val="center"/>
                </w:tcPr>
                <w:p w14:paraId="1A3AB5BE">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60</w:t>
                  </w:r>
                </w:p>
              </w:tc>
              <w:tc>
                <w:tcPr>
                  <w:tcW w:w="900" w:type="dxa"/>
                  <w:noWrap w:val="0"/>
                  <w:vAlign w:val="center"/>
                </w:tcPr>
                <w:p w14:paraId="3427E17D">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w:t>
                  </w:r>
                </w:p>
              </w:tc>
              <w:tc>
                <w:tcPr>
                  <w:tcW w:w="780" w:type="dxa"/>
                  <w:noWrap w:val="0"/>
                  <w:vAlign w:val="center"/>
                </w:tcPr>
                <w:p w14:paraId="32496624">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w:t>
                  </w:r>
                </w:p>
              </w:tc>
              <w:tc>
                <w:tcPr>
                  <w:tcW w:w="900" w:type="dxa"/>
                  <w:noWrap w:val="0"/>
                  <w:vAlign w:val="center"/>
                </w:tcPr>
                <w:p w14:paraId="58DA93AB">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15</w:t>
                  </w:r>
                </w:p>
              </w:tc>
              <w:tc>
                <w:tcPr>
                  <w:tcW w:w="1065" w:type="dxa"/>
                  <w:noWrap w:val="0"/>
                  <w:vAlign w:val="center"/>
                </w:tcPr>
                <w:p w14:paraId="024D0258">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w:t>
                  </w:r>
                </w:p>
              </w:tc>
              <w:tc>
                <w:tcPr>
                  <w:tcW w:w="1200" w:type="dxa"/>
                  <w:noWrap w:val="0"/>
                  <w:vAlign w:val="center"/>
                </w:tcPr>
                <w:p w14:paraId="6BD09E67">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100</w:t>
                  </w:r>
                </w:p>
              </w:tc>
              <w:tc>
                <w:tcPr>
                  <w:tcW w:w="1239" w:type="dxa"/>
                  <w:noWrap w:val="0"/>
                  <w:vAlign w:val="center"/>
                </w:tcPr>
                <w:p w14:paraId="75E483DE">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w:t>
                  </w:r>
                </w:p>
              </w:tc>
            </w:tr>
            <w:tr w14:paraId="2C46D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noWrap w:val="0"/>
                  <w:vAlign w:val="center"/>
                </w:tcPr>
                <w:p w14:paraId="1F784D3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渑池县污水处理厂进水水质指标</w:t>
                  </w:r>
                </w:p>
              </w:tc>
              <w:tc>
                <w:tcPr>
                  <w:tcW w:w="916" w:type="dxa"/>
                  <w:noWrap w:val="0"/>
                  <w:vAlign w:val="center"/>
                </w:tcPr>
                <w:p w14:paraId="02D83FCA">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w:t>
                  </w: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w:t>
                  </w: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w:t>
                  </w:r>
                </w:p>
              </w:tc>
              <w:tc>
                <w:tcPr>
                  <w:tcW w:w="900" w:type="dxa"/>
                  <w:noWrap w:val="0"/>
                  <w:vAlign w:val="center"/>
                </w:tcPr>
                <w:p w14:paraId="05351D63">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w:t>
                  </w: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w:t>
                  </w:r>
                </w:p>
              </w:tc>
              <w:tc>
                <w:tcPr>
                  <w:tcW w:w="780" w:type="dxa"/>
                  <w:noWrap w:val="0"/>
                  <w:vAlign w:val="center"/>
                </w:tcPr>
                <w:p w14:paraId="1894C73A">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00</w:t>
                  </w:r>
                </w:p>
              </w:tc>
              <w:tc>
                <w:tcPr>
                  <w:tcW w:w="900" w:type="dxa"/>
                  <w:noWrap w:val="0"/>
                  <w:vAlign w:val="center"/>
                </w:tcPr>
                <w:p w14:paraId="2408AE00">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30</w:t>
                  </w:r>
                </w:p>
              </w:tc>
              <w:tc>
                <w:tcPr>
                  <w:tcW w:w="1065" w:type="dxa"/>
                  <w:noWrap w:val="0"/>
                  <w:vAlign w:val="center"/>
                </w:tcPr>
                <w:p w14:paraId="5D9CE2D1">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200" w:type="dxa"/>
                  <w:noWrap w:val="0"/>
                  <w:vAlign w:val="center"/>
                </w:tcPr>
                <w:p w14:paraId="11C71BE8">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239" w:type="dxa"/>
                  <w:noWrap w:val="0"/>
                  <w:vAlign w:val="center"/>
                </w:tcPr>
                <w:p w14:paraId="18C688BE">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r>
          </w:tbl>
          <w:p w14:paraId="1FF54E8C">
            <w:pPr>
              <w:keepNext w:val="0"/>
              <w:keepLines w:val="0"/>
              <w:pageBreakBefore w:val="0"/>
              <w:widowControl w:val="0"/>
              <w:kinsoku/>
              <w:wordWrap/>
              <w:overflowPunct/>
              <w:topLinePunct w:val="0"/>
              <w:autoSpaceDE/>
              <w:autoSpaceDN/>
              <w:bidi w:val="0"/>
              <w:adjustRightInd/>
              <w:snapToGrid/>
              <w:spacing w:line="520" w:lineRule="exact"/>
              <w:ind w:firstLine="482"/>
              <w:jc w:val="both"/>
              <w:textAlignment w:val="auto"/>
              <w:outlineLvl w:val="2"/>
              <w:rPr>
                <w:rFonts w:hint="default" w:ascii="Times New Roman" w:hAnsi="Times New Roman" w:cs="Times New Roman"/>
                <w:bCs/>
                <w:color w:val="000000" w:themeColor="text1"/>
                <w:sz w:val="24"/>
                <w:highlight w:val="none"/>
                <w14:textFill>
                  <w14:solidFill>
                    <w14:schemeClr w14:val="tx1"/>
                  </w14:solidFill>
                </w14:textFill>
              </w:rPr>
            </w:pP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根据上表可知，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在建工程①废水经配套污水处理站处理后</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满足《医疗机构水污染物排放标准》（GB18466-2005）表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标准要求，同时满足渑池县第二污水处理厂进水指标要求</w:t>
            </w:r>
            <w:r>
              <w:rPr>
                <w:rFonts w:hint="default" w:ascii="Times New Roman" w:hAnsi="Times New Roman" w:cs="Times New Roman"/>
                <w:bCs/>
                <w:color w:val="000000" w:themeColor="text1"/>
                <w:sz w:val="24"/>
                <w:szCs w:val="24"/>
                <w:highlight w:val="none"/>
                <w14:textFill>
                  <w14:solidFill>
                    <w14:schemeClr w14:val="tx1"/>
                  </w14:solidFill>
                </w14:textFill>
              </w:rPr>
              <w:t>，然后进入</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渑池县第二</w:t>
            </w:r>
            <w:r>
              <w:rPr>
                <w:rFonts w:hint="default" w:ascii="Times New Roman" w:hAnsi="Times New Roman" w:cs="Times New Roman"/>
                <w:bCs/>
                <w:color w:val="000000" w:themeColor="text1"/>
                <w:sz w:val="24"/>
                <w:szCs w:val="24"/>
                <w:highlight w:val="none"/>
                <w14:textFill>
                  <w14:solidFill>
                    <w14:schemeClr w14:val="tx1"/>
                  </w14:solidFill>
                </w14:textFill>
              </w:rPr>
              <w:t>污水处理厂进一步处理，最终排入涧河</w:t>
            </w:r>
            <w:r>
              <w:rPr>
                <w:rFonts w:hint="default" w:ascii="Times New Roman" w:hAnsi="Times New Roman" w:cs="Times New Roman"/>
                <w:bCs/>
                <w:color w:val="000000" w:themeColor="text1"/>
                <w:sz w:val="24"/>
                <w:highlight w:val="none"/>
                <w14:textFill>
                  <w14:solidFill>
                    <w14:schemeClr w14:val="tx1"/>
                  </w14:solidFill>
                </w14:textFill>
              </w:rPr>
              <w:t>。</w:t>
            </w:r>
          </w:p>
          <w:p w14:paraId="397DD8E1">
            <w:pPr>
              <w:pStyle w:val="20"/>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（3）噪声</w:t>
            </w:r>
          </w:p>
          <w:p w14:paraId="2CC629D8">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bCs/>
                <w:color w:val="000000" w:themeColor="text1"/>
                <w:sz w:val="24"/>
                <w:szCs w:val="24"/>
                <w:highlight w:val="none"/>
                <w14:textFill>
                  <w14:solidFill>
                    <w14:schemeClr w14:val="tx1"/>
                  </w14:solidFill>
                </w14:textFill>
              </w:rPr>
            </w:pP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在建</w:t>
            </w:r>
            <w:r>
              <w:rPr>
                <w:rFonts w:hint="default" w:ascii="Times New Roman" w:hAnsi="Times New Roman" w:cs="Times New Roman"/>
                <w:bCs/>
                <w:color w:val="000000" w:themeColor="text1"/>
                <w:sz w:val="24"/>
                <w:szCs w:val="24"/>
                <w:highlight w:val="none"/>
                <w14:textFill>
                  <w14:solidFill>
                    <w14:schemeClr w14:val="tx1"/>
                  </w14:solidFill>
                </w14:textFill>
              </w:rPr>
              <w:t>工程</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①</w:t>
            </w:r>
            <w:r>
              <w:rPr>
                <w:rFonts w:hint="default" w:ascii="Times New Roman" w:hAnsi="Times New Roman" w:cs="Times New Roman"/>
                <w:bCs/>
                <w:color w:val="000000" w:themeColor="text1"/>
                <w:sz w:val="24"/>
                <w:szCs w:val="24"/>
                <w:highlight w:val="none"/>
                <w14:textFill>
                  <w14:solidFill>
                    <w14:schemeClr w14:val="tx1"/>
                  </w14:solidFill>
                </w14:textFill>
              </w:rPr>
              <w:t>噪声主要</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为</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各种</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空调机组</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、风机、泵</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等</w:t>
            </w:r>
            <w:r>
              <w:rPr>
                <w:rFonts w:hint="default" w:ascii="Times New Roman" w:hAnsi="Times New Roman" w:cs="Times New Roman"/>
                <w:bCs/>
                <w:color w:val="000000" w:themeColor="text1"/>
                <w:sz w:val="24"/>
                <w:szCs w:val="24"/>
                <w:highlight w:val="none"/>
                <w14:textFill>
                  <w14:solidFill>
                    <w14:schemeClr w14:val="tx1"/>
                  </w14:solidFill>
                </w14:textFill>
              </w:rPr>
              <w:t>产生的噪声</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，空调机组、</w:t>
            </w:r>
            <w:r>
              <w:rPr>
                <w:rFonts w:hint="default" w:ascii="Times New Roman" w:hAnsi="Times New Roman" w:cs="Times New Roman"/>
                <w:color w:val="000000" w:themeColor="text1"/>
                <w:sz w:val="24"/>
                <w:szCs w:val="24"/>
                <w:highlight w:val="none"/>
                <w14:textFill>
                  <w14:solidFill>
                    <w14:schemeClr w14:val="tx1"/>
                  </w14:solidFill>
                </w14:textFill>
              </w:rPr>
              <w:t>送排风系统、水泵等设备均置于地下室</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对所有有振动的</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设备均设减震</w:t>
            </w:r>
            <w:r>
              <w:rPr>
                <w:rFonts w:hint="default" w:ascii="Times New Roman" w:hAnsi="Times New Roman" w:cs="Times New Roman"/>
                <w:color w:val="000000" w:themeColor="text1"/>
                <w:sz w:val="24"/>
                <w:szCs w:val="24"/>
                <w:highlight w:val="none"/>
                <w14:textFill>
                  <w14:solidFill>
                    <w14:schemeClr w14:val="tx1"/>
                  </w14:solidFill>
                </w14:textFill>
              </w:rPr>
              <w:t>基础，接管采用柔性减振接头，对所有送、排风系统作</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消声</w:t>
            </w:r>
            <w:r>
              <w:rPr>
                <w:rFonts w:hint="default" w:ascii="Times New Roman" w:hAnsi="Times New Roman" w:cs="Times New Roman"/>
                <w:color w:val="000000" w:themeColor="text1"/>
                <w:sz w:val="24"/>
                <w:szCs w:val="24"/>
                <w:highlight w:val="none"/>
                <w14:textFill>
                  <w14:solidFill>
                    <w14:schemeClr w14:val="tx1"/>
                  </w14:solidFill>
                </w14:textFill>
              </w:rPr>
              <w:t>处理。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采取以上措施后，</w:t>
            </w:r>
            <w:r>
              <w:rPr>
                <w:rFonts w:hint="default" w:ascii="Times New Roman" w:hAnsi="Times New Roman" w:cs="Times New Roman"/>
                <w:bCs/>
                <w:color w:val="000000" w:themeColor="text1"/>
                <w:kern w:val="28"/>
                <w:sz w:val="24"/>
                <w:szCs w:val="24"/>
                <w:highlight w:val="none"/>
                <w14:textFill>
                  <w14:solidFill>
                    <w14:schemeClr w14:val="tx1"/>
                  </w14:solidFill>
                </w14:textFill>
              </w:rPr>
              <w:t>厂界噪声</w:t>
            </w:r>
            <w:r>
              <w:rPr>
                <w:rFonts w:hint="default" w:ascii="Times New Roman" w:hAnsi="Times New Roman" w:cs="Times New Roman"/>
                <w:bCs/>
                <w:color w:val="000000" w:themeColor="text1"/>
                <w:sz w:val="24"/>
                <w:szCs w:val="24"/>
                <w:highlight w:val="none"/>
                <w14:textFill>
                  <w14:solidFill>
                    <w14:schemeClr w14:val="tx1"/>
                  </w14:solidFill>
                </w14:textFill>
              </w:rPr>
              <w:t>满足《工业企业厂界环境噪声排放标准》（GB12348-2008）2类标准要求。</w:t>
            </w:r>
          </w:p>
          <w:p w14:paraId="44BF8937">
            <w:pPr>
              <w:pStyle w:val="20"/>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（4）固废处置</w:t>
            </w:r>
          </w:p>
          <w:p w14:paraId="10045925">
            <w:pPr>
              <w:keepNext w:val="0"/>
              <w:keepLines w:val="0"/>
              <w:pageBreakBefore w:val="0"/>
              <w:widowControl w:val="0"/>
              <w:kinsoku/>
              <w:wordWrap/>
              <w:overflowPunct/>
              <w:topLinePunct w:val="0"/>
              <w:autoSpaceDE/>
              <w:autoSpaceDN/>
              <w:bidi w:val="0"/>
              <w:adjustRightInd/>
              <w:snapToGrid/>
              <w:spacing w:line="520" w:lineRule="exact"/>
              <w:ind w:firstLine="477" w:firstLineChars="199"/>
              <w:jc w:val="both"/>
              <w:textAlignment w:val="auto"/>
              <w:rPr>
                <w:rFonts w:hint="default"/>
                <w:color w:val="000000" w:themeColor="text1"/>
                <w14:textFill>
                  <w14:solidFill>
                    <w14:schemeClr w14:val="tx1"/>
                  </w14:solidFill>
                </w14:textFill>
              </w:rPr>
            </w:pPr>
            <w:r>
              <w:rPr>
                <w:rFonts w:hint="eastAsia" w:ascii="Times New Roman" w:hAnsi="Times New Roman" w:cs="Times New Roman"/>
                <w:bCs/>
                <w:color w:val="000000" w:themeColor="text1"/>
                <w:sz w:val="24"/>
                <w:highlight w:val="none"/>
                <w:lang w:eastAsia="zh-CN"/>
                <w14:textFill>
                  <w14:solidFill>
                    <w14:schemeClr w14:val="tx1"/>
                  </w14:solidFill>
                </w14:textFill>
              </w:rPr>
              <w:t>在建</w:t>
            </w:r>
            <w:r>
              <w:rPr>
                <w:rFonts w:hint="default" w:ascii="Times New Roman" w:hAnsi="Times New Roman" w:cs="Times New Roman"/>
                <w:bCs/>
                <w:color w:val="000000" w:themeColor="text1"/>
                <w:sz w:val="24"/>
                <w:highlight w:val="none"/>
                <w14:textFill>
                  <w14:solidFill>
                    <w14:schemeClr w14:val="tx1"/>
                  </w14:solidFill>
                </w14:textFill>
              </w:rPr>
              <w:t>工程</w:t>
            </w:r>
            <w:r>
              <w:rPr>
                <w:rFonts w:hint="eastAsia" w:ascii="Times New Roman" w:hAnsi="Times New Roman" w:cs="Times New Roman"/>
                <w:bCs/>
                <w:color w:val="000000" w:themeColor="text1"/>
                <w:sz w:val="24"/>
                <w:highlight w:val="none"/>
                <w:lang w:val="en-US" w:eastAsia="zh-CN"/>
                <w14:textFill>
                  <w14:solidFill>
                    <w14:schemeClr w14:val="tx1"/>
                  </w14:solidFill>
                </w14:textFill>
              </w:rPr>
              <w:t>①</w:t>
            </w:r>
            <w:r>
              <w:rPr>
                <w:rFonts w:hint="default" w:ascii="Times New Roman" w:hAnsi="Times New Roman" w:cs="Times New Roman"/>
                <w:bCs/>
                <w:color w:val="000000" w:themeColor="text1"/>
                <w:sz w:val="24"/>
                <w:highlight w:val="none"/>
                <w14:textFill>
                  <w14:solidFill>
                    <w14:schemeClr w14:val="tx1"/>
                  </w14:solidFill>
                </w14:textFill>
              </w:rPr>
              <w:t>医疗废物、废活性炭在危废暂存间内分类收集暂存后定期交三门峡天蓝环保科技有限公司安全处置；污水处理站脱水后的泥饼袋装密封后在污泥暂存间内暂存，定期交由三门峡天蓝环保科技有限公司安全处置；</w:t>
            </w:r>
            <w:r>
              <w:rPr>
                <w:rFonts w:hint="default" w:ascii="Times New Roman" w:hAnsi="Times New Roman" w:cs="Times New Roman"/>
                <w:bCs/>
                <w:color w:val="000000" w:themeColor="text1"/>
                <w:sz w:val="24"/>
                <w:highlight w:val="none"/>
                <w:lang w:val="en-US" w:eastAsia="zh-CN"/>
                <w14:textFill>
                  <w14:solidFill>
                    <w14:schemeClr w14:val="tx1"/>
                  </w14:solidFill>
                </w14:textFill>
              </w:rPr>
              <w:t>隔油池油渣经收集后由有资质单位处置；中药药渣和</w:t>
            </w:r>
            <w:r>
              <w:rPr>
                <w:rFonts w:hint="default" w:ascii="Times New Roman" w:hAnsi="Times New Roman" w:cs="Times New Roman"/>
                <w:bCs/>
                <w:color w:val="000000" w:themeColor="text1"/>
                <w:sz w:val="24"/>
                <w:highlight w:val="none"/>
                <w14:textFill>
                  <w14:solidFill>
                    <w14:schemeClr w14:val="tx1"/>
                  </w14:solidFill>
                </w14:textFill>
              </w:rPr>
              <w:t>生活垃圾</w:t>
            </w:r>
            <w:r>
              <w:rPr>
                <w:rFonts w:hint="default" w:ascii="Times New Roman" w:hAnsi="Times New Roman" w:cs="Times New Roman"/>
                <w:bCs/>
                <w:color w:val="000000" w:themeColor="text1"/>
                <w:sz w:val="24"/>
                <w:highlight w:val="none"/>
                <w:lang w:val="en-US" w:eastAsia="zh-CN"/>
                <w14:textFill>
                  <w14:solidFill>
                    <w14:schemeClr w14:val="tx1"/>
                  </w14:solidFill>
                </w14:textFill>
              </w:rPr>
              <w:t>经垃圾暂存站</w:t>
            </w:r>
            <w:r>
              <w:rPr>
                <w:rFonts w:hint="default" w:ascii="Times New Roman" w:hAnsi="Times New Roman" w:cs="Times New Roman"/>
                <w:bCs/>
                <w:color w:val="000000" w:themeColor="text1"/>
                <w:sz w:val="24"/>
                <w:highlight w:val="none"/>
                <w14:textFill>
                  <w14:solidFill>
                    <w14:schemeClr w14:val="tx1"/>
                  </w14:solidFill>
                </w14:textFill>
              </w:rPr>
              <w:t>收集后</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由环卫部门定期清运。</w:t>
            </w:r>
          </w:p>
          <w:p w14:paraId="6336AB3D">
            <w:pPr>
              <w:pStyle w:val="194"/>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jc w:val="both"/>
              <w:textAlignment w:val="baseline"/>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t>3、在建</w:t>
            </w:r>
            <w:r>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t>工程</w:t>
            </w:r>
            <w:r>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t>②概况</w:t>
            </w:r>
          </w:p>
          <w:p w14:paraId="6AFBA227">
            <w:pPr>
              <w:pStyle w:val="194"/>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jc w:val="both"/>
              <w:textAlignment w:val="baseline"/>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zCs w:val="24"/>
                <w:highlight w:val="none"/>
                <w:lang w:val="en-US" w:eastAsia="zh-CN"/>
                <w14:textFill>
                  <w14:solidFill>
                    <w14:schemeClr w14:val="tx1"/>
                  </w14:solidFill>
                </w14:textFill>
              </w:rPr>
              <w:t>3.1工作流程及产污环节</w:t>
            </w:r>
          </w:p>
          <w:p w14:paraId="79995825">
            <w:pPr>
              <w:widowControl/>
              <w:spacing w:line="408" w:lineRule="auto"/>
              <w:jc w:val="center"/>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黑体" w:cs="Times New Roman"/>
                <w:bCs/>
                <w:color w:val="000000" w:themeColor="text1"/>
                <w:kern w:val="0"/>
                <w:sz w:val="24"/>
                <w:szCs w:val="24"/>
                <w:highlight w:val="none"/>
                <w:u w:val="none"/>
                <w:lang w:val="en-US" w:eastAsia="zh-CN" w:bidi="ar-SA"/>
                <w14:textFill>
                  <w14:solidFill>
                    <w14:schemeClr w14:val="tx1"/>
                  </w14:solidFill>
                </w14:textFill>
              </w:rPr>
              <w:object>
                <v:shape id="_x0000_i1032" o:spt="75" alt="" type="#_x0000_t75" style="height:268.4pt;width:425.05pt;" o:ole="t" filled="f" o:preferrelative="t" stroked="f" coordsize="21600,21600">
                  <v:path/>
                  <v:fill on="f" focussize="0,0"/>
                  <v:stroke on="f"/>
                  <v:imagedata r:id="rId36" o:title=""/>
                  <o:lock v:ext="edit" aspectratio="f"/>
                  <w10:wrap type="none"/>
                  <w10:anchorlock/>
                </v:shape>
                <o:OLEObject Type="Embed" ProgID="Visio.Drawing.11" ShapeID="_x0000_i1032" DrawAspect="Content" ObjectID="_1468075732" r:id="rId35">
                  <o:LockedField>false</o:LockedField>
                </o:OLEObject>
              </w:object>
            </w:r>
          </w:p>
          <w:p w14:paraId="313A4A9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24"/>
                <w:szCs w:val="24"/>
                <w:highlight w:val="none"/>
                <w14:textFill>
                  <w14:solidFill>
                    <w14:schemeClr w14:val="tx1"/>
                  </w14:solidFill>
                </w14:textFill>
              </w:rPr>
            </w:pPr>
            <w:r>
              <w:rPr>
                <w:rFonts w:hint="default" w:ascii="Times New Roman" w:hAnsi="Times New Roman" w:eastAsia="黑体" w:cs="Times New Roman"/>
                <w:color w:val="000000" w:themeColor="text1"/>
                <w:sz w:val="24"/>
                <w:szCs w:val="24"/>
                <w:highlight w:val="none"/>
                <w14:textFill>
                  <w14:solidFill>
                    <w14:schemeClr w14:val="tx1"/>
                  </w14:solidFill>
                </w14:textFill>
              </w:rPr>
              <w:t>图</w:t>
            </w:r>
            <w:r>
              <w:rPr>
                <w:rFonts w:hint="eastAsia" w:ascii="Times New Roman" w:hAnsi="Times New Roman" w:eastAsia="黑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黑体" w:cs="Times New Roman"/>
                <w:color w:val="000000" w:themeColor="text1"/>
                <w:sz w:val="24"/>
                <w:szCs w:val="24"/>
                <w:highlight w:val="none"/>
                <w14:textFill>
                  <w14:solidFill>
                    <w14:schemeClr w14:val="tx1"/>
                  </w14:solidFill>
                </w14:textFill>
              </w:rPr>
              <w:t xml:space="preserve">   </w:t>
            </w:r>
            <w:r>
              <w:rPr>
                <w:rFonts w:hint="eastAsia" w:ascii="Times New Roman" w:hAnsi="Times New Roman" w:eastAsia="黑体" w:cs="Times New Roman"/>
                <w:bCs/>
                <w:color w:val="000000" w:themeColor="text1"/>
                <w:kern w:val="0"/>
                <w:sz w:val="24"/>
                <w:szCs w:val="24"/>
                <w:highlight w:val="none"/>
                <w:u w:val="none"/>
                <w:lang w:val="en-US" w:eastAsia="zh-CN" w:bidi="ar-SA"/>
                <w14:textFill>
                  <w14:solidFill>
                    <w14:schemeClr w14:val="tx1"/>
                  </w14:solidFill>
                </w14:textFill>
              </w:rPr>
              <w:t>医院工作</w:t>
            </w:r>
            <w:r>
              <w:rPr>
                <w:rFonts w:hint="default" w:ascii="Times New Roman" w:hAnsi="Times New Roman" w:eastAsia="黑体" w:cs="Times New Roman"/>
                <w:bCs/>
                <w:color w:val="000000" w:themeColor="text1"/>
                <w:kern w:val="0"/>
                <w:sz w:val="24"/>
                <w:szCs w:val="24"/>
                <w:highlight w:val="none"/>
                <w:u w:val="none"/>
                <w:lang w:val="en-US" w:eastAsia="zh-CN" w:bidi="ar-SA"/>
                <w14:textFill>
                  <w14:solidFill>
                    <w14:schemeClr w14:val="tx1"/>
                  </w14:solidFill>
                </w14:textFill>
              </w:rPr>
              <w:t>流程及产污环节</w:t>
            </w:r>
            <w:r>
              <w:rPr>
                <w:rFonts w:hint="eastAsia" w:ascii="Times New Roman" w:hAnsi="Times New Roman" w:eastAsia="黑体" w:cs="Times New Roman"/>
                <w:bCs/>
                <w:color w:val="000000" w:themeColor="text1"/>
                <w:kern w:val="0"/>
                <w:sz w:val="24"/>
                <w:szCs w:val="24"/>
                <w:highlight w:val="none"/>
                <w:u w:val="none"/>
                <w:lang w:val="en-US" w:eastAsia="zh-CN" w:bidi="ar-SA"/>
                <w14:textFill>
                  <w14:solidFill>
                    <w14:schemeClr w14:val="tx1"/>
                  </w14:solidFill>
                </w14:textFill>
              </w:rPr>
              <w:t>示意</w:t>
            </w:r>
            <w:r>
              <w:rPr>
                <w:rFonts w:hint="default" w:ascii="Times New Roman" w:hAnsi="Times New Roman" w:eastAsia="黑体" w:cs="Times New Roman"/>
                <w:bCs/>
                <w:color w:val="000000" w:themeColor="text1"/>
                <w:kern w:val="0"/>
                <w:sz w:val="24"/>
                <w:szCs w:val="24"/>
                <w:highlight w:val="none"/>
                <w:u w:val="none"/>
                <w:lang w:val="en-US" w:eastAsia="zh-CN" w:bidi="ar-SA"/>
                <w14:textFill>
                  <w14:solidFill>
                    <w14:schemeClr w14:val="tx1"/>
                  </w14:solidFill>
                </w14:textFill>
              </w:rPr>
              <w:t>图</w:t>
            </w:r>
          </w:p>
          <w:p w14:paraId="0C98558E">
            <w:pPr>
              <w:pStyle w:val="194"/>
              <w:keepNext w:val="0"/>
              <w:keepLines w:val="0"/>
              <w:pageBreakBefore w:val="0"/>
              <w:widowControl w:val="0"/>
              <w:kinsoku/>
              <w:wordWrap/>
              <w:overflowPunct/>
              <w:topLinePunct w:val="0"/>
              <w:autoSpaceDE/>
              <w:autoSpaceDN/>
              <w:bidi w:val="0"/>
              <w:adjustRightInd w:val="0"/>
              <w:snapToGrid w:val="0"/>
              <w:spacing w:after="0" w:line="520" w:lineRule="exact"/>
              <w:ind w:firstLine="482" w:firstLineChars="200"/>
              <w:jc w:val="both"/>
              <w:textAlignment w:val="baseline"/>
              <w:outlineLvl w:val="9"/>
              <w:rPr>
                <w:rFonts w:hint="eastAsia" w:ascii="Times New Roman" w:hAnsi="Times New Roman" w:cs="Times New Roman"/>
                <w:b/>
                <w:bCs w:val="0"/>
                <w:color w:val="000000" w:themeColor="text1"/>
                <w:szCs w:val="24"/>
                <w:highlight w:val="none"/>
                <w:lang w:val="en-US" w:eastAsia="zh-CN"/>
                <w14:textFill>
                  <w14:solidFill>
                    <w14:schemeClr w14:val="tx1"/>
                  </w14:solidFill>
                </w14:textFill>
              </w:rPr>
            </w:pPr>
            <w:r>
              <w:rPr>
                <w:rFonts w:hint="eastAsia" w:ascii="Times New Roman" w:hAnsi="Times New Roman" w:cs="Times New Roman"/>
                <w:b/>
                <w:bCs w:val="0"/>
                <w:color w:val="000000" w:themeColor="text1"/>
                <w:szCs w:val="24"/>
                <w:highlight w:val="none"/>
                <w:lang w:val="en-US" w:eastAsia="zh-CN"/>
                <w14:textFill>
                  <w14:solidFill>
                    <w14:schemeClr w14:val="tx1"/>
                  </w14:solidFill>
                </w14:textFill>
              </w:rPr>
              <w:t>工作流程简述：</w:t>
            </w:r>
          </w:p>
          <w:p w14:paraId="09ADD6A7">
            <w:pPr>
              <w:pStyle w:val="194"/>
              <w:keepNext w:val="0"/>
              <w:keepLines w:val="0"/>
              <w:pageBreakBefore w:val="0"/>
              <w:widowControl w:val="0"/>
              <w:kinsoku/>
              <w:wordWrap/>
              <w:overflowPunct/>
              <w:topLinePunct w:val="0"/>
              <w:autoSpaceDE/>
              <w:autoSpaceDN/>
              <w:bidi w:val="0"/>
              <w:adjustRightInd w:val="0"/>
              <w:snapToGrid w:val="0"/>
              <w:spacing w:after="0" w:line="520" w:lineRule="exact"/>
              <w:ind w:firstLine="480" w:firstLineChars="200"/>
              <w:jc w:val="both"/>
              <w:textAlignment w:val="baseline"/>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收治对象主要为老年慢性病患者和具有自理、半自理能力的老人以及失能老人，无传染性疾病患者。本项目依托东侧渑池县中医院的医疗设备和医护资源，患者入院前首先在中医院或其它综合医院进行门诊诊察，入院后只开展康复、理疗、保健等治疗科目，并为部分入院患者输液。住院期间若患者需要进行进一步理化检验或治疗的，则转至中医院或其它综合医院。</w:t>
            </w:r>
          </w:p>
          <w:p w14:paraId="53BF451C">
            <w:pPr>
              <w:pStyle w:val="194"/>
              <w:keepNext w:val="0"/>
              <w:keepLines w:val="0"/>
              <w:pageBreakBefore w:val="0"/>
              <w:widowControl w:val="0"/>
              <w:kinsoku/>
              <w:wordWrap/>
              <w:overflowPunct/>
              <w:topLinePunct w:val="0"/>
              <w:autoSpaceDE/>
              <w:autoSpaceDN/>
              <w:bidi w:val="0"/>
              <w:adjustRightInd w:val="0"/>
              <w:snapToGrid w:val="0"/>
              <w:spacing w:after="0" w:line="520" w:lineRule="exact"/>
              <w:jc w:val="both"/>
              <w:textAlignment w:val="baseline"/>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t>3.2在建</w:t>
            </w:r>
            <w:r>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t>工程</w:t>
            </w:r>
            <w:r>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t>②</w:t>
            </w:r>
            <w:r>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t>污染物排放情况</w:t>
            </w:r>
          </w:p>
          <w:p w14:paraId="74C37DA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由于项目正在建设中，本次评价污染物排放数据采用环评中的估算数据，具体排放情况如下：</w:t>
            </w:r>
          </w:p>
          <w:p w14:paraId="7576D74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（1）废气</w:t>
            </w:r>
          </w:p>
          <w:p w14:paraId="4589F341">
            <w:pPr>
              <w:pStyle w:val="20"/>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在建工程②产生的</w:t>
            </w:r>
            <w:r>
              <w:rPr>
                <w:rFonts w:hint="default" w:ascii="Times New Roman" w:hAnsi="Times New Roman" w:cs="Times New Roman"/>
                <w:color w:val="000000" w:themeColor="text1"/>
                <w:sz w:val="24"/>
                <w:highlight w:val="none"/>
                <w:lang w:val="en-US" w:eastAsia="zh-CN"/>
                <w14:textFill>
                  <w14:solidFill>
                    <w14:schemeClr w14:val="tx1"/>
                  </w14:solidFill>
                </w14:textFill>
              </w:rPr>
              <w:t>废气</w:t>
            </w:r>
            <w:r>
              <w:rPr>
                <w:rFonts w:hint="default" w:ascii="Times New Roman" w:hAnsi="Times New Roman" w:cs="Times New Roman"/>
                <w:bCs/>
                <w:iCs/>
                <w:color w:val="000000" w:themeColor="text1"/>
                <w:sz w:val="24"/>
                <w:highlight w:val="none"/>
                <w:lang w:eastAsia="zh-CN"/>
                <w14:textFill>
                  <w14:solidFill>
                    <w14:schemeClr w14:val="tx1"/>
                  </w14:solidFill>
                </w14:textFill>
              </w:rPr>
              <w:t>主要包括</w:t>
            </w:r>
            <w:r>
              <w:rPr>
                <w:rFonts w:hint="eastAsia" w:ascii="Times New Roman" w:hAnsi="Times New Roman" w:cs="Times New Roman"/>
                <w:color w:val="000000" w:themeColor="text1"/>
                <w:sz w:val="24"/>
                <w:szCs w:val="24"/>
                <w:highlight w:val="none"/>
                <w:lang w:eastAsia="zh-CN"/>
                <w14:textFill>
                  <w14:solidFill>
                    <w14:schemeClr w14:val="tx1"/>
                  </w14:solidFill>
                </w14:textFill>
              </w:rPr>
              <w:t>污水处理站恶臭、食堂油烟、煎药废气以及汽车尾气</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。其中污水处理站采用地埋式设计，地面上仅设置设备操作间，各污水处理构筑物均加盖板密闭并埋于地下，盖板上预留进、出气口，使每格池子的臭气能相通，并设置总排气管</w:t>
            </w:r>
            <w:r>
              <w:rPr>
                <w:rFonts w:hint="eastAsia" w:ascii="Times New Roman" w:hAnsi="Times New Roman" w:cs="Times New Roman"/>
                <w:color w:val="000000" w:themeColor="text1"/>
                <w:sz w:val="24"/>
                <w:highlight w:val="none"/>
                <w:lang w:val="en-US" w:eastAsia="zh-CN"/>
                <w14:textFill>
                  <w14:solidFill>
                    <w14:schemeClr w14:val="tx1"/>
                  </w14:solidFill>
                </w14:textFill>
              </w:rPr>
              <w:t>，恶臭气体收集后采取活性炭吸附处理后引至病楼房顶排放（建筑高度50m，DA001）；康养楼1#食堂油烟经1套静电油烟净化设备处理后引至楼顶排放</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14:textFill>
                  <w14:solidFill>
                    <w14:schemeClr w14:val="tx1"/>
                  </w14:solidFill>
                </w14:textFill>
              </w:rPr>
              <w:t>建筑高度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46.4m，DA002</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；康养楼2#食堂油烟经1套静电油烟净化设备处理后引至楼顶排放（</w:t>
            </w:r>
            <w:r>
              <w:rPr>
                <w:rFonts w:hint="eastAsia" w:ascii="Times New Roman" w:hAnsi="Times New Roman" w:cs="Times New Roman"/>
                <w:color w:val="000000" w:themeColor="text1"/>
                <w:sz w:val="24"/>
                <w:szCs w:val="24"/>
                <w:highlight w:val="none"/>
                <w:lang w:eastAsia="zh-CN"/>
                <w14:textFill>
                  <w14:solidFill>
                    <w14:schemeClr w14:val="tx1"/>
                  </w14:solidFill>
                </w14:textFill>
              </w:rPr>
              <w:t>建筑高度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46.4m</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DA003）；康养楼3#食堂油烟经1套静电油烟净化设备处理后引至楼顶排放（</w:t>
            </w:r>
            <w:r>
              <w:rPr>
                <w:rFonts w:hint="eastAsia" w:ascii="Times New Roman" w:hAnsi="Times New Roman" w:cs="Times New Roman"/>
                <w:color w:val="000000" w:themeColor="text1"/>
                <w:sz w:val="24"/>
                <w:szCs w:val="24"/>
                <w:highlight w:val="none"/>
                <w:lang w:eastAsia="zh-CN"/>
                <w14:textFill>
                  <w14:solidFill>
                    <w14:schemeClr w14:val="tx1"/>
                  </w14:solidFill>
                </w14:textFill>
              </w:rPr>
              <w:t>建筑高度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62.4m</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DA004）；</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天然气燃烧废气、煎药废气无组织排放；</w:t>
            </w: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汽车尾气通过通风系统</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无组织</w:t>
            </w: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排放。</w:t>
            </w:r>
          </w:p>
          <w:p w14:paraId="56BCAD08">
            <w:pPr>
              <w:pStyle w:val="20"/>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根据环评可知，在建工程②废气污染物排放量见下表。</w:t>
            </w:r>
          </w:p>
          <w:p w14:paraId="147264F5">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ind w:firstLine="0"/>
              <w:jc w:val="center"/>
              <w:textAlignment w:val="auto"/>
              <w:rPr>
                <w:rFonts w:hint="default" w:ascii="Times New Roman" w:hAnsi="Times New Roman" w:eastAsia="黑体" w:cs="Times New Roman"/>
                <w:bCs/>
                <w:color w:val="000000" w:themeColor="text1"/>
                <w14:textFill>
                  <w14:solidFill>
                    <w14:schemeClr w14:val="tx1"/>
                  </w14:solidFill>
                </w14:textFill>
              </w:rPr>
            </w:pPr>
            <w:r>
              <w:rPr>
                <w:rFonts w:hint="eastAsia" w:ascii="Times New Roman" w:hAnsi="Times New Roman" w:cs="Times New Roman"/>
                <w:bCs/>
                <w:color w:val="000000" w:themeColor="text1"/>
                <w:lang w:val="en-US" w:eastAsia="zh-CN"/>
                <w14:textFill>
                  <w14:solidFill>
                    <w14:schemeClr w14:val="tx1"/>
                  </w14:solidFill>
                </w14:textFill>
              </w:rPr>
              <w:t>在</w:t>
            </w:r>
            <w:r>
              <w:rPr>
                <w:rFonts w:hint="default" w:ascii="Times New Roman" w:hAnsi="Times New Roman" w:cs="Times New Roman"/>
                <w:bCs/>
                <w:color w:val="000000" w:themeColor="text1"/>
                <w:lang w:val="en-US" w:eastAsia="zh-CN"/>
                <w14:textFill>
                  <w14:solidFill>
                    <w14:schemeClr w14:val="tx1"/>
                  </w14:solidFill>
                </w14:textFill>
              </w:rPr>
              <w:t>建工程②</w:t>
            </w:r>
            <w:r>
              <w:rPr>
                <w:rFonts w:hint="eastAsia" w:ascii="Times New Roman" w:hAnsi="Times New Roman" w:cs="Times New Roman"/>
                <w:bCs/>
                <w:color w:val="000000" w:themeColor="text1"/>
                <w:lang w:val="en-US" w:eastAsia="zh-CN"/>
                <w14:textFill>
                  <w14:solidFill>
                    <w14:schemeClr w14:val="tx1"/>
                  </w14:solidFill>
                </w14:textFill>
              </w:rPr>
              <w:t>废气</w:t>
            </w:r>
            <w:r>
              <w:rPr>
                <w:rFonts w:hint="eastAsia" w:ascii="Times New Roman" w:hAnsi="Times New Roman" w:eastAsia="黑体" w:cs="Times New Roman"/>
                <w:bCs/>
                <w:color w:val="000000" w:themeColor="text1"/>
                <w14:textFill>
                  <w14:solidFill>
                    <w14:schemeClr w14:val="tx1"/>
                  </w14:solidFill>
                </w14:textFill>
              </w:rPr>
              <w:t>污染物年排放量</w:t>
            </w:r>
            <w:r>
              <w:rPr>
                <w:rFonts w:hint="eastAsia" w:ascii="Times New Roman" w:hAnsi="Times New Roman" w:cs="Times New Roman"/>
                <w:bCs/>
                <w:color w:val="000000" w:themeColor="text1"/>
                <w:lang w:val="en-US" w:eastAsia="zh-CN"/>
                <w14:textFill>
                  <w14:solidFill>
                    <w14:schemeClr w14:val="tx1"/>
                  </w14:solidFill>
                </w14:textFill>
              </w:rPr>
              <w:t>一览</w:t>
            </w:r>
            <w:r>
              <w:rPr>
                <w:rFonts w:hint="eastAsia" w:ascii="Times New Roman" w:hAnsi="Times New Roman" w:eastAsia="黑体" w:cs="Times New Roman"/>
                <w:bCs/>
                <w:color w:val="000000" w:themeColor="text1"/>
                <w14:textFill>
                  <w14:solidFill>
                    <w14:schemeClr w14:val="tx1"/>
                  </w14:solidFill>
                </w14:textFill>
              </w:rPr>
              <w:t>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66"/>
              <w:gridCol w:w="3173"/>
              <w:gridCol w:w="3175"/>
            </w:tblGrid>
            <w:tr w14:paraId="497C9C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59" w:type="dxa"/>
                  <w:noWrap w:val="0"/>
                  <w:vAlign w:val="center"/>
                </w:tcPr>
                <w:p w14:paraId="1D0589AE">
                  <w:pPr>
                    <w:autoSpaceDE w:val="0"/>
                    <w:autoSpaceDN w:val="0"/>
                    <w:spacing w:before="20" w:after="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3016" w:type="dxa"/>
                  <w:noWrap w:val="0"/>
                  <w:vAlign w:val="center"/>
                </w:tcPr>
                <w:p w14:paraId="396911D8">
                  <w:pPr>
                    <w:autoSpaceDE w:val="0"/>
                    <w:autoSpaceDN w:val="0"/>
                    <w:spacing w:before="20" w:after="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tc>
              <w:tc>
                <w:tcPr>
                  <w:tcW w:w="3018" w:type="dxa"/>
                  <w:noWrap w:val="0"/>
                  <w:vAlign w:val="center"/>
                </w:tcPr>
                <w:p w14:paraId="497342B2">
                  <w:pPr>
                    <w:autoSpaceDE w:val="0"/>
                    <w:autoSpaceDN w:val="0"/>
                    <w:spacing w:before="20" w:after="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年排放量（t/a）</w:t>
                  </w:r>
                </w:p>
              </w:tc>
            </w:tr>
            <w:tr w14:paraId="46F4C4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59" w:type="dxa"/>
                  <w:noWrap w:val="0"/>
                  <w:vAlign w:val="center"/>
                </w:tcPr>
                <w:p w14:paraId="511A064F">
                  <w:pPr>
                    <w:autoSpaceDE w:val="0"/>
                    <w:autoSpaceDN w:val="0"/>
                    <w:spacing w:before="20" w:after="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16" w:type="dxa"/>
                  <w:noWrap w:val="0"/>
                  <w:vAlign w:val="center"/>
                </w:tcPr>
                <w:p w14:paraId="6AB34119">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NH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-N</w:t>
                  </w:r>
                </w:p>
              </w:tc>
              <w:tc>
                <w:tcPr>
                  <w:tcW w:w="3018" w:type="dxa"/>
                  <w:noWrap w:val="0"/>
                  <w:vAlign w:val="center"/>
                </w:tcPr>
                <w:p w14:paraId="1733121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0.0052</w:t>
                  </w:r>
                </w:p>
              </w:tc>
            </w:tr>
            <w:tr w14:paraId="78A925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59" w:type="dxa"/>
                  <w:noWrap w:val="0"/>
                  <w:vAlign w:val="center"/>
                </w:tcPr>
                <w:p w14:paraId="7B3C8ED3">
                  <w:pPr>
                    <w:autoSpaceDE w:val="0"/>
                    <w:autoSpaceDN w:val="0"/>
                    <w:spacing w:before="20" w:after="2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3016" w:type="dxa"/>
                  <w:noWrap w:val="0"/>
                  <w:vAlign w:val="center"/>
                </w:tcPr>
                <w:p w14:paraId="186E6877">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S</w:t>
                  </w:r>
                </w:p>
              </w:tc>
              <w:tc>
                <w:tcPr>
                  <w:tcW w:w="3018" w:type="dxa"/>
                  <w:noWrap w:val="0"/>
                  <w:vAlign w:val="center"/>
                </w:tcPr>
                <w:p w14:paraId="3056A483">
                  <w:pPr>
                    <w:keepNext w:val="0"/>
                    <w:keepLines w:val="0"/>
                    <w:pageBreakBefore w:val="0"/>
                    <w:widowControl w:val="0"/>
                    <w:kinsoku/>
                    <w:wordWrap/>
                    <w:overflowPunct/>
                    <w:topLinePunct w:val="0"/>
                    <w:autoSpaceDE w:val="0"/>
                    <w:autoSpaceDN w:val="0"/>
                    <w:bidi w:val="0"/>
                    <w:adjustRightInd/>
                    <w:snapToGrid/>
                    <w:spacing w:line="0" w:lineRule="atLeast"/>
                    <w:ind w:left="-7" w:leftChars="-50" w:right="-105" w:rightChars="-50" w:hanging="98" w:hangingChars="47"/>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0.0002</w:t>
                  </w:r>
                </w:p>
              </w:tc>
            </w:tr>
            <w:tr w14:paraId="6128E7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59" w:type="dxa"/>
                  <w:noWrap w:val="0"/>
                  <w:vAlign w:val="center"/>
                </w:tcPr>
                <w:p w14:paraId="65BDD37A">
                  <w:pPr>
                    <w:autoSpaceDE w:val="0"/>
                    <w:autoSpaceDN w:val="0"/>
                    <w:spacing w:before="20" w:after="2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3016" w:type="dxa"/>
                  <w:noWrap w:val="0"/>
                  <w:vAlign w:val="center"/>
                </w:tcPr>
                <w:p w14:paraId="3A4A1DA7">
                  <w:pPr>
                    <w:spacing w:line="0" w:lineRule="atLeast"/>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SO</w:t>
                  </w:r>
                  <w:r>
                    <w:rPr>
                      <w:rFonts w:hint="eastAsia" w:ascii="Times New Roman" w:hAnsi="Times New Roman" w:eastAsia="宋体" w:cs="Times New Roman"/>
                      <w:bCs/>
                      <w:color w:val="000000" w:themeColor="text1"/>
                      <w:szCs w:val="21"/>
                      <w:vertAlign w:val="subscript"/>
                      <w:lang w:val="en-US" w:eastAsia="zh-CN"/>
                      <w14:textFill>
                        <w14:solidFill>
                          <w14:schemeClr w14:val="tx1"/>
                        </w14:solidFill>
                      </w14:textFill>
                    </w:rPr>
                    <w:t>2</w:t>
                  </w:r>
                </w:p>
              </w:tc>
              <w:tc>
                <w:tcPr>
                  <w:tcW w:w="3018" w:type="dxa"/>
                  <w:noWrap w:val="0"/>
                  <w:vAlign w:val="center"/>
                </w:tcPr>
                <w:p w14:paraId="6C94C651">
                  <w:pPr>
                    <w:keepNext w:val="0"/>
                    <w:keepLines w:val="0"/>
                    <w:pageBreakBefore w:val="0"/>
                    <w:widowControl w:val="0"/>
                    <w:kinsoku/>
                    <w:wordWrap/>
                    <w:overflowPunct/>
                    <w:topLinePunct w:val="0"/>
                    <w:bidi w:val="0"/>
                    <w:adjustRightInd/>
                    <w:snapToGrid/>
                    <w:spacing w:line="0" w:lineRule="atLeast"/>
                    <w:ind w:left="-105" w:leftChars="-50" w:right="-105" w:rightChars="-50"/>
                    <w:jc w:val="center"/>
                    <w:textAlignment w:val="baseline"/>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黑体" w:cs="Times New Roman"/>
                      <w:color w:val="000000" w:themeColor="text1"/>
                      <w:szCs w:val="21"/>
                      <w:lang w:val="en-US" w:eastAsia="zh-CN"/>
                      <w14:textFill>
                        <w14:solidFill>
                          <w14:schemeClr w14:val="tx1"/>
                        </w14:solidFill>
                      </w14:textFill>
                    </w:rPr>
                    <w:t>0.0001</w:t>
                  </w:r>
                </w:p>
              </w:tc>
            </w:tr>
            <w:tr w14:paraId="0786B6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59" w:type="dxa"/>
                  <w:noWrap w:val="0"/>
                  <w:vAlign w:val="center"/>
                </w:tcPr>
                <w:p w14:paraId="1DC5EE53">
                  <w:pPr>
                    <w:autoSpaceDE w:val="0"/>
                    <w:autoSpaceDN w:val="0"/>
                    <w:spacing w:before="20" w:after="2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p>
              </w:tc>
              <w:tc>
                <w:tcPr>
                  <w:tcW w:w="3016" w:type="dxa"/>
                  <w:noWrap w:val="0"/>
                  <w:vAlign w:val="center"/>
                </w:tcPr>
                <w:p w14:paraId="3166F5BF">
                  <w:pPr>
                    <w:spacing w:line="0" w:lineRule="atLeast"/>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颗粒物</w:t>
                  </w:r>
                </w:p>
              </w:tc>
              <w:tc>
                <w:tcPr>
                  <w:tcW w:w="3018" w:type="dxa"/>
                  <w:noWrap w:val="0"/>
                  <w:vAlign w:val="center"/>
                </w:tcPr>
                <w:p w14:paraId="48AB133D">
                  <w:pPr>
                    <w:keepNext w:val="0"/>
                    <w:keepLines w:val="0"/>
                    <w:pageBreakBefore w:val="0"/>
                    <w:widowControl w:val="0"/>
                    <w:kinsoku/>
                    <w:wordWrap/>
                    <w:overflowPunct/>
                    <w:topLinePunct w:val="0"/>
                    <w:bidi w:val="0"/>
                    <w:adjustRightInd/>
                    <w:snapToGrid/>
                    <w:spacing w:line="0" w:lineRule="atLeast"/>
                    <w:ind w:left="-105" w:leftChars="-50" w:right="-105" w:rightChars="-50"/>
                    <w:jc w:val="center"/>
                    <w:textAlignment w:val="baseline"/>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黑体" w:cs="Times New Roman"/>
                      <w:color w:val="000000" w:themeColor="text1"/>
                      <w:szCs w:val="21"/>
                      <w:lang w:val="en-US" w:eastAsia="zh-CN"/>
                      <w14:textFill>
                        <w14:solidFill>
                          <w14:schemeClr w14:val="tx1"/>
                        </w14:solidFill>
                      </w14:textFill>
                    </w:rPr>
                    <w:t>0.0189</w:t>
                  </w:r>
                </w:p>
              </w:tc>
            </w:tr>
            <w:tr w14:paraId="75CE95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59" w:type="dxa"/>
                  <w:noWrap w:val="0"/>
                  <w:vAlign w:val="center"/>
                </w:tcPr>
                <w:p w14:paraId="019EBC69">
                  <w:pPr>
                    <w:autoSpaceDE w:val="0"/>
                    <w:autoSpaceDN w:val="0"/>
                    <w:spacing w:before="20" w:after="2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3016" w:type="dxa"/>
                  <w:noWrap w:val="0"/>
                  <w:vAlign w:val="center"/>
                </w:tcPr>
                <w:p w14:paraId="0333EE7A">
                  <w:pPr>
                    <w:spacing w:line="0" w:lineRule="atLeas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油烟</w:t>
                  </w:r>
                </w:p>
              </w:tc>
              <w:tc>
                <w:tcPr>
                  <w:tcW w:w="3018" w:type="dxa"/>
                  <w:noWrap w:val="0"/>
                  <w:vAlign w:val="center"/>
                </w:tcPr>
                <w:p w14:paraId="22C09F5C">
                  <w:pPr>
                    <w:keepNext w:val="0"/>
                    <w:keepLines w:val="0"/>
                    <w:pageBreakBefore w:val="0"/>
                    <w:widowControl w:val="0"/>
                    <w:kinsoku/>
                    <w:wordWrap/>
                    <w:overflowPunct/>
                    <w:topLinePunct w:val="0"/>
                    <w:autoSpaceDE w:val="0"/>
                    <w:autoSpaceDN w:val="0"/>
                    <w:bidi w:val="0"/>
                    <w:adjustRightInd/>
                    <w:snapToGrid/>
                    <w:spacing w:line="0" w:lineRule="atLeast"/>
                    <w:ind w:left="-7" w:leftChars="-50" w:right="-105" w:rightChars="-50" w:hanging="98" w:hangingChars="47"/>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0.0365</w:t>
                  </w:r>
                </w:p>
              </w:tc>
            </w:tr>
            <w:tr w14:paraId="46739B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59" w:type="dxa"/>
                  <w:noWrap w:val="0"/>
                  <w:vAlign w:val="center"/>
                </w:tcPr>
                <w:p w14:paraId="5CBC532C">
                  <w:pPr>
                    <w:autoSpaceDE w:val="0"/>
                    <w:autoSpaceDN w:val="0"/>
                    <w:spacing w:before="20" w:after="2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w:t>
                  </w:r>
                </w:p>
              </w:tc>
              <w:tc>
                <w:tcPr>
                  <w:tcW w:w="3016" w:type="dxa"/>
                  <w:noWrap w:val="0"/>
                  <w:vAlign w:val="center"/>
                </w:tcPr>
                <w:p w14:paraId="3E73953C">
                  <w:pPr>
                    <w:spacing w:line="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CO</w:t>
                  </w:r>
                </w:p>
              </w:tc>
              <w:tc>
                <w:tcPr>
                  <w:tcW w:w="3018" w:type="dxa"/>
                  <w:noWrap w:val="0"/>
                  <w:vAlign w:val="center"/>
                </w:tcPr>
                <w:p w14:paraId="2579CD14">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1.3179</w:t>
                  </w:r>
                </w:p>
              </w:tc>
            </w:tr>
            <w:tr w14:paraId="454F41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59" w:type="dxa"/>
                  <w:noWrap w:val="0"/>
                  <w:vAlign w:val="center"/>
                </w:tcPr>
                <w:p w14:paraId="652FC81A">
                  <w:pPr>
                    <w:autoSpaceDE w:val="0"/>
                    <w:autoSpaceDN w:val="0"/>
                    <w:spacing w:before="20" w:after="2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w:t>
                  </w:r>
                </w:p>
              </w:tc>
              <w:tc>
                <w:tcPr>
                  <w:tcW w:w="3016" w:type="dxa"/>
                  <w:noWrap w:val="0"/>
                  <w:vAlign w:val="center"/>
                </w:tcPr>
                <w:p w14:paraId="7C7BE4FE">
                  <w:pPr>
                    <w:spacing w:line="0" w:lineRule="atLeast"/>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THC</w:t>
                  </w:r>
                </w:p>
              </w:tc>
              <w:tc>
                <w:tcPr>
                  <w:tcW w:w="3018" w:type="dxa"/>
                  <w:noWrap w:val="0"/>
                  <w:vAlign w:val="center"/>
                </w:tcPr>
                <w:p w14:paraId="4A7EEFA7">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0.1663</w:t>
                  </w:r>
                </w:p>
              </w:tc>
            </w:tr>
            <w:tr w14:paraId="1C604E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059" w:type="dxa"/>
                  <w:noWrap w:val="0"/>
                  <w:vAlign w:val="center"/>
                </w:tcPr>
                <w:p w14:paraId="36E44DA3">
                  <w:pPr>
                    <w:autoSpaceDE w:val="0"/>
                    <w:autoSpaceDN w:val="0"/>
                    <w:spacing w:before="20" w:after="2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w:t>
                  </w:r>
                </w:p>
              </w:tc>
              <w:tc>
                <w:tcPr>
                  <w:tcW w:w="3016" w:type="dxa"/>
                  <w:noWrap w:val="0"/>
                  <w:vAlign w:val="center"/>
                </w:tcPr>
                <w:p w14:paraId="3CF50269">
                  <w:pPr>
                    <w:spacing w:line="0" w:lineRule="atLeast"/>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NOx</w:t>
                  </w:r>
                </w:p>
              </w:tc>
              <w:tc>
                <w:tcPr>
                  <w:tcW w:w="3018" w:type="dxa"/>
                  <w:noWrap w:val="0"/>
                  <w:vAlign w:val="center"/>
                </w:tcPr>
                <w:p w14:paraId="61ECA533">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0.3605</w:t>
                  </w:r>
                </w:p>
              </w:tc>
            </w:tr>
          </w:tbl>
          <w:p w14:paraId="5E443058">
            <w:pPr>
              <w:pStyle w:val="20"/>
              <w:keepNext w:val="0"/>
              <w:keepLines w:val="0"/>
              <w:pageBreakBefore w:val="0"/>
              <w:widowControl w:val="0"/>
              <w:kinsoku/>
              <w:wordWrap/>
              <w:overflowPunct/>
              <w:topLinePunct w:val="0"/>
              <w:autoSpaceDE/>
              <w:autoSpaceDN/>
              <w:bidi w:val="0"/>
              <w:spacing w:line="520" w:lineRule="exact"/>
              <w:jc w:val="both"/>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（2）废水</w:t>
            </w:r>
          </w:p>
          <w:p w14:paraId="79EAB49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eastAsia" w:ascii="Times New Roman" w:hAnsi="Times New Roman" w:cs="Times New Roman"/>
                <w:bCs/>
                <w:color w:val="000000" w:themeColor="text1"/>
                <w:kern w:val="28"/>
                <w:sz w:val="24"/>
                <w:szCs w:val="24"/>
                <w:highlight w:val="none"/>
                <w:lang w:eastAsia="zh-CN"/>
                <w14:textFill>
                  <w14:solidFill>
                    <w14:schemeClr w14:val="tx1"/>
                  </w14:solidFill>
                </w14:textFill>
              </w:rPr>
              <w:t>在建</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工程②</w:t>
            </w:r>
            <w:r>
              <w:rPr>
                <w:rFonts w:hint="eastAsia" w:ascii="Times New Roman" w:hAnsi="Times New Roman" w:cs="Times New Roman"/>
                <w:b w:val="0"/>
                <w:bCs/>
                <w:color w:val="000000" w:themeColor="text1"/>
                <w:sz w:val="24"/>
                <w:highlight w:val="none"/>
                <w:u w:val="none"/>
                <w:lang w:eastAsia="zh-CN"/>
                <w14:textFill>
                  <w14:solidFill>
                    <w14:schemeClr w14:val="tx1"/>
                  </w14:solidFill>
                </w14:textFill>
              </w:rPr>
              <w:t>产生的废水主要</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分为养老康复单元废水和老人养护单元废水，废水产生总</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量为72463.9m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highlight w:val="none"/>
                <w:u w:val="none"/>
                <w:lang w:val="en-US" w:eastAsia="zh-CN"/>
                <w14:textFill>
                  <w14:solidFill>
                    <w14:schemeClr w14:val="tx1"/>
                  </w14:solidFill>
                </w14:textFill>
              </w:rPr>
              <w:t>，依托现有工程污水处理站采取“生物接触氧化+次氯酸钠消毒”工艺进行处理后，通过现有工程总排口（DW001）排入市政污水管网进入渑池县第二污水处理厂进一步处理</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w:t>
            </w:r>
          </w:p>
          <w:p w14:paraId="1D214BA1">
            <w:pPr>
              <w:pStyle w:val="20"/>
              <w:keepNext w:val="0"/>
              <w:keepLines w:val="0"/>
              <w:pageBreakBefore w:val="0"/>
              <w:widowControl w:val="0"/>
              <w:kinsoku/>
              <w:wordWrap/>
              <w:overflowPunct/>
              <w:topLinePunct w:val="0"/>
              <w:autoSpaceDE/>
              <w:autoSpaceDN/>
              <w:bidi w:val="0"/>
              <w:spacing w:line="520" w:lineRule="exact"/>
              <w:jc w:val="both"/>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根据环评可知，</w:t>
            </w:r>
            <w:r>
              <w:rPr>
                <w:rFonts w:hint="eastAsia" w:ascii="Times New Roman" w:hAnsi="Times New Roman" w:cs="Times New Roman"/>
                <w:bCs/>
                <w:color w:val="000000" w:themeColor="text1"/>
                <w:kern w:val="28"/>
                <w:sz w:val="24"/>
                <w:szCs w:val="24"/>
                <w:highlight w:val="none"/>
                <w:lang w:val="en-US" w:eastAsia="zh-CN"/>
                <w14:textFill>
                  <w14:solidFill>
                    <w14:schemeClr w14:val="tx1"/>
                  </w14:solidFill>
                </w14:textFill>
              </w:rPr>
              <w:t>在建工程②废水主要污染物产排情况见下表。</w:t>
            </w:r>
          </w:p>
          <w:p w14:paraId="50288F59">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ind w:firstLine="0"/>
              <w:jc w:val="center"/>
              <w:textAlignment w:val="auto"/>
              <w:rPr>
                <w:rFonts w:hint="default" w:ascii="Times New Roman" w:hAnsi="Times New Roman" w:eastAsia="黑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在建</w:t>
            </w:r>
            <w:r>
              <w:rPr>
                <w:rFonts w:hint="default" w:ascii="Times New Roman" w:hAnsi="Times New Roman" w:cs="Times New Roman"/>
                <w:color w:val="000000" w:themeColor="text1"/>
                <w:highlight w:val="none"/>
                <w:lang w:val="en-US" w:eastAsia="zh-CN"/>
                <w14:textFill>
                  <w14:solidFill>
                    <w14:schemeClr w14:val="tx1"/>
                  </w14:solidFill>
                </w14:textFill>
              </w:rPr>
              <w:t>工程②养老康复</w:t>
            </w:r>
            <w:r>
              <w:rPr>
                <w:rFonts w:hint="eastAsia" w:cs="Times New Roman"/>
                <w:b w:val="0"/>
                <w:bCs w:val="0"/>
                <w:color w:val="000000" w:themeColor="text1"/>
                <w:highlight w:val="none"/>
                <w:u w:val="none"/>
                <w:lang w:val="en-US" w:eastAsia="zh-CN"/>
                <w14:textFill>
                  <w14:solidFill>
                    <w14:schemeClr w14:val="tx1"/>
                  </w14:solidFill>
                </w14:textFill>
              </w:rPr>
              <w:t>单元</w:t>
            </w:r>
            <w:r>
              <w:rPr>
                <w:rFonts w:hint="eastAsia" w:ascii="Times New Roman" w:hAnsi="Times New Roman" w:eastAsia="黑体" w:cs="Times New Roman"/>
                <w:color w:val="000000" w:themeColor="text1"/>
                <w:highlight w:val="none"/>
                <w:lang w:val="en-US" w:eastAsia="zh-CN"/>
                <w14:textFill>
                  <w14:solidFill>
                    <w14:schemeClr w14:val="tx1"/>
                  </w14:solidFill>
                </w14:textFill>
              </w:rPr>
              <w:t>废水主要污染物产排情况一览表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907"/>
              <w:gridCol w:w="864"/>
              <w:gridCol w:w="935"/>
              <w:gridCol w:w="1078"/>
              <w:gridCol w:w="1438"/>
              <w:gridCol w:w="1486"/>
            </w:tblGrid>
            <w:tr w14:paraId="5A314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48" w:type="dxa"/>
                  <w:vMerge w:val="restart"/>
                  <w:noWrap w:val="0"/>
                  <w:vAlign w:val="center"/>
                </w:tcPr>
                <w:p w14:paraId="7DA83F9F">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项目</w:t>
                  </w:r>
                </w:p>
              </w:tc>
              <w:tc>
                <w:tcPr>
                  <w:tcW w:w="6445" w:type="dxa"/>
                  <w:gridSpan w:val="6"/>
                  <w:noWrap w:val="0"/>
                  <w:vAlign w:val="center"/>
                </w:tcPr>
                <w:p w14:paraId="1F5C2EEC">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baseline"/>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综合</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水质及处理效果</w:t>
                  </w:r>
                </w:p>
              </w:tc>
            </w:tr>
            <w:tr w14:paraId="01D2A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48" w:type="dxa"/>
                  <w:vMerge w:val="continue"/>
                  <w:noWrap w:val="0"/>
                  <w:vAlign w:val="center"/>
                </w:tcPr>
                <w:p w14:paraId="594D1620">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71" w:type="dxa"/>
                  <w:noWrap w:val="0"/>
                  <w:vAlign w:val="center"/>
                </w:tcPr>
                <w:p w14:paraId="612BB80F">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COD</w:t>
                  </w:r>
                </w:p>
              </w:tc>
              <w:tc>
                <w:tcPr>
                  <w:tcW w:w="830" w:type="dxa"/>
                  <w:noWrap w:val="0"/>
                  <w:vAlign w:val="center"/>
                </w:tcPr>
                <w:p w14:paraId="748D51E6">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BOD</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5</w:t>
                  </w:r>
                </w:p>
              </w:tc>
              <w:tc>
                <w:tcPr>
                  <w:tcW w:w="898" w:type="dxa"/>
                  <w:noWrap w:val="0"/>
                  <w:vAlign w:val="center"/>
                </w:tcPr>
                <w:p w14:paraId="6967B15C">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SS</w:t>
                  </w:r>
                </w:p>
              </w:tc>
              <w:tc>
                <w:tcPr>
                  <w:tcW w:w="1036" w:type="dxa"/>
                  <w:noWrap w:val="0"/>
                  <w:vAlign w:val="center"/>
                </w:tcPr>
                <w:p w14:paraId="071E1590">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NH</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-N</w:t>
                  </w:r>
                </w:p>
              </w:tc>
              <w:tc>
                <w:tcPr>
                  <w:tcW w:w="1382" w:type="dxa"/>
                  <w:noWrap w:val="0"/>
                  <w:vAlign w:val="center"/>
                </w:tcPr>
                <w:p w14:paraId="4B606305">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粪大肠菌群</w:t>
                  </w:r>
                </w:p>
                <w:p w14:paraId="5B261F6E">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（个/L）</w:t>
                  </w:r>
                </w:p>
              </w:tc>
              <w:tc>
                <w:tcPr>
                  <w:tcW w:w="1428" w:type="dxa"/>
                  <w:noWrap w:val="0"/>
                  <w:vAlign w:val="center"/>
                </w:tcPr>
                <w:p w14:paraId="3E8248A8">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阴离子表面活性剂</w:t>
                  </w:r>
                </w:p>
              </w:tc>
            </w:tr>
            <w:tr w14:paraId="01CE4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48" w:type="dxa"/>
                  <w:noWrap w:val="0"/>
                  <w:vAlign w:val="center"/>
                </w:tcPr>
                <w:p w14:paraId="4474B155">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进水水质（mg/L）</w:t>
                  </w:r>
                </w:p>
              </w:tc>
              <w:tc>
                <w:tcPr>
                  <w:tcW w:w="871" w:type="dxa"/>
                  <w:noWrap w:val="0"/>
                  <w:vAlign w:val="center"/>
                </w:tcPr>
                <w:p w14:paraId="39FE6CDD">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400</w:t>
                  </w:r>
                </w:p>
              </w:tc>
              <w:tc>
                <w:tcPr>
                  <w:tcW w:w="830" w:type="dxa"/>
                  <w:noWrap w:val="0"/>
                  <w:vAlign w:val="center"/>
                </w:tcPr>
                <w:p w14:paraId="2F8DD66E">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160</w:t>
                  </w:r>
                </w:p>
              </w:tc>
              <w:tc>
                <w:tcPr>
                  <w:tcW w:w="898" w:type="dxa"/>
                  <w:noWrap w:val="0"/>
                  <w:vAlign w:val="center"/>
                </w:tcPr>
                <w:p w14:paraId="48C930E8">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300</w:t>
                  </w:r>
                </w:p>
              </w:tc>
              <w:tc>
                <w:tcPr>
                  <w:tcW w:w="1036" w:type="dxa"/>
                  <w:noWrap w:val="0"/>
                  <w:vAlign w:val="center"/>
                </w:tcPr>
                <w:p w14:paraId="55C750D5">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50</w:t>
                  </w:r>
                </w:p>
              </w:tc>
              <w:tc>
                <w:tcPr>
                  <w:tcW w:w="1382" w:type="dxa"/>
                  <w:noWrap w:val="0"/>
                  <w:vAlign w:val="center"/>
                </w:tcPr>
                <w:p w14:paraId="656536B3">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1.8×10</w:t>
                  </w:r>
                  <w:r>
                    <w:rPr>
                      <w:rFonts w:hint="default" w:ascii="Times New Roman" w:hAnsi="Times New Roman" w:cs="Times New Roman"/>
                      <w:b w:val="0"/>
                      <w:bCs w:val="0"/>
                      <w:color w:val="000000" w:themeColor="text1"/>
                      <w:sz w:val="21"/>
                      <w:szCs w:val="21"/>
                      <w:highlight w:val="none"/>
                      <w:u w:val="none"/>
                      <w:vertAlign w:val="superscript"/>
                      <w:lang w:val="en-US" w:eastAsia="zh-CN"/>
                      <w14:textFill>
                        <w14:solidFill>
                          <w14:schemeClr w14:val="tx1"/>
                        </w14:solidFill>
                      </w14:textFill>
                    </w:rPr>
                    <w:t>8</w:t>
                  </w:r>
                </w:p>
              </w:tc>
              <w:tc>
                <w:tcPr>
                  <w:tcW w:w="1428" w:type="dxa"/>
                  <w:noWrap w:val="0"/>
                  <w:vAlign w:val="center"/>
                </w:tcPr>
                <w:p w14:paraId="04519CBD">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w:t>
                  </w:r>
                </w:p>
              </w:tc>
            </w:tr>
            <w:tr w14:paraId="62FC8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48" w:type="dxa"/>
                  <w:noWrap w:val="0"/>
                  <w:vAlign w:val="center"/>
                </w:tcPr>
                <w:p w14:paraId="48EF3D33">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污染物产生量（t/a）</w:t>
                  </w:r>
                </w:p>
              </w:tc>
              <w:tc>
                <w:tcPr>
                  <w:tcW w:w="871" w:type="dxa"/>
                  <w:noWrap w:val="0"/>
                  <w:vAlign w:val="center"/>
                </w:tcPr>
                <w:p w14:paraId="4E614A95">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13.7432</w:t>
                  </w:r>
                </w:p>
              </w:tc>
              <w:tc>
                <w:tcPr>
                  <w:tcW w:w="830" w:type="dxa"/>
                  <w:noWrap w:val="0"/>
                  <w:vAlign w:val="center"/>
                </w:tcPr>
                <w:p w14:paraId="03A7E77E">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5.4973</w:t>
                  </w:r>
                </w:p>
              </w:tc>
              <w:tc>
                <w:tcPr>
                  <w:tcW w:w="898" w:type="dxa"/>
                  <w:noWrap w:val="0"/>
                  <w:vAlign w:val="center"/>
                </w:tcPr>
                <w:p w14:paraId="7F5FC2B2">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10.3074</w:t>
                  </w:r>
                </w:p>
              </w:tc>
              <w:tc>
                <w:tcPr>
                  <w:tcW w:w="1036" w:type="dxa"/>
                  <w:noWrap w:val="0"/>
                  <w:vAlign w:val="center"/>
                </w:tcPr>
                <w:p w14:paraId="6ED10873">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1.7179</w:t>
                  </w:r>
                </w:p>
              </w:tc>
              <w:tc>
                <w:tcPr>
                  <w:tcW w:w="1382" w:type="dxa"/>
                  <w:noWrap w:val="0"/>
                  <w:vAlign w:val="center"/>
                </w:tcPr>
                <w:p w14:paraId="66B94AE6">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428" w:type="dxa"/>
                  <w:noWrap w:val="0"/>
                  <w:vAlign w:val="center"/>
                </w:tcPr>
                <w:p w14:paraId="2051FA5E">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0.3436</w:t>
                  </w:r>
                </w:p>
              </w:tc>
            </w:tr>
            <w:tr w14:paraId="3014B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48" w:type="dxa"/>
                  <w:noWrap w:val="0"/>
                  <w:vAlign w:val="center"/>
                </w:tcPr>
                <w:p w14:paraId="7814AAEC">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去除率（%）</w:t>
                  </w:r>
                </w:p>
              </w:tc>
              <w:tc>
                <w:tcPr>
                  <w:tcW w:w="871" w:type="dxa"/>
                  <w:noWrap w:val="0"/>
                  <w:vAlign w:val="center"/>
                </w:tcPr>
                <w:p w14:paraId="397ED943">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85</w:t>
                  </w:r>
                </w:p>
              </w:tc>
              <w:tc>
                <w:tcPr>
                  <w:tcW w:w="830" w:type="dxa"/>
                  <w:noWrap w:val="0"/>
                  <w:vAlign w:val="center"/>
                </w:tcPr>
                <w:p w14:paraId="43429849">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90</w:t>
                  </w:r>
                </w:p>
              </w:tc>
              <w:tc>
                <w:tcPr>
                  <w:tcW w:w="898" w:type="dxa"/>
                  <w:noWrap w:val="0"/>
                  <w:vAlign w:val="center"/>
                </w:tcPr>
                <w:p w14:paraId="4135A52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90</w:t>
                  </w:r>
                </w:p>
              </w:tc>
              <w:tc>
                <w:tcPr>
                  <w:tcW w:w="1036" w:type="dxa"/>
                  <w:noWrap w:val="0"/>
                  <w:vAlign w:val="center"/>
                </w:tcPr>
                <w:p w14:paraId="2E570B03">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70</w:t>
                  </w:r>
                </w:p>
              </w:tc>
              <w:tc>
                <w:tcPr>
                  <w:tcW w:w="1382" w:type="dxa"/>
                  <w:noWrap w:val="0"/>
                  <w:vAlign w:val="center"/>
                </w:tcPr>
                <w:p w14:paraId="513B1DCD">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100</w:t>
                  </w:r>
                </w:p>
              </w:tc>
              <w:tc>
                <w:tcPr>
                  <w:tcW w:w="1428" w:type="dxa"/>
                  <w:noWrap w:val="0"/>
                  <w:vAlign w:val="center"/>
                </w:tcPr>
                <w:p w14:paraId="359469E7">
                  <w:pPr>
                    <w:keepNext w:val="0"/>
                    <w:keepLines w:val="0"/>
                    <w:pageBreakBefore w:val="0"/>
                    <w:widowControl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80</w:t>
                  </w:r>
                </w:p>
              </w:tc>
            </w:tr>
            <w:tr w14:paraId="74DF6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48" w:type="dxa"/>
                  <w:noWrap w:val="0"/>
                  <w:vAlign w:val="center"/>
                </w:tcPr>
                <w:p w14:paraId="0B1436FD">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出水水质（mg/L）</w:t>
                  </w:r>
                </w:p>
              </w:tc>
              <w:tc>
                <w:tcPr>
                  <w:tcW w:w="871" w:type="dxa"/>
                  <w:noWrap w:val="0"/>
                  <w:vAlign w:val="center"/>
                </w:tcPr>
                <w:p w14:paraId="265C61D5">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60</w:t>
                  </w:r>
                </w:p>
              </w:tc>
              <w:tc>
                <w:tcPr>
                  <w:tcW w:w="830" w:type="dxa"/>
                  <w:noWrap w:val="0"/>
                  <w:vAlign w:val="center"/>
                </w:tcPr>
                <w:p w14:paraId="45BCC897">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16</w:t>
                  </w:r>
                </w:p>
              </w:tc>
              <w:tc>
                <w:tcPr>
                  <w:tcW w:w="898" w:type="dxa"/>
                  <w:noWrap w:val="0"/>
                  <w:vAlign w:val="center"/>
                </w:tcPr>
                <w:p w14:paraId="5E613DE7">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30</w:t>
                  </w:r>
                </w:p>
              </w:tc>
              <w:tc>
                <w:tcPr>
                  <w:tcW w:w="1036" w:type="dxa"/>
                  <w:noWrap w:val="0"/>
                  <w:vAlign w:val="center"/>
                </w:tcPr>
                <w:p w14:paraId="554B4583">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15</w:t>
                  </w:r>
                </w:p>
              </w:tc>
              <w:tc>
                <w:tcPr>
                  <w:tcW w:w="1382" w:type="dxa"/>
                  <w:noWrap w:val="0"/>
                  <w:vAlign w:val="center"/>
                </w:tcPr>
                <w:p w14:paraId="23C98FB0">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w:t>
                  </w:r>
                </w:p>
              </w:tc>
              <w:tc>
                <w:tcPr>
                  <w:tcW w:w="1428" w:type="dxa"/>
                  <w:noWrap w:val="0"/>
                  <w:vAlign w:val="center"/>
                </w:tcPr>
                <w:p w14:paraId="7A7C2FCF">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w:t>
                  </w:r>
                </w:p>
              </w:tc>
            </w:tr>
            <w:tr w14:paraId="3583E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48" w:type="dxa"/>
                  <w:noWrap w:val="0"/>
                  <w:vAlign w:val="center"/>
                </w:tcPr>
                <w:p w14:paraId="0893D45F">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污染物排放量（t/a）</w:t>
                  </w:r>
                </w:p>
              </w:tc>
              <w:tc>
                <w:tcPr>
                  <w:tcW w:w="871" w:type="dxa"/>
                  <w:noWrap w:val="0"/>
                  <w:vAlign w:val="center"/>
                </w:tcPr>
                <w:p w14:paraId="1CA53DB0">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2.0615</w:t>
                  </w:r>
                </w:p>
              </w:tc>
              <w:tc>
                <w:tcPr>
                  <w:tcW w:w="830" w:type="dxa"/>
                  <w:noWrap w:val="0"/>
                  <w:vAlign w:val="center"/>
                </w:tcPr>
                <w:p w14:paraId="106BFD42">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0.5497</w:t>
                  </w:r>
                </w:p>
              </w:tc>
              <w:tc>
                <w:tcPr>
                  <w:tcW w:w="898" w:type="dxa"/>
                  <w:noWrap w:val="0"/>
                  <w:vAlign w:val="center"/>
                </w:tcPr>
                <w:p w14:paraId="64DEDB0F">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1.0307</w:t>
                  </w:r>
                </w:p>
              </w:tc>
              <w:tc>
                <w:tcPr>
                  <w:tcW w:w="1036" w:type="dxa"/>
                  <w:noWrap w:val="0"/>
                  <w:vAlign w:val="center"/>
                </w:tcPr>
                <w:p w14:paraId="335EFE11">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0.5154</w:t>
                  </w:r>
                </w:p>
              </w:tc>
              <w:tc>
                <w:tcPr>
                  <w:tcW w:w="1382" w:type="dxa"/>
                  <w:noWrap w:val="0"/>
                  <w:vAlign w:val="center"/>
                </w:tcPr>
                <w:p w14:paraId="4896410F">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w:t>
                  </w:r>
                </w:p>
              </w:tc>
              <w:tc>
                <w:tcPr>
                  <w:tcW w:w="1428" w:type="dxa"/>
                  <w:noWrap w:val="0"/>
                  <w:vAlign w:val="center"/>
                </w:tcPr>
                <w:p w14:paraId="54349728">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0.0687</w:t>
                  </w:r>
                </w:p>
              </w:tc>
            </w:tr>
            <w:tr w14:paraId="087B6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48" w:type="dxa"/>
                  <w:noWrap w:val="0"/>
                  <w:vAlign w:val="center"/>
                </w:tcPr>
                <w:p w14:paraId="205B3BA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《医疗机构水污染物排放标准》（GB18466-2005）表2标准</w:t>
                  </w:r>
                </w:p>
              </w:tc>
              <w:tc>
                <w:tcPr>
                  <w:tcW w:w="871" w:type="dxa"/>
                  <w:noWrap w:val="0"/>
                  <w:vAlign w:val="center"/>
                </w:tcPr>
                <w:p w14:paraId="6F0CEEB3">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250</w:t>
                  </w:r>
                </w:p>
              </w:tc>
              <w:tc>
                <w:tcPr>
                  <w:tcW w:w="830" w:type="dxa"/>
                  <w:noWrap w:val="0"/>
                  <w:vAlign w:val="center"/>
                </w:tcPr>
                <w:p w14:paraId="5B03A142">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100</w:t>
                  </w:r>
                </w:p>
              </w:tc>
              <w:tc>
                <w:tcPr>
                  <w:tcW w:w="898" w:type="dxa"/>
                  <w:noWrap w:val="0"/>
                  <w:vAlign w:val="center"/>
                </w:tcPr>
                <w:p w14:paraId="0FBE2F20">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60</w:t>
                  </w:r>
                </w:p>
              </w:tc>
              <w:tc>
                <w:tcPr>
                  <w:tcW w:w="1036" w:type="dxa"/>
                  <w:noWrap w:val="0"/>
                  <w:vAlign w:val="center"/>
                </w:tcPr>
                <w:p w14:paraId="62DAE155">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382" w:type="dxa"/>
                  <w:noWrap w:val="0"/>
                  <w:vAlign w:val="center"/>
                </w:tcPr>
                <w:p w14:paraId="5A3C6821">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5000</w:t>
                  </w:r>
                </w:p>
              </w:tc>
              <w:tc>
                <w:tcPr>
                  <w:tcW w:w="1428" w:type="dxa"/>
                  <w:noWrap w:val="0"/>
                  <w:vAlign w:val="center"/>
                </w:tcPr>
                <w:p w14:paraId="5EE42622">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w:t>
                  </w:r>
                </w:p>
              </w:tc>
            </w:tr>
            <w:tr w14:paraId="5D634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48" w:type="dxa"/>
                  <w:noWrap w:val="0"/>
                  <w:vAlign w:val="center"/>
                </w:tcPr>
                <w:p w14:paraId="028AEB05">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渑池县第二污水处理厂</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进水水质指标</w:t>
                  </w:r>
                </w:p>
              </w:tc>
              <w:tc>
                <w:tcPr>
                  <w:tcW w:w="871" w:type="dxa"/>
                  <w:noWrap w:val="0"/>
                  <w:vAlign w:val="center"/>
                </w:tcPr>
                <w:p w14:paraId="13AC7945">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320</w:t>
                  </w:r>
                </w:p>
              </w:tc>
              <w:tc>
                <w:tcPr>
                  <w:tcW w:w="830" w:type="dxa"/>
                  <w:noWrap w:val="0"/>
                  <w:vAlign w:val="center"/>
                </w:tcPr>
                <w:p w14:paraId="21C09F57">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160</w:t>
                  </w:r>
                </w:p>
              </w:tc>
              <w:tc>
                <w:tcPr>
                  <w:tcW w:w="898" w:type="dxa"/>
                  <w:noWrap w:val="0"/>
                  <w:vAlign w:val="center"/>
                </w:tcPr>
                <w:p w14:paraId="7F62B380">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300</w:t>
                  </w:r>
                </w:p>
              </w:tc>
              <w:tc>
                <w:tcPr>
                  <w:tcW w:w="1036" w:type="dxa"/>
                  <w:noWrap w:val="0"/>
                  <w:vAlign w:val="center"/>
                </w:tcPr>
                <w:p w14:paraId="3084D40B">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30</w:t>
                  </w:r>
                </w:p>
              </w:tc>
              <w:tc>
                <w:tcPr>
                  <w:tcW w:w="1382" w:type="dxa"/>
                  <w:noWrap w:val="0"/>
                  <w:vAlign w:val="center"/>
                </w:tcPr>
                <w:p w14:paraId="66466326">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428" w:type="dxa"/>
                  <w:noWrap w:val="0"/>
                  <w:vAlign w:val="center"/>
                </w:tcPr>
                <w:p w14:paraId="1D6DEF57">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r>
          </w:tbl>
          <w:p w14:paraId="1A30DBA3">
            <w:pPr>
              <w:pStyle w:val="104"/>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由上表可知，在建工程②养老康复单元废水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依托现有工程污水处理站处理后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，废水水质满足《医疗机构水污染物排放标准》（GB18466-2005）表2标准要求，同时满足渑池县第二污水处理厂进水指标要求。</w:t>
            </w:r>
          </w:p>
          <w:p w14:paraId="0E30DC04">
            <w:pPr>
              <w:pStyle w:val="104"/>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2E824BE9">
            <w:pPr>
              <w:pStyle w:val="104"/>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057C8A8B">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ind w:firstLine="0"/>
              <w:jc w:val="center"/>
              <w:textAlignment w:val="auto"/>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在建工程②</w:t>
            </w:r>
            <w: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t>老人</w:t>
            </w:r>
            <w:r>
              <w:rPr>
                <w:rFonts w:hint="eastAsia" w:cs="Times New Roman"/>
                <w:b w:val="0"/>
                <w:bCs w:val="0"/>
                <w:color w:val="000000" w:themeColor="text1"/>
                <w:highlight w:val="none"/>
                <w:u w:val="none"/>
                <w:lang w:val="en-US" w:eastAsia="zh-CN"/>
                <w14:textFill>
                  <w14:solidFill>
                    <w14:schemeClr w14:val="tx1"/>
                  </w14:solidFill>
                </w14:textFill>
              </w:rPr>
              <w:t>养护单元</w:t>
            </w: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废水排放情</w:t>
            </w:r>
            <w:r>
              <w:rPr>
                <w:rFonts w:hint="eastAsia" w:ascii="Times New Roman" w:hAnsi="Times New Roman" w:cs="Times New Roman"/>
                <w:color w:val="000000" w:themeColor="text1"/>
                <w:highlight w:val="none"/>
                <w:lang w:val="en-US" w:eastAsia="zh-CN"/>
                <w14:textFill>
                  <w14:solidFill>
                    <w14:schemeClr w14:val="tx1"/>
                  </w14:solidFill>
                </w14:textFill>
              </w:rPr>
              <w:t>况及处理效果一览表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2"/>
              <w:gridCol w:w="1050"/>
              <w:gridCol w:w="1125"/>
              <w:gridCol w:w="1140"/>
              <w:gridCol w:w="1050"/>
              <w:gridCol w:w="1257"/>
            </w:tblGrid>
            <w:tr w14:paraId="60042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2" w:type="dxa"/>
                  <w:vMerge w:val="restart"/>
                  <w:noWrap w:val="0"/>
                  <w:vAlign w:val="center"/>
                </w:tcPr>
                <w:p w14:paraId="4C468EE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项目</w:t>
                  </w:r>
                </w:p>
              </w:tc>
              <w:tc>
                <w:tcPr>
                  <w:tcW w:w="5622" w:type="dxa"/>
                  <w:gridSpan w:val="5"/>
                  <w:noWrap w:val="0"/>
                  <w:vAlign w:val="center"/>
                </w:tcPr>
                <w:p w14:paraId="56205049">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textAlignment w:val="baseline"/>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综合</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水质及处理效果</w:t>
                  </w:r>
                </w:p>
              </w:tc>
            </w:tr>
            <w:tr w14:paraId="1443A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2" w:type="dxa"/>
                  <w:vMerge w:val="continue"/>
                  <w:noWrap w:val="0"/>
                  <w:vAlign w:val="center"/>
                </w:tcPr>
                <w:p w14:paraId="1566A0A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050" w:type="dxa"/>
                  <w:noWrap w:val="0"/>
                  <w:vAlign w:val="center"/>
                </w:tcPr>
                <w:p w14:paraId="19329DE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COD</w:t>
                  </w:r>
                </w:p>
              </w:tc>
              <w:tc>
                <w:tcPr>
                  <w:tcW w:w="1125" w:type="dxa"/>
                  <w:noWrap w:val="0"/>
                  <w:vAlign w:val="center"/>
                </w:tcPr>
                <w:p w14:paraId="4A574299">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BOD</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5</w:t>
                  </w:r>
                </w:p>
              </w:tc>
              <w:tc>
                <w:tcPr>
                  <w:tcW w:w="1140" w:type="dxa"/>
                  <w:noWrap w:val="0"/>
                  <w:vAlign w:val="center"/>
                </w:tcPr>
                <w:p w14:paraId="05889C6A">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SS</w:t>
                  </w:r>
                </w:p>
              </w:tc>
              <w:tc>
                <w:tcPr>
                  <w:tcW w:w="1050" w:type="dxa"/>
                  <w:noWrap w:val="0"/>
                  <w:vAlign w:val="center"/>
                </w:tcPr>
                <w:p w14:paraId="3CA3C52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NH</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-N</w:t>
                  </w:r>
                </w:p>
              </w:tc>
              <w:tc>
                <w:tcPr>
                  <w:tcW w:w="1257" w:type="dxa"/>
                  <w:noWrap w:val="0"/>
                  <w:vAlign w:val="center"/>
                </w:tcPr>
                <w:p w14:paraId="2127D05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动植物油</w:t>
                  </w:r>
                </w:p>
              </w:tc>
            </w:tr>
            <w:tr w14:paraId="5C257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2" w:type="dxa"/>
                  <w:noWrap w:val="0"/>
                  <w:vAlign w:val="center"/>
                </w:tcPr>
                <w:p w14:paraId="179E4F16">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进水水质（mg/L）</w:t>
                  </w:r>
                </w:p>
              </w:tc>
              <w:tc>
                <w:tcPr>
                  <w:tcW w:w="1050" w:type="dxa"/>
                  <w:noWrap w:val="0"/>
                  <w:vAlign w:val="center"/>
                </w:tcPr>
                <w:p w14:paraId="35398FD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250</w:t>
                  </w:r>
                </w:p>
              </w:tc>
              <w:tc>
                <w:tcPr>
                  <w:tcW w:w="1125" w:type="dxa"/>
                  <w:noWrap w:val="0"/>
                  <w:vAlign w:val="center"/>
                </w:tcPr>
                <w:p w14:paraId="3F9BA74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160</w:t>
                  </w:r>
                </w:p>
              </w:tc>
              <w:tc>
                <w:tcPr>
                  <w:tcW w:w="1140" w:type="dxa"/>
                  <w:noWrap w:val="0"/>
                  <w:vAlign w:val="center"/>
                </w:tcPr>
                <w:p w14:paraId="4C316282">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200</w:t>
                  </w:r>
                </w:p>
              </w:tc>
              <w:tc>
                <w:tcPr>
                  <w:tcW w:w="1050" w:type="dxa"/>
                  <w:noWrap w:val="0"/>
                  <w:vAlign w:val="center"/>
                </w:tcPr>
                <w:p w14:paraId="30647AA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w:t>
                  </w:r>
                </w:p>
              </w:tc>
              <w:tc>
                <w:tcPr>
                  <w:tcW w:w="1257" w:type="dxa"/>
                  <w:noWrap w:val="0"/>
                  <w:vAlign w:val="center"/>
                </w:tcPr>
                <w:p w14:paraId="590BDB2D">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w:t>
                  </w:r>
                </w:p>
              </w:tc>
            </w:tr>
            <w:tr w14:paraId="1CC48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2" w:type="dxa"/>
                  <w:noWrap w:val="0"/>
                  <w:vAlign w:val="center"/>
                </w:tcPr>
                <w:p w14:paraId="10FED5CD">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污染物产生量（t/a）</w:t>
                  </w:r>
                </w:p>
              </w:tc>
              <w:tc>
                <w:tcPr>
                  <w:tcW w:w="1050" w:type="dxa"/>
                  <w:noWrap w:val="0"/>
                  <w:vAlign w:val="center"/>
                </w:tcPr>
                <w:p w14:paraId="32F44F76">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9.5265</w:t>
                  </w:r>
                </w:p>
              </w:tc>
              <w:tc>
                <w:tcPr>
                  <w:tcW w:w="1125" w:type="dxa"/>
                  <w:noWrap w:val="0"/>
                  <w:vAlign w:val="center"/>
                </w:tcPr>
                <w:p w14:paraId="78CEE2F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6.0970</w:t>
                  </w:r>
                </w:p>
              </w:tc>
              <w:tc>
                <w:tcPr>
                  <w:tcW w:w="1140" w:type="dxa"/>
                  <w:noWrap w:val="0"/>
                  <w:vAlign w:val="center"/>
                </w:tcPr>
                <w:p w14:paraId="4ADCD99A">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7.6212</w:t>
                  </w:r>
                </w:p>
              </w:tc>
              <w:tc>
                <w:tcPr>
                  <w:tcW w:w="1050" w:type="dxa"/>
                  <w:noWrap w:val="0"/>
                  <w:vAlign w:val="center"/>
                </w:tcPr>
                <w:p w14:paraId="451F15E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0.7621</w:t>
                  </w:r>
                </w:p>
              </w:tc>
              <w:tc>
                <w:tcPr>
                  <w:tcW w:w="1257" w:type="dxa"/>
                  <w:noWrap w:val="0"/>
                  <w:vAlign w:val="center"/>
                </w:tcPr>
                <w:p w14:paraId="5914D39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0.7621</w:t>
                  </w:r>
                </w:p>
              </w:tc>
            </w:tr>
            <w:tr w14:paraId="31F00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2" w:type="dxa"/>
                  <w:noWrap w:val="0"/>
                  <w:vAlign w:val="center"/>
                </w:tcPr>
                <w:p w14:paraId="515AB30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去除率（%）</w:t>
                  </w:r>
                </w:p>
              </w:tc>
              <w:tc>
                <w:tcPr>
                  <w:tcW w:w="1050" w:type="dxa"/>
                  <w:noWrap w:val="0"/>
                  <w:vAlign w:val="center"/>
                </w:tcPr>
                <w:p w14:paraId="76788B6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w:t>
                  </w:r>
                </w:p>
              </w:tc>
              <w:tc>
                <w:tcPr>
                  <w:tcW w:w="1125" w:type="dxa"/>
                  <w:noWrap w:val="0"/>
                  <w:vAlign w:val="center"/>
                </w:tcPr>
                <w:p w14:paraId="21133FB4">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w:t>
                  </w:r>
                </w:p>
              </w:tc>
              <w:tc>
                <w:tcPr>
                  <w:tcW w:w="1140" w:type="dxa"/>
                  <w:noWrap w:val="0"/>
                  <w:vAlign w:val="center"/>
                </w:tcPr>
                <w:p w14:paraId="0192CF0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30</w:t>
                  </w:r>
                </w:p>
              </w:tc>
              <w:tc>
                <w:tcPr>
                  <w:tcW w:w="1050" w:type="dxa"/>
                  <w:noWrap w:val="0"/>
                  <w:vAlign w:val="center"/>
                </w:tcPr>
                <w:p w14:paraId="19953910">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w:t>
                  </w:r>
                </w:p>
              </w:tc>
              <w:tc>
                <w:tcPr>
                  <w:tcW w:w="1257" w:type="dxa"/>
                  <w:noWrap w:val="0"/>
                  <w:vAlign w:val="center"/>
                </w:tcPr>
                <w:p w14:paraId="737A8C4A">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70</w:t>
                  </w:r>
                </w:p>
              </w:tc>
            </w:tr>
            <w:tr w14:paraId="180D7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2" w:type="dxa"/>
                  <w:noWrap w:val="0"/>
                  <w:vAlign w:val="center"/>
                </w:tcPr>
                <w:p w14:paraId="37353F0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出水水质（mg/L）</w:t>
                  </w:r>
                </w:p>
              </w:tc>
              <w:tc>
                <w:tcPr>
                  <w:tcW w:w="1050" w:type="dxa"/>
                  <w:noWrap w:val="0"/>
                  <w:vAlign w:val="center"/>
                </w:tcPr>
                <w:p w14:paraId="1CDF85F2">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200</w:t>
                  </w:r>
                </w:p>
              </w:tc>
              <w:tc>
                <w:tcPr>
                  <w:tcW w:w="1125" w:type="dxa"/>
                  <w:noWrap w:val="0"/>
                  <w:vAlign w:val="center"/>
                </w:tcPr>
                <w:p w14:paraId="0282B57E">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128</w:t>
                  </w:r>
                </w:p>
              </w:tc>
              <w:tc>
                <w:tcPr>
                  <w:tcW w:w="1140" w:type="dxa"/>
                  <w:noWrap w:val="0"/>
                  <w:vAlign w:val="center"/>
                </w:tcPr>
                <w:p w14:paraId="3AC343D5">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140</w:t>
                  </w:r>
                </w:p>
              </w:tc>
              <w:tc>
                <w:tcPr>
                  <w:tcW w:w="1050" w:type="dxa"/>
                  <w:noWrap w:val="0"/>
                  <w:vAlign w:val="center"/>
                </w:tcPr>
                <w:p w14:paraId="38F36A54">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19.4</w:t>
                  </w:r>
                </w:p>
              </w:tc>
              <w:tc>
                <w:tcPr>
                  <w:tcW w:w="1257" w:type="dxa"/>
                  <w:noWrap w:val="0"/>
                  <w:vAlign w:val="center"/>
                </w:tcPr>
                <w:p w14:paraId="38C6AAD3">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6</w:t>
                  </w:r>
                </w:p>
              </w:tc>
            </w:tr>
            <w:tr w14:paraId="6CB411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2" w:type="dxa"/>
                  <w:noWrap w:val="0"/>
                  <w:vAlign w:val="center"/>
                </w:tcPr>
                <w:p w14:paraId="15F1D171">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污染物排放量（t/a）</w:t>
                  </w:r>
                </w:p>
              </w:tc>
              <w:tc>
                <w:tcPr>
                  <w:tcW w:w="1050" w:type="dxa"/>
                  <w:noWrap w:val="0"/>
                  <w:vAlign w:val="center"/>
                </w:tcPr>
                <w:p w14:paraId="57A56276">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7.6212</w:t>
                  </w:r>
                </w:p>
              </w:tc>
              <w:tc>
                <w:tcPr>
                  <w:tcW w:w="1125" w:type="dxa"/>
                  <w:noWrap w:val="0"/>
                  <w:vAlign w:val="center"/>
                </w:tcPr>
                <w:p w14:paraId="0B4D2746">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4.8776</w:t>
                  </w:r>
                </w:p>
              </w:tc>
              <w:tc>
                <w:tcPr>
                  <w:tcW w:w="1140" w:type="dxa"/>
                  <w:noWrap w:val="0"/>
                  <w:vAlign w:val="center"/>
                </w:tcPr>
                <w:p w14:paraId="6CB6F1C8">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5.3348</w:t>
                  </w:r>
                </w:p>
              </w:tc>
              <w:tc>
                <w:tcPr>
                  <w:tcW w:w="1050" w:type="dxa"/>
                  <w:noWrap w:val="0"/>
                  <w:vAlign w:val="center"/>
                </w:tcPr>
                <w:p w14:paraId="6087AE55">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0.7393</w:t>
                  </w:r>
                </w:p>
              </w:tc>
              <w:tc>
                <w:tcPr>
                  <w:tcW w:w="1257" w:type="dxa"/>
                  <w:noWrap w:val="0"/>
                  <w:vAlign w:val="center"/>
                </w:tcPr>
                <w:p w14:paraId="14A0D7D9">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0.2286</w:t>
                  </w:r>
                </w:p>
              </w:tc>
            </w:tr>
            <w:tr w14:paraId="1F562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2" w:type="dxa"/>
                  <w:noWrap w:val="0"/>
                  <w:vAlign w:val="center"/>
                </w:tcPr>
                <w:p w14:paraId="19F0F5C4">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《污水综合排放标准》（GB8978-1996）三级标准</w:t>
                  </w:r>
                </w:p>
              </w:tc>
              <w:tc>
                <w:tcPr>
                  <w:tcW w:w="1050" w:type="dxa"/>
                  <w:noWrap w:val="0"/>
                  <w:vAlign w:val="center"/>
                </w:tcPr>
                <w:p w14:paraId="7111EF8D">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500</w:t>
                  </w:r>
                </w:p>
              </w:tc>
              <w:tc>
                <w:tcPr>
                  <w:tcW w:w="1125" w:type="dxa"/>
                  <w:noWrap w:val="0"/>
                  <w:vAlign w:val="center"/>
                </w:tcPr>
                <w:p w14:paraId="4F6EF3E5">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500</w:t>
                  </w:r>
                </w:p>
              </w:tc>
              <w:tc>
                <w:tcPr>
                  <w:tcW w:w="1140" w:type="dxa"/>
                  <w:noWrap w:val="0"/>
                  <w:vAlign w:val="center"/>
                </w:tcPr>
                <w:p w14:paraId="369AF11C">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400</w:t>
                  </w:r>
                </w:p>
              </w:tc>
              <w:tc>
                <w:tcPr>
                  <w:tcW w:w="1050" w:type="dxa"/>
                  <w:noWrap w:val="0"/>
                  <w:vAlign w:val="center"/>
                </w:tcPr>
                <w:p w14:paraId="140DDED5">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257" w:type="dxa"/>
                  <w:noWrap w:val="0"/>
                  <w:vAlign w:val="center"/>
                </w:tcPr>
                <w:p w14:paraId="6F3E9564">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100</w:t>
                  </w:r>
                </w:p>
              </w:tc>
            </w:tr>
            <w:tr w14:paraId="49D66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2" w:type="dxa"/>
                  <w:noWrap w:val="0"/>
                  <w:vAlign w:val="center"/>
                </w:tcPr>
                <w:p w14:paraId="05E78FC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渑池县第二污水处理厂</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进水水质指标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1050" w:type="dxa"/>
                  <w:noWrap w:val="0"/>
                  <w:vAlign w:val="center"/>
                </w:tcPr>
                <w:p w14:paraId="2AC3EAD2">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320</w:t>
                  </w:r>
                </w:p>
              </w:tc>
              <w:tc>
                <w:tcPr>
                  <w:tcW w:w="1125" w:type="dxa"/>
                  <w:noWrap w:val="0"/>
                  <w:vAlign w:val="center"/>
                </w:tcPr>
                <w:p w14:paraId="1FBD6376">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160</w:t>
                  </w:r>
                </w:p>
              </w:tc>
              <w:tc>
                <w:tcPr>
                  <w:tcW w:w="1140" w:type="dxa"/>
                  <w:noWrap w:val="0"/>
                  <w:vAlign w:val="center"/>
                </w:tcPr>
                <w:p w14:paraId="72581B96">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300</w:t>
                  </w:r>
                </w:p>
              </w:tc>
              <w:tc>
                <w:tcPr>
                  <w:tcW w:w="1050" w:type="dxa"/>
                  <w:noWrap w:val="0"/>
                  <w:vAlign w:val="center"/>
                </w:tcPr>
                <w:p w14:paraId="4FFDFD72">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30</w:t>
                  </w:r>
                </w:p>
              </w:tc>
              <w:tc>
                <w:tcPr>
                  <w:tcW w:w="1257" w:type="dxa"/>
                  <w:noWrap w:val="0"/>
                  <w:vAlign w:val="center"/>
                </w:tcPr>
                <w:p w14:paraId="2C30DC6E">
                  <w:pPr>
                    <w:pStyle w:val="80"/>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r>
          </w:tbl>
          <w:p w14:paraId="51E96021">
            <w:pPr>
              <w:pStyle w:val="20"/>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由上表可知，在建工程②老人养护单元废水经化粪池处理后，废水水质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满足《污水综合排放标准》（GB8978-1996）表4三级标准要求，同时满足渑池县第二污水处理厂进水指标要求</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14:paraId="5D56BE64">
            <w:pPr>
              <w:pStyle w:val="20"/>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（3）噪声</w:t>
            </w:r>
          </w:p>
          <w:p w14:paraId="436A609E">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bCs/>
                <w:color w:val="000000" w:themeColor="text1"/>
                <w:sz w:val="24"/>
                <w:szCs w:val="24"/>
                <w:highlight w:val="none"/>
                <w14:textFill>
                  <w14:solidFill>
                    <w14:schemeClr w14:val="tx1"/>
                  </w14:solidFill>
                </w14:textFill>
              </w:rPr>
            </w:pP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在建</w:t>
            </w:r>
            <w:r>
              <w:rPr>
                <w:rFonts w:hint="default" w:ascii="Times New Roman" w:hAnsi="Times New Roman" w:cs="Times New Roman"/>
                <w:bCs/>
                <w:color w:val="000000" w:themeColor="text1"/>
                <w:sz w:val="24"/>
                <w:szCs w:val="24"/>
                <w:highlight w:val="none"/>
                <w14:textFill>
                  <w14:solidFill>
                    <w14:schemeClr w14:val="tx1"/>
                  </w14:solidFill>
                </w14:textFill>
              </w:rPr>
              <w:t>工程</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②</w:t>
            </w:r>
            <w:r>
              <w:rPr>
                <w:rFonts w:hint="default" w:ascii="Times New Roman" w:hAnsi="Times New Roman" w:cs="Times New Roman"/>
                <w:bCs/>
                <w:color w:val="000000" w:themeColor="text1"/>
                <w:sz w:val="24"/>
                <w:szCs w:val="24"/>
                <w:highlight w:val="none"/>
                <w14:textFill>
                  <w14:solidFill>
                    <w14:schemeClr w14:val="tx1"/>
                  </w14:solidFill>
                </w14:textFill>
              </w:rPr>
              <w:t>噪声主要</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为</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各种</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空调机组</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、风机、泵</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等</w:t>
            </w:r>
            <w:r>
              <w:rPr>
                <w:rFonts w:hint="default" w:ascii="Times New Roman" w:hAnsi="Times New Roman" w:cs="Times New Roman"/>
                <w:bCs/>
                <w:color w:val="000000" w:themeColor="text1"/>
                <w:sz w:val="24"/>
                <w:szCs w:val="24"/>
                <w:highlight w:val="none"/>
                <w14:textFill>
                  <w14:solidFill>
                    <w14:schemeClr w14:val="tx1"/>
                  </w14:solidFill>
                </w14:textFill>
              </w:rPr>
              <w:t>产生的噪声</w:t>
            </w:r>
            <w:r>
              <w:rPr>
                <w:rFonts w:hint="eastAsia" w:ascii="Times New Roman" w:hAnsi="Times New Roman"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空调机组、</w:t>
            </w:r>
            <w:r>
              <w:rPr>
                <w:rFonts w:hint="default" w:ascii="Times New Roman" w:hAnsi="Times New Roman" w:cs="Times New Roman"/>
                <w:color w:val="000000" w:themeColor="text1"/>
                <w:sz w:val="24"/>
                <w:szCs w:val="24"/>
                <w:highlight w:val="none"/>
                <w14:textFill>
                  <w14:solidFill>
                    <w14:schemeClr w14:val="tx1"/>
                  </w14:solidFill>
                </w14:textFill>
              </w:rPr>
              <w:t>送排风系统、水泵等设备均置于地下室</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对所有有振动的</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设备均设减震</w:t>
            </w:r>
            <w:r>
              <w:rPr>
                <w:rFonts w:hint="default" w:ascii="Times New Roman" w:hAnsi="Times New Roman" w:cs="Times New Roman"/>
                <w:color w:val="000000" w:themeColor="text1"/>
                <w:sz w:val="24"/>
                <w:szCs w:val="24"/>
                <w:highlight w:val="none"/>
                <w14:textFill>
                  <w14:solidFill>
                    <w14:schemeClr w14:val="tx1"/>
                  </w14:solidFill>
                </w14:textFill>
              </w:rPr>
              <w:t>基础，接管采用柔性减振接头，对所有送、排风系统作</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消声</w:t>
            </w:r>
            <w:r>
              <w:rPr>
                <w:rFonts w:hint="default" w:ascii="Times New Roman" w:hAnsi="Times New Roman" w:cs="Times New Roman"/>
                <w:color w:val="000000" w:themeColor="text1"/>
                <w:sz w:val="24"/>
                <w:szCs w:val="24"/>
                <w:highlight w:val="none"/>
                <w14:textFill>
                  <w14:solidFill>
                    <w14:schemeClr w14:val="tx1"/>
                  </w14:solidFill>
                </w14:textFill>
              </w:rPr>
              <w:t>处理。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采取以上措施后，</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院区北边界噪声满足</w:t>
            </w: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《工业企业厂界环境噪声排放标准》（GB 12348-2008）</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4</w:t>
            </w: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类标准</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，东、西、南边界</w:t>
            </w: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噪声</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满足</w:t>
            </w:r>
            <w:r>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《工业企业厂界环境噪声排放标准》（GB 12348-2008）2类标准</w:t>
            </w:r>
            <w:r>
              <w:rPr>
                <w:rFonts w:hint="default" w:ascii="Times New Roman" w:hAnsi="Times New Roman" w:cs="Times New Roman"/>
                <w:bCs/>
                <w:color w:val="000000" w:themeColor="text1"/>
                <w:sz w:val="24"/>
                <w:szCs w:val="24"/>
                <w:highlight w:val="none"/>
                <w14:textFill>
                  <w14:solidFill>
                    <w14:schemeClr w14:val="tx1"/>
                  </w14:solidFill>
                </w14:textFill>
              </w:rPr>
              <w:t>。</w:t>
            </w:r>
          </w:p>
          <w:p w14:paraId="1F62608C">
            <w:pPr>
              <w:pStyle w:val="20"/>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kern w:val="28"/>
                <w:sz w:val="24"/>
                <w:szCs w:val="24"/>
                <w:highlight w:val="none"/>
                <w:lang w:val="en-US" w:eastAsia="zh-CN"/>
                <w14:textFill>
                  <w14:solidFill>
                    <w14:schemeClr w14:val="tx1"/>
                  </w14:solidFill>
                </w14:textFill>
              </w:rPr>
              <w:t>（4）固废处置</w:t>
            </w:r>
          </w:p>
          <w:p w14:paraId="027D0C8A">
            <w:pPr>
              <w:keepNext w:val="0"/>
              <w:keepLines w:val="0"/>
              <w:pageBreakBefore w:val="0"/>
              <w:widowControl w:val="0"/>
              <w:kinsoku/>
              <w:wordWrap/>
              <w:overflowPunct/>
              <w:topLinePunct w:val="0"/>
              <w:autoSpaceDE/>
              <w:autoSpaceDN/>
              <w:bidi w:val="0"/>
              <w:adjustRightInd/>
              <w:snapToGrid/>
              <w:spacing w:line="520" w:lineRule="exact"/>
              <w:ind w:firstLine="477" w:firstLineChars="199"/>
              <w:jc w:val="both"/>
              <w:textAlignment w:val="auto"/>
              <w:rPr>
                <w:rFonts w:hint="default" w:ascii="Times New Roman" w:hAnsi="Times New Roman" w:cs="Times New Roman"/>
                <w:bCs/>
                <w:color w:val="000000" w:themeColor="text1"/>
                <w:sz w:val="24"/>
                <w:highlight w:val="none"/>
                <w14:textFill>
                  <w14:solidFill>
                    <w14:schemeClr w14:val="tx1"/>
                  </w14:solidFill>
                </w14:textFill>
              </w:rPr>
            </w:pPr>
            <w:r>
              <w:rPr>
                <w:rFonts w:hint="eastAsia" w:ascii="Times New Roman" w:hAnsi="Times New Roman" w:cs="Times New Roman"/>
                <w:bCs/>
                <w:color w:val="000000" w:themeColor="text1"/>
                <w:sz w:val="24"/>
                <w:highlight w:val="none"/>
                <w:lang w:eastAsia="zh-CN"/>
                <w14:textFill>
                  <w14:solidFill>
                    <w14:schemeClr w14:val="tx1"/>
                  </w14:solidFill>
                </w14:textFill>
              </w:rPr>
              <w:t>在建</w:t>
            </w:r>
            <w:r>
              <w:rPr>
                <w:rFonts w:hint="default" w:ascii="Times New Roman" w:hAnsi="Times New Roman" w:cs="Times New Roman"/>
                <w:bCs/>
                <w:color w:val="000000" w:themeColor="text1"/>
                <w:sz w:val="24"/>
                <w:highlight w:val="none"/>
                <w14:textFill>
                  <w14:solidFill>
                    <w14:schemeClr w14:val="tx1"/>
                  </w14:solidFill>
                </w14:textFill>
              </w:rPr>
              <w:t>工程</w:t>
            </w:r>
            <w:r>
              <w:rPr>
                <w:rFonts w:hint="eastAsia" w:ascii="Times New Roman" w:hAnsi="Times New Roman" w:cs="Times New Roman"/>
                <w:bCs/>
                <w:color w:val="000000" w:themeColor="text1"/>
                <w:sz w:val="24"/>
                <w:highlight w:val="none"/>
                <w:lang w:val="en-US" w:eastAsia="zh-CN"/>
                <w14:textFill>
                  <w14:solidFill>
                    <w14:schemeClr w14:val="tx1"/>
                  </w14:solidFill>
                </w14:textFill>
              </w:rPr>
              <w:t>②</w:t>
            </w:r>
            <w:r>
              <w:rPr>
                <w:rFonts w:hint="default" w:ascii="Times New Roman" w:hAnsi="Times New Roman" w:cs="Times New Roman"/>
                <w:bCs/>
                <w:color w:val="000000" w:themeColor="text1"/>
                <w:sz w:val="24"/>
                <w:highlight w:val="none"/>
                <w14:textFill>
                  <w14:solidFill>
                    <w14:schemeClr w14:val="tx1"/>
                  </w14:solidFill>
                </w14:textFill>
              </w:rPr>
              <w:t>医疗废物、废活性炭在危废暂存间内分类收集暂存后定期交三门峡天蓝环保科技有限公司安全处置；污水处理站脱水后的泥饼袋装密封后在污泥暂存间内暂存，定期交由三门峡天蓝环保科技有限公司安全处置；</w:t>
            </w:r>
            <w:r>
              <w:rPr>
                <w:rFonts w:hint="default" w:ascii="Times New Roman" w:hAnsi="Times New Roman" w:cs="Times New Roman"/>
                <w:bCs/>
                <w:color w:val="000000" w:themeColor="text1"/>
                <w:sz w:val="24"/>
                <w:highlight w:val="none"/>
                <w:lang w:val="en-US" w:eastAsia="zh-CN"/>
                <w14:textFill>
                  <w14:solidFill>
                    <w14:schemeClr w14:val="tx1"/>
                  </w14:solidFill>
                </w14:textFill>
              </w:rPr>
              <w:t>隔油池油渣经收集后由有资质单位处置；中药药渣和</w:t>
            </w:r>
            <w:r>
              <w:rPr>
                <w:rFonts w:hint="default" w:ascii="Times New Roman" w:hAnsi="Times New Roman" w:cs="Times New Roman"/>
                <w:bCs/>
                <w:color w:val="000000" w:themeColor="text1"/>
                <w:sz w:val="24"/>
                <w:highlight w:val="none"/>
                <w14:textFill>
                  <w14:solidFill>
                    <w14:schemeClr w14:val="tx1"/>
                  </w14:solidFill>
                </w14:textFill>
              </w:rPr>
              <w:t>生活垃圾</w:t>
            </w:r>
            <w:r>
              <w:rPr>
                <w:rFonts w:hint="default" w:ascii="Times New Roman" w:hAnsi="Times New Roman" w:cs="Times New Roman"/>
                <w:bCs/>
                <w:color w:val="000000" w:themeColor="text1"/>
                <w:sz w:val="24"/>
                <w:highlight w:val="none"/>
                <w:lang w:val="en-US" w:eastAsia="zh-CN"/>
                <w14:textFill>
                  <w14:solidFill>
                    <w14:schemeClr w14:val="tx1"/>
                  </w14:solidFill>
                </w14:textFill>
              </w:rPr>
              <w:t>经垃圾暂存站</w:t>
            </w:r>
            <w:r>
              <w:rPr>
                <w:rFonts w:hint="default" w:ascii="Times New Roman" w:hAnsi="Times New Roman" w:cs="Times New Roman"/>
                <w:bCs/>
                <w:color w:val="000000" w:themeColor="text1"/>
                <w:sz w:val="24"/>
                <w:highlight w:val="none"/>
                <w14:textFill>
                  <w14:solidFill>
                    <w14:schemeClr w14:val="tx1"/>
                  </w14:solidFill>
                </w14:textFill>
              </w:rPr>
              <w:t>收集后</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highlight w:val="none"/>
                <w14:textFill>
                  <w14:solidFill>
                    <w14:schemeClr w14:val="tx1"/>
                  </w14:solidFill>
                </w14:textFill>
              </w:rPr>
              <w:t>由环卫部门定期清运。</w:t>
            </w:r>
          </w:p>
          <w:p w14:paraId="07D32794">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431" w:hanging="431"/>
              <w:textAlignment w:val="auto"/>
              <w:rPr>
                <w:rFonts w:hint="default"/>
                <w:color w:val="000000" w:themeColor="text1"/>
                <w14:textFill>
                  <w14:solidFill>
                    <w14:schemeClr w14:val="tx1"/>
                  </w14:solidFill>
                </w14:textFill>
              </w:rPr>
            </w:pPr>
          </w:p>
          <w:p w14:paraId="69E0A155">
            <w:pPr>
              <w:pStyle w:val="194"/>
              <w:keepNext w:val="0"/>
              <w:keepLines w:val="0"/>
              <w:pageBreakBefore w:val="0"/>
              <w:widowControl w:val="0"/>
              <w:numPr>
                <w:ilvl w:val="0"/>
                <w:numId w:val="0"/>
              </w:numPr>
              <w:kinsoku/>
              <w:wordWrap/>
              <w:overflowPunct/>
              <w:topLinePunct w:val="0"/>
              <w:autoSpaceDE/>
              <w:autoSpaceDN/>
              <w:bidi w:val="0"/>
              <w:adjustRightInd w:val="0"/>
              <w:snapToGrid w:val="0"/>
              <w:spacing w:after="0" w:line="520" w:lineRule="exact"/>
              <w:jc w:val="both"/>
              <w:textAlignment w:val="baseline"/>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t>4、现有工程、在建</w:t>
            </w:r>
            <w:r>
              <w:rPr>
                <w:rFonts w:hint="default" w:ascii="Times New Roman" w:hAnsi="Times New Roman" w:eastAsia="宋体" w:cs="Times New Roman"/>
                <w:b/>
                <w:bCs w:val="0"/>
                <w:color w:val="000000" w:themeColor="text1"/>
                <w:szCs w:val="24"/>
                <w:highlight w:val="none"/>
                <w:lang w:val="en-US" w:eastAsia="zh-CN"/>
                <w14:textFill>
                  <w14:solidFill>
                    <w14:schemeClr w14:val="tx1"/>
                  </w14:solidFill>
                </w14:textFill>
              </w:rPr>
              <w:t>工程</w:t>
            </w:r>
            <w:r>
              <w:rPr>
                <w:rFonts w:hint="eastAsia" w:ascii="Times New Roman" w:hAnsi="Times New Roman" w:eastAsia="宋体" w:cs="Times New Roman"/>
                <w:b/>
                <w:bCs w:val="0"/>
                <w:color w:val="000000" w:themeColor="text1"/>
                <w:szCs w:val="24"/>
                <w:highlight w:val="none"/>
                <w:lang w:val="en-US" w:eastAsia="zh-CN"/>
                <w14:textFill>
                  <w14:solidFill>
                    <w14:schemeClr w14:val="tx1"/>
                  </w14:solidFill>
                </w14:textFill>
              </w:rPr>
              <w:t>“三废排放汇总”</w:t>
            </w:r>
          </w:p>
          <w:p w14:paraId="7207AD24">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现有工程</w:t>
            </w:r>
            <w:r>
              <w:rPr>
                <w:rFonts w:hint="eastAsia" w:ascii="Times New Roman" w:hAnsi="Times New Roman" w:cs="Times New Roman"/>
                <w:color w:val="000000" w:themeColor="text1"/>
                <w:sz w:val="24"/>
                <w:szCs w:val="24"/>
                <w:highlight w:val="none"/>
                <w:lang w:eastAsia="zh-CN"/>
                <w14:textFill>
                  <w14:solidFill>
                    <w14:schemeClr w14:val="tx1"/>
                  </w14:solidFill>
                </w14:textFill>
              </w:rPr>
              <w:t>、在建工程</w:t>
            </w:r>
            <w:r>
              <w:rPr>
                <w:rFonts w:hint="eastAsia" w:ascii="宋体" w:hAnsi="宋体" w:eastAsia="宋体" w:cs="宋体"/>
                <w:color w:val="000000" w:themeColor="text1"/>
                <w:sz w:val="24"/>
                <w:szCs w:val="24"/>
                <w:highlight w:val="none"/>
                <w14:textFill>
                  <w14:solidFill>
                    <w14:schemeClr w14:val="tx1"/>
                  </w14:solidFill>
                </w14:textFill>
              </w:rPr>
              <w:t>“三废”排</w:t>
            </w:r>
            <w:r>
              <w:rPr>
                <w:rFonts w:hint="default" w:ascii="Times New Roman" w:hAnsi="Times New Roman" w:cs="Times New Roman"/>
                <w:color w:val="000000" w:themeColor="text1"/>
                <w:sz w:val="24"/>
                <w:szCs w:val="24"/>
                <w:highlight w:val="none"/>
                <w14:textFill>
                  <w14:solidFill>
                    <w14:schemeClr w14:val="tx1"/>
                  </w14:solidFill>
                </w14:textFill>
              </w:rPr>
              <w:t>放情况见下表。</w:t>
            </w:r>
          </w:p>
          <w:p w14:paraId="0F0E4C22">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240" w:lineRule="auto"/>
              <w:ind w:firstLine="0"/>
              <w:jc w:val="center"/>
              <w:textAlignment w:val="auto"/>
              <w:rPr>
                <w:rFonts w:hint="default" w:ascii="Times New Roman" w:hAnsi="Times New Roman" w:eastAsia="黑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在建</w:t>
            </w:r>
            <w:r>
              <w:rPr>
                <w:rFonts w:hint="default" w:ascii="Times New Roman" w:hAnsi="Times New Roman" w:eastAsia="黑体" w:cs="Times New Roman"/>
                <w:color w:val="000000" w:themeColor="text1"/>
                <w:highlight w:val="none"/>
                <w:lang w:val="en-US" w:eastAsia="zh-CN"/>
                <w14:textFill>
                  <w14:solidFill>
                    <w14:schemeClr w14:val="tx1"/>
                  </w14:solidFill>
                </w14:textFill>
              </w:rPr>
              <w:t>工程</w:t>
            </w:r>
            <w:r>
              <w:rPr>
                <w:rFonts w:hint="eastAsia" w:ascii="Times New Roman" w:hAnsi="Times New Roman" w:eastAsia="黑体" w:cs="Times New Roman"/>
                <w:color w:val="000000" w:themeColor="text1"/>
                <w:highlight w:val="none"/>
                <w:lang w:val="en-US" w:eastAsia="zh-CN"/>
                <w14:textFill>
                  <w14:solidFill>
                    <w14:schemeClr w14:val="tx1"/>
                  </w14:solidFill>
                </w14:textFill>
              </w:rPr>
              <w:t>“三废”</w:t>
            </w:r>
            <w:r>
              <w:rPr>
                <w:rFonts w:hint="default" w:ascii="Times New Roman" w:hAnsi="Times New Roman" w:eastAsia="黑体" w:cs="Times New Roman"/>
                <w:color w:val="000000" w:themeColor="text1"/>
                <w:highlight w:val="none"/>
                <w:lang w:val="en-US" w:eastAsia="zh-CN"/>
                <w14:textFill>
                  <w14:solidFill>
                    <w14:schemeClr w14:val="tx1"/>
                  </w14:solidFill>
                </w14:textFill>
              </w:rPr>
              <w:t>排放情况一览表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375"/>
              <w:gridCol w:w="1400"/>
              <w:gridCol w:w="1624"/>
              <w:gridCol w:w="1487"/>
              <w:gridCol w:w="1705"/>
            </w:tblGrid>
            <w:tr w14:paraId="42F74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restart"/>
                  <w:vAlign w:val="center"/>
                </w:tcPr>
                <w:p w14:paraId="05336607">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类别</w:t>
                  </w:r>
                </w:p>
              </w:tc>
              <w:tc>
                <w:tcPr>
                  <w:tcW w:w="1375" w:type="dxa"/>
                  <w:vMerge w:val="restart"/>
                  <w:vAlign w:val="center"/>
                </w:tcPr>
                <w:p w14:paraId="1B8517C1">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污染物名称</w:t>
                  </w:r>
                </w:p>
              </w:tc>
              <w:tc>
                <w:tcPr>
                  <w:tcW w:w="1400" w:type="dxa"/>
                  <w:vMerge w:val="restart"/>
                  <w:shd w:val="clear" w:color="auto" w:fill="auto"/>
                  <w:vAlign w:val="center"/>
                </w:tcPr>
                <w:p w14:paraId="7592610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现有工程</w:t>
                  </w:r>
                  <w:r>
                    <w:rPr>
                      <w:rFonts w:hint="default" w:ascii="Times New Roman" w:hAnsi="Times New Roman" w:cs="Times New Roman"/>
                      <w:color w:val="000000" w:themeColor="text1"/>
                      <w:szCs w:val="21"/>
                      <w:highlight w:val="none"/>
                      <w14:textFill>
                        <w14:solidFill>
                          <w14:schemeClr w14:val="tx1"/>
                        </w14:solidFill>
                      </w14:textFill>
                    </w:rPr>
                    <w:t>排放量（t/a）</w:t>
                  </w:r>
                </w:p>
              </w:tc>
              <w:tc>
                <w:tcPr>
                  <w:tcW w:w="4818" w:type="dxa"/>
                  <w:gridSpan w:val="3"/>
                  <w:shd w:val="clear" w:color="auto" w:fill="auto"/>
                  <w:vAlign w:val="center"/>
                </w:tcPr>
                <w:p w14:paraId="5FF74D2D">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在建工程</w:t>
                  </w:r>
                  <w:r>
                    <w:rPr>
                      <w:rFonts w:hint="default" w:ascii="Times New Roman" w:hAnsi="Times New Roman" w:cs="Times New Roman"/>
                      <w:color w:val="000000" w:themeColor="text1"/>
                      <w:szCs w:val="21"/>
                      <w:highlight w:val="none"/>
                      <w14:textFill>
                        <w14:solidFill>
                          <w14:schemeClr w14:val="tx1"/>
                        </w14:solidFill>
                      </w14:textFill>
                    </w:rPr>
                    <w:t>（t/a）</w:t>
                  </w:r>
                </w:p>
              </w:tc>
            </w:tr>
            <w:tr w14:paraId="091D7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78144309">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Merge w:val="continue"/>
                  <w:vAlign w:val="center"/>
                </w:tcPr>
                <w:p w14:paraId="1C006C88">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400" w:type="dxa"/>
                  <w:vMerge w:val="continue"/>
                  <w:shd w:val="clear" w:color="auto" w:fill="auto"/>
                  <w:vAlign w:val="center"/>
                </w:tcPr>
                <w:p w14:paraId="4493A24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25" w:type="dxa"/>
                  <w:shd w:val="clear" w:color="auto" w:fill="auto"/>
                  <w:vAlign w:val="center"/>
                </w:tcPr>
                <w:p w14:paraId="641B8F12">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在建工程</w:t>
                  </w:r>
                  <w:r>
                    <w:rPr>
                      <w:rFonts w:hint="eastAsia" w:ascii="Times New Roman" w:hAnsi="Times New Roman" w:cs="Times New Roman"/>
                      <w:color w:val="000000" w:themeColor="text1"/>
                      <w:szCs w:val="21"/>
                      <w:highlight w:val="none"/>
                      <w:lang w:val="en-US" w:eastAsia="zh-CN"/>
                      <w14:textFill>
                        <w14:solidFill>
                          <w14:schemeClr w14:val="tx1"/>
                        </w14:solidFill>
                      </w14:textFill>
                    </w:rPr>
                    <w:t>①</w:t>
                  </w:r>
                  <w:r>
                    <w:rPr>
                      <w:rFonts w:hint="default" w:ascii="Times New Roman" w:hAnsi="Times New Roman" w:cs="Times New Roman"/>
                      <w:color w:val="000000" w:themeColor="text1"/>
                      <w:szCs w:val="21"/>
                      <w:highlight w:val="none"/>
                      <w14:textFill>
                        <w14:solidFill>
                          <w14:schemeClr w14:val="tx1"/>
                        </w14:solidFill>
                      </w14:textFill>
                    </w:rPr>
                    <w:t>排放量（t/a）</w:t>
                  </w:r>
                </w:p>
              </w:tc>
              <w:tc>
                <w:tcPr>
                  <w:tcW w:w="1487" w:type="dxa"/>
                  <w:shd w:val="clear" w:color="auto" w:fill="auto"/>
                  <w:vAlign w:val="center"/>
                </w:tcPr>
                <w:p w14:paraId="7876BFE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eastAsia="zh-CN"/>
                      <w14:textFill>
                        <w14:solidFill>
                          <w14:schemeClr w14:val="tx1"/>
                        </w14:solidFill>
                      </w14:textFill>
                    </w:rPr>
                    <w:t>在建工程</w:t>
                  </w:r>
                  <w:r>
                    <w:rPr>
                      <w:rFonts w:hint="eastAsia" w:ascii="Times New Roman" w:hAnsi="Times New Roman" w:cs="Times New Roman"/>
                      <w:color w:val="000000" w:themeColor="text1"/>
                      <w:szCs w:val="21"/>
                      <w:highlight w:val="none"/>
                      <w:lang w:val="en-US" w:eastAsia="zh-CN"/>
                      <w14:textFill>
                        <w14:solidFill>
                          <w14:schemeClr w14:val="tx1"/>
                        </w14:solidFill>
                      </w14:textFill>
                    </w:rPr>
                    <w:t>②</w:t>
                  </w:r>
                  <w:r>
                    <w:rPr>
                      <w:rFonts w:hint="default" w:ascii="Times New Roman" w:hAnsi="Times New Roman" w:cs="Times New Roman"/>
                      <w:color w:val="000000" w:themeColor="text1"/>
                      <w:szCs w:val="21"/>
                      <w:highlight w:val="none"/>
                      <w14:textFill>
                        <w14:solidFill>
                          <w14:schemeClr w14:val="tx1"/>
                        </w14:solidFill>
                      </w14:textFill>
                    </w:rPr>
                    <w:t>排放量（t/a）</w:t>
                  </w:r>
                </w:p>
              </w:tc>
              <w:tc>
                <w:tcPr>
                  <w:tcW w:w="1706" w:type="dxa"/>
                  <w:shd w:val="clear" w:color="auto" w:fill="auto"/>
                  <w:vAlign w:val="center"/>
                </w:tcPr>
                <w:p w14:paraId="3A91E116">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合计</w:t>
                  </w:r>
                  <w:r>
                    <w:rPr>
                      <w:rFonts w:hint="default" w:ascii="Times New Roman" w:hAnsi="Times New Roman" w:cs="Times New Roman"/>
                      <w:color w:val="000000" w:themeColor="text1"/>
                      <w:szCs w:val="21"/>
                      <w:highlight w:val="none"/>
                      <w14:textFill>
                        <w14:solidFill>
                          <w14:schemeClr w14:val="tx1"/>
                        </w14:solidFill>
                      </w14:textFill>
                    </w:rPr>
                    <w:t>（t/a）</w:t>
                  </w:r>
                </w:p>
              </w:tc>
            </w:tr>
            <w:tr w14:paraId="75FA9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restart"/>
                  <w:vAlign w:val="center"/>
                </w:tcPr>
                <w:p w14:paraId="5513BAC0">
                  <w:pPr>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废气</w:t>
                  </w:r>
                </w:p>
              </w:tc>
              <w:tc>
                <w:tcPr>
                  <w:tcW w:w="1375" w:type="dxa"/>
                  <w:vAlign w:val="center"/>
                </w:tcPr>
                <w:p w14:paraId="3D5D8804">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NH</w:t>
                  </w:r>
                  <w:r>
                    <w:rPr>
                      <w:rFonts w:hint="eastAsia" w:ascii="Times New Roman" w:hAnsi="Times New Roman" w:cs="Times New Roman"/>
                      <w:color w:val="000000" w:themeColor="text1"/>
                      <w:szCs w:val="21"/>
                      <w:highlight w:val="none"/>
                      <w:vertAlign w:val="subscript"/>
                      <w:lang w:val="en-US" w:eastAsia="zh-CN"/>
                      <w14:textFill>
                        <w14:solidFill>
                          <w14:schemeClr w14:val="tx1"/>
                        </w14:solidFill>
                      </w14:textFill>
                    </w:rPr>
                    <w:t>3</w:t>
                  </w:r>
                </w:p>
              </w:tc>
              <w:tc>
                <w:tcPr>
                  <w:tcW w:w="1400" w:type="dxa"/>
                  <w:shd w:val="clear" w:color="auto" w:fill="auto"/>
                  <w:vAlign w:val="center"/>
                </w:tcPr>
                <w:p w14:paraId="54C23E55">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0.0269</w:t>
                  </w:r>
                </w:p>
              </w:tc>
              <w:tc>
                <w:tcPr>
                  <w:tcW w:w="1625" w:type="dxa"/>
                  <w:shd w:val="clear" w:color="auto" w:fill="auto"/>
                  <w:vAlign w:val="center"/>
                </w:tcPr>
                <w:p w14:paraId="5C5EBFB7">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0.0038</w:t>
                  </w:r>
                </w:p>
              </w:tc>
              <w:tc>
                <w:tcPr>
                  <w:tcW w:w="1487" w:type="dxa"/>
                  <w:shd w:val="clear" w:color="auto" w:fill="auto"/>
                  <w:vAlign w:val="center"/>
                </w:tcPr>
                <w:p w14:paraId="210C6902">
                  <w:pPr>
                    <w:spacing w:beforeLines="0" w:afterLines="0" w:line="240" w:lineRule="auto"/>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0.0052</w:t>
                  </w:r>
                </w:p>
              </w:tc>
              <w:tc>
                <w:tcPr>
                  <w:tcW w:w="1706" w:type="dxa"/>
                  <w:shd w:val="clear" w:color="auto" w:fill="auto"/>
                  <w:vAlign w:val="center"/>
                </w:tcPr>
                <w:p w14:paraId="67301845">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0.009</w:t>
                  </w:r>
                </w:p>
              </w:tc>
            </w:tr>
            <w:tr w14:paraId="1755D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6AB0054D">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1375" w:type="dxa"/>
                  <w:vAlign w:val="center"/>
                </w:tcPr>
                <w:p w14:paraId="5F247392">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H</w:t>
                  </w:r>
                  <w:r>
                    <w:rPr>
                      <w:rFonts w:hint="eastAsia" w:ascii="Times New Roman" w:hAnsi="Times New Roman" w:cs="Times New Roman"/>
                      <w:color w:val="000000" w:themeColor="text1"/>
                      <w:szCs w:val="21"/>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Cs w:val="21"/>
                      <w:highlight w:val="none"/>
                      <w:lang w:val="en-US" w:eastAsia="zh-CN"/>
                      <w14:textFill>
                        <w14:solidFill>
                          <w14:schemeClr w14:val="tx1"/>
                        </w14:solidFill>
                      </w14:textFill>
                    </w:rPr>
                    <w:t>S</w:t>
                  </w:r>
                </w:p>
              </w:tc>
              <w:tc>
                <w:tcPr>
                  <w:tcW w:w="1400" w:type="dxa"/>
                  <w:shd w:val="clear" w:color="auto" w:fill="auto"/>
                  <w:vAlign w:val="center"/>
                </w:tcPr>
                <w:p w14:paraId="1BFE43DB">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0.001</w:t>
                  </w:r>
                </w:p>
              </w:tc>
              <w:tc>
                <w:tcPr>
                  <w:tcW w:w="1625" w:type="dxa"/>
                  <w:shd w:val="clear" w:color="auto" w:fill="auto"/>
                  <w:vAlign w:val="center"/>
                </w:tcPr>
                <w:p w14:paraId="466E5003">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0.001</w:t>
                  </w:r>
                </w:p>
              </w:tc>
              <w:tc>
                <w:tcPr>
                  <w:tcW w:w="1487" w:type="dxa"/>
                  <w:shd w:val="clear" w:color="auto" w:fill="auto"/>
                  <w:vAlign w:val="center"/>
                </w:tcPr>
                <w:p w14:paraId="50F892C9">
                  <w:pPr>
                    <w:spacing w:beforeLines="0" w:afterLines="0" w:line="240" w:lineRule="auto"/>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0.0002</w:t>
                  </w:r>
                </w:p>
              </w:tc>
              <w:tc>
                <w:tcPr>
                  <w:tcW w:w="1706" w:type="dxa"/>
                  <w:shd w:val="clear" w:color="auto" w:fill="auto"/>
                  <w:vAlign w:val="center"/>
                </w:tcPr>
                <w:p w14:paraId="750FB4C0">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0.0012</w:t>
                  </w:r>
                </w:p>
              </w:tc>
            </w:tr>
            <w:tr w14:paraId="254F2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2A5D4628">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1375" w:type="dxa"/>
                  <w:vAlign w:val="center"/>
                </w:tcPr>
                <w:p w14:paraId="0A885CFE">
                  <w:pPr>
                    <w:spacing w:line="0" w:lineRule="atLeast"/>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SO</w:t>
                  </w:r>
                  <w:r>
                    <w:rPr>
                      <w:rFonts w:hint="eastAsia" w:ascii="Times New Roman" w:hAnsi="Times New Roman" w:eastAsia="宋体" w:cs="Times New Roman"/>
                      <w:bCs/>
                      <w:color w:val="000000" w:themeColor="text1"/>
                      <w:szCs w:val="21"/>
                      <w:vertAlign w:val="subscript"/>
                      <w:lang w:val="en-US" w:eastAsia="zh-CN"/>
                      <w14:textFill>
                        <w14:solidFill>
                          <w14:schemeClr w14:val="tx1"/>
                        </w14:solidFill>
                      </w14:textFill>
                    </w:rPr>
                    <w:t>2</w:t>
                  </w:r>
                </w:p>
              </w:tc>
              <w:tc>
                <w:tcPr>
                  <w:tcW w:w="1400" w:type="dxa"/>
                  <w:shd w:val="clear" w:color="auto" w:fill="auto"/>
                  <w:vAlign w:val="center"/>
                </w:tcPr>
                <w:p w14:paraId="6A63CDE4">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w:t>
                  </w:r>
                </w:p>
              </w:tc>
              <w:tc>
                <w:tcPr>
                  <w:tcW w:w="1625" w:type="dxa"/>
                  <w:shd w:val="clear" w:color="auto" w:fill="auto"/>
                  <w:vAlign w:val="center"/>
                </w:tcPr>
                <w:p w14:paraId="0C24841A">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w:t>
                  </w:r>
                </w:p>
              </w:tc>
              <w:tc>
                <w:tcPr>
                  <w:tcW w:w="1487" w:type="dxa"/>
                  <w:shd w:val="clear" w:color="auto" w:fill="auto"/>
                  <w:vAlign w:val="center"/>
                </w:tcPr>
                <w:p w14:paraId="2B93FFB7">
                  <w:pPr>
                    <w:keepNext w:val="0"/>
                    <w:keepLines w:val="0"/>
                    <w:pageBreakBefore w:val="0"/>
                    <w:widowControl w:val="0"/>
                    <w:kinsoku/>
                    <w:wordWrap/>
                    <w:overflowPunct/>
                    <w:topLinePunct w:val="0"/>
                    <w:bidi w:val="0"/>
                    <w:adjustRightInd/>
                    <w:snapToGrid/>
                    <w:spacing w:line="0" w:lineRule="atLeast"/>
                    <w:ind w:left="-105" w:leftChars="-50" w:right="-105" w:rightChars="-50"/>
                    <w:jc w:val="center"/>
                    <w:textAlignment w:val="baseline"/>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黑体" w:cs="Times New Roman"/>
                      <w:color w:val="000000" w:themeColor="text1"/>
                      <w:szCs w:val="21"/>
                      <w:lang w:val="en-US" w:eastAsia="zh-CN"/>
                      <w14:textFill>
                        <w14:solidFill>
                          <w14:schemeClr w14:val="tx1"/>
                        </w14:solidFill>
                      </w14:textFill>
                    </w:rPr>
                    <w:t>0.0001</w:t>
                  </w:r>
                </w:p>
              </w:tc>
              <w:tc>
                <w:tcPr>
                  <w:tcW w:w="1706" w:type="dxa"/>
                  <w:shd w:val="clear" w:color="auto" w:fill="auto"/>
                  <w:vAlign w:val="center"/>
                </w:tcPr>
                <w:p w14:paraId="7BEE868A">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0.0001</w:t>
                  </w:r>
                </w:p>
              </w:tc>
            </w:tr>
            <w:tr w14:paraId="66485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0E9AC0F0">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1375" w:type="dxa"/>
                  <w:vAlign w:val="center"/>
                </w:tcPr>
                <w:p w14:paraId="5F6B149B">
                  <w:pPr>
                    <w:spacing w:line="0" w:lineRule="atLeast"/>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颗粒物</w:t>
                  </w:r>
                </w:p>
              </w:tc>
              <w:tc>
                <w:tcPr>
                  <w:tcW w:w="1400" w:type="dxa"/>
                  <w:shd w:val="clear" w:color="auto" w:fill="auto"/>
                  <w:vAlign w:val="center"/>
                </w:tcPr>
                <w:p w14:paraId="2C18AD9D">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w:t>
                  </w:r>
                </w:p>
              </w:tc>
              <w:tc>
                <w:tcPr>
                  <w:tcW w:w="1625" w:type="dxa"/>
                  <w:shd w:val="clear" w:color="auto" w:fill="auto"/>
                  <w:vAlign w:val="center"/>
                </w:tcPr>
                <w:p w14:paraId="31728893">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w:t>
                  </w:r>
                </w:p>
              </w:tc>
              <w:tc>
                <w:tcPr>
                  <w:tcW w:w="1487" w:type="dxa"/>
                  <w:shd w:val="clear" w:color="auto" w:fill="auto"/>
                  <w:vAlign w:val="center"/>
                </w:tcPr>
                <w:p w14:paraId="0196E7C2">
                  <w:pPr>
                    <w:keepNext w:val="0"/>
                    <w:keepLines w:val="0"/>
                    <w:pageBreakBefore w:val="0"/>
                    <w:widowControl w:val="0"/>
                    <w:kinsoku/>
                    <w:wordWrap/>
                    <w:overflowPunct/>
                    <w:topLinePunct w:val="0"/>
                    <w:bidi w:val="0"/>
                    <w:adjustRightInd/>
                    <w:snapToGrid/>
                    <w:spacing w:line="0" w:lineRule="atLeast"/>
                    <w:ind w:left="-105" w:leftChars="-50" w:right="-105" w:rightChars="-50"/>
                    <w:jc w:val="center"/>
                    <w:textAlignment w:val="baseline"/>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黑体" w:cs="Times New Roman"/>
                      <w:color w:val="000000" w:themeColor="text1"/>
                      <w:szCs w:val="21"/>
                      <w:lang w:val="en-US" w:eastAsia="zh-CN"/>
                      <w14:textFill>
                        <w14:solidFill>
                          <w14:schemeClr w14:val="tx1"/>
                        </w14:solidFill>
                      </w14:textFill>
                    </w:rPr>
                    <w:t>0.0189</w:t>
                  </w:r>
                </w:p>
              </w:tc>
              <w:tc>
                <w:tcPr>
                  <w:tcW w:w="1706" w:type="dxa"/>
                  <w:shd w:val="clear" w:color="auto" w:fill="auto"/>
                  <w:vAlign w:val="center"/>
                </w:tcPr>
                <w:p w14:paraId="7F47D443">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0.0189</w:t>
                  </w:r>
                </w:p>
              </w:tc>
            </w:tr>
            <w:tr w14:paraId="1630A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34BF9745">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05197087">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油烟</w:t>
                  </w:r>
                </w:p>
              </w:tc>
              <w:tc>
                <w:tcPr>
                  <w:tcW w:w="1400" w:type="dxa"/>
                  <w:shd w:val="clear" w:color="auto" w:fill="auto"/>
                  <w:vAlign w:val="center"/>
                </w:tcPr>
                <w:p w14:paraId="00C259B6">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0.02</w:t>
                  </w:r>
                </w:p>
              </w:tc>
              <w:tc>
                <w:tcPr>
                  <w:tcW w:w="1625" w:type="dxa"/>
                  <w:shd w:val="clear" w:color="auto" w:fill="auto"/>
                  <w:vAlign w:val="center"/>
                </w:tcPr>
                <w:p w14:paraId="7482EAC8">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0.0001</w:t>
                  </w:r>
                </w:p>
              </w:tc>
              <w:tc>
                <w:tcPr>
                  <w:tcW w:w="1487" w:type="dxa"/>
                  <w:shd w:val="clear" w:color="auto" w:fill="auto"/>
                  <w:vAlign w:val="center"/>
                </w:tcPr>
                <w:p w14:paraId="56556763">
                  <w:pPr>
                    <w:spacing w:beforeLines="0" w:afterLines="0" w:line="240" w:lineRule="auto"/>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0.0365</w:t>
                  </w:r>
                </w:p>
              </w:tc>
              <w:tc>
                <w:tcPr>
                  <w:tcW w:w="1706" w:type="dxa"/>
                  <w:shd w:val="clear" w:color="auto" w:fill="auto"/>
                  <w:vAlign w:val="center"/>
                </w:tcPr>
                <w:p w14:paraId="0B373D26">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0.0366</w:t>
                  </w:r>
                </w:p>
              </w:tc>
            </w:tr>
            <w:tr w14:paraId="63614C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7513ED45">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4E2FA90C">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CO</w:t>
                  </w:r>
                </w:p>
              </w:tc>
              <w:tc>
                <w:tcPr>
                  <w:tcW w:w="1400" w:type="dxa"/>
                  <w:shd w:val="clear" w:color="auto" w:fill="auto"/>
                  <w:vAlign w:val="center"/>
                </w:tcPr>
                <w:p w14:paraId="2BB3A084">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0.581</w:t>
                  </w:r>
                </w:p>
              </w:tc>
              <w:tc>
                <w:tcPr>
                  <w:tcW w:w="1625" w:type="dxa"/>
                  <w:shd w:val="clear" w:color="auto" w:fill="auto"/>
                  <w:vAlign w:val="center"/>
                </w:tcPr>
                <w:p w14:paraId="699F0D46">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1487" w:type="dxa"/>
                  <w:shd w:val="clear" w:color="auto" w:fill="auto"/>
                  <w:vAlign w:val="center"/>
                </w:tcPr>
                <w:p w14:paraId="6D9879C5">
                  <w:pPr>
                    <w:spacing w:beforeLines="0" w:afterLines="0" w:line="240" w:lineRule="auto"/>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1.3179</w:t>
                  </w:r>
                </w:p>
              </w:tc>
              <w:tc>
                <w:tcPr>
                  <w:tcW w:w="1706" w:type="dxa"/>
                  <w:shd w:val="clear" w:color="auto" w:fill="auto"/>
                  <w:vAlign w:val="center"/>
                </w:tcPr>
                <w:p w14:paraId="4EE25D1B">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1.3179</w:t>
                  </w:r>
                </w:p>
              </w:tc>
            </w:tr>
            <w:tr w14:paraId="21539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40F33D04">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4F85BEFD">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THC</w:t>
                  </w:r>
                </w:p>
              </w:tc>
              <w:tc>
                <w:tcPr>
                  <w:tcW w:w="1400" w:type="dxa"/>
                  <w:shd w:val="clear" w:color="auto" w:fill="auto"/>
                  <w:vAlign w:val="center"/>
                </w:tcPr>
                <w:p w14:paraId="685F543A">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0.073</w:t>
                  </w:r>
                </w:p>
              </w:tc>
              <w:tc>
                <w:tcPr>
                  <w:tcW w:w="1625" w:type="dxa"/>
                  <w:shd w:val="clear" w:color="auto" w:fill="auto"/>
                  <w:vAlign w:val="center"/>
                </w:tcPr>
                <w:p w14:paraId="3746BF85">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1487" w:type="dxa"/>
                  <w:shd w:val="clear" w:color="auto" w:fill="auto"/>
                  <w:vAlign w:val="center"/>
                </w:tcPr>
                <w:p w14:paraId="346872B3">
                  <w:pPr>
                    <w:spacing w:beforeLines="0" w:afterLines="0" w:line="240" w:lineRule="auto"/>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0.1663</w:t>
                  </w:r>
                </w:p>
              </w:tc>
              <w:tc>
                <w:tcPr>
                  <w:tcW w:w="1706" w:type="dxa"/>
                  <w:shd w:val="clear" w:color="auto" w:fill="auto"/>
                  <w:vAlign w:val="center"/>
                </w:tcPr>
                <w:p w14:paraId="145ADAAD">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0.1663</w:t>
                  </w:r>
                </w:p>
              </w:tc>
            </w:tr>
            <w:tr w14:paraId="68CD9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568FE1A9">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36A7BD2B">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NOx</w:t>
                  </w:r>
                </w:p>
              </w:tc>
              <w:tc>
                <w:tcPr>
                  <w:tcW w:w="1400" w:type="dxa"/>
                  <w:shd w:val="clear" w:color="auto" w:fill="auto"/>
                  <w:vAlign w:val="center"/>
                </w:tcPr>
                <w:p w14:paraId="48891FA8">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0.0068</w:t>
                  </w:r>
                </w:p>
              </w:tc>
              <w:tc>
                <w:tcPr>
                  <w:tcW w:w="1625" w:type="dxa"/>
                  <w:shd w:val="clear" w:color="auto" w:fill="auto"/>
                  <w:vAlign w:val="center"/>
                </w:tcPr>
                <w:p w14:paraId="1FCDE2FC">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1487" w:type="dxa"/>
                  <w:shd w:val="clear" w:color="auto" w:fill="auto"/>
                  <w:vAlign w:val="center"/>
                </w:tcPr>
                <w:p w14:paraId="31F69DCA">
                  <w:pPr>
                    <w:spacing w:beforeLines="0" w:afterLines="0" w:line="240" w:lineRule="auto"/>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0.3605</w:t>
                  </w:r>
                </w:p>
              </w:tc>
              <w:tc>
                <w:tcPr>
                  <w:tcW w:w="1706" w:type="dxa"/>
                  <w:shd w:val="clear" w:color="auto" w:fill="auto"/>
                  <w:vAlign w:val="center"/>
                </w:tcPr>
                <w:p w14:paraId="5C0B8C9E">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0.3605</w:t>
                  </w:r>
                </w:p>
              </w:tc>
            </w:tr>
            <w:tr w14:paraId="0F6B4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restart"/>
                  <w:vAlign w:val="center"/>
                </w:tcPr>
                <w:p w14:paraId="24544F6D">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废水</w:t>
                  </w:r>
                </w:p>
              </w:tc>
              <w:tc>
                <w:tcPr>
                  <w:tcW w:w="1375" w:type="dxa"/>
                  <w:vAlign w:val="center"/>
                </w:tcPr>
                <w:p w14:paraId="19B9C2D6">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COD</w:t>
                  </w:r>
                </w:p>
              </w:tc>
              <w:tc>
                <w:tcPr>
                  <w:tcW w:w="1400" w:type="dxa"/>
                  <w:shd w:val="clear" w:color="auto" w:fill="auto"/>
                  <w:vAlign w:val="center"/>
                </w:tcPr>
                <w:p w14:paraId="66FE9C37">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4.1179</w:t>
                  </w:r>
                </w:p>
              </w:tc>
              <w:tc>
                <w:tcPr>
                  <w:tcW w:w="1625" w:type="dxa"/>
                  <w:shd w:val="clear" w:color="auto" w:fill="auto"/>
                  <w:vAlign w:val="center"/>
                </w:tcPr>
                <w:p w14:paraId="1E4408C0">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1.3238</w:t>
                  </w:r>
                </w:p>
              </w:tc>
              <w:tc>
                <w:tcPr>
                  <w:tcW w:w="1487" w:type="dxa"/>
                  <w:shd w:val="clear" w:color="auto" w:fill="auto"/>
                  <w:vAlign w:val="center"/>
                </w:tcPr>
                <w:p w14:paraId="0F0D974F">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9.6827</w:t>
                  </w:r>
                </w:p>
              </w:tc>
              <w:tc>
                <w:tcPr>
                  <w:tcW w:w="1706" w:type="dxa"/>
                  <w:shd w:val="clear" w:color="auto" w:fill="auto"/>
                  <w:vAlign w:val="center"/>
                </w:tcPr>
                <w:p w14:paraId="576A7A49">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11.0065</w:t>
                  </w:r>
                </w:p>
              </w:tc>
            </w:tr>
            <w:tr w14:paraId="3C818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311666A5">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3BB517AF">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BOD</w:t>
                  </w:r>
                  <w:r>
                    <w:rPr>
                      <w:rFonts w:hint="eastAsia" w:ascii="Times New Roman" w:hAnsi="Times New Roman" w:cs="Times New Roman"/>
                      <w:color w:val="000000" w:themeColor="text1"/>
                      <w:szCs w:val="21"/>
                      <w:highlight w:val="none"/>
                      <w:vertAlign w:val="subscript"/>
                      <w:lang w:val="en-US" w:eastAsia="zh-CN"/>
                      <w14:textFill>
                        <w14:solidFill>
                          <w14:schemeClr w14:val="tx1"/>
                        </w14:solidFill>
                      </w14:textFill>
                    </w:rPr>
                    <w:t>5</w:t>
                  </w:r>
                </w:p>
              </w:tc>
              <w:tc>
                <w:tcPr>
                  <w:tcW w:w="1400" w:type="dxa"/>
                  <w:shd w:val="clear" w:color="auto" w:fill="auto"/>
                  <w:vAlign w:val="center"/>
                </w:tcPr>
                <w:p w14:paraId="1D31D7C6">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0.9628</w:t>
                  </w:r>
                </w:p>
              </w:tc>
              <w:tc>
                <w:tcPr>
                  <w:tcW w:w="1625" w:type="dxa"/>
                  <w:shd w:val="clear" w:color="auto" w:fill="auto"/>
                  <w:vAlign w:val="center"/>
                </w:tcPr>
                <w:p w14:paraId="4DDD81E8">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0.3971</w:t>
                  </w:r>
                </w:p>
              </w:tc>
              <w:tc>
                <w:tcPr>
                  <w:tcW w:w="1487" w:type="dxa"/>
                  <w:shd w:val="clear" w:color="auto" w:fill="auto"/>
                  <w:vAlign w:val="center"/>
                </w:tcPr>
                <w:p w14:paraId="4CF49C75">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5.4273</w:t>
                  </w:r>
                </w:p>
              </w:tc>
              <w:tc>
                <w:tcPr>
                  <w:tcW w:w="1706" w:type="dxa"/>
                  <w:shd w:val="clear" w:color="auto" w:fill="auto"/>
                  <w:vAlign w:val="center"/>
                </w:tcPr>
                <w:p w14:paraId="58632A3F">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5.8244</w:t>
                  </w:r>
                </w:p>
              </w:tc>
            </w:tr>
            <w:tr w14:paraId="7CC64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67D4560E">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459554B6">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SS</w:t>
                  </w:r>
                </w:p>
              </w:tc>
              <w:tc>
                <w:tcPr>
                  <w:tcW w:w="1400" w:type="dxa"/>
                  <w:shd w:val="clear" w:color="auto" w:fill="auto"/>
                  <w:vAlign w:val="center"/>
                </w:tcPr>
                <w:p w14:paraId="29DA96C3">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2.4359</w:t>
                  </w:r>
                </w:p>
              </w:tc>
              <w:tc>
                <w:tcPr>
                  <w:tcW w:w="1625" w:type="dxa"/>
                  <w:shd w:val="clear" w:color="auto" w:fill="auto"/>
                  <w:vAlign w:val="center"/>
                </w:tcPr>
                <w:p w14:paraId="75918C64">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0.3177</w:t>
                  </w:r>
                </w:p>
              </w:tc>
              <w:tc>
                <w:tcPr>
                  <w:tcW w:w="1487" w:type="dxa"/>
                  <w:shd w:val="clear" w:color="auto" w:fill="auto"/>
                  <w:vAlign w:val="center"/>
                </w:tcPr>
                <w:p w14:paraId="4E5F07C6">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6.3655</w:t>
                  </w:r>
                </w:p>
              </w:tc>
              <w:tc>
                <w:tcPr>
                  <w:tcW w:w="1706" w:type="dxa"/>
                  <w:shd w:val="clear" w:color="auto" w:fill="auto"/>
                  <w:vAlign w:val="center"/>
                </w:tcPr>
                <w:p w14:paraId="59719CC8">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6.6832</w:t>
                  </w:r>
                </w:p>
              </w:tc>
            </w:tr>
            <w:tr w14:paraId="797F0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3CC824BF">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4D54E5A0">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NH</w:t>
                  </w:r>
                  <w:r>
                    <w:rPr>
                      <w:rFonts w:hint="default" w:ascii="Times New Roman" w:hAnsi="Times New Roman" w:cs="Times New Roman"/>
                      <w:color w:val="000000" w:themeColor="text1"/>
                      <w:szCs w:val="21"/>
                      <w:highlight w:val="none"/>
                      <w:vertAlign w:val="subscript"/>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-N</w:t>
                  </w:r>
                </w:p>
              </w:tc>
              <w:tc>
                <w:tcPr>
                  <w:tcW w:w="1400" w:type="dxa"/>
                  <w:shd w:val="clear" w:color="auto" w:fill="auto"/>
                  <w:vAlign w:val="center"/>
                </w:tcPr>
                <w:p w14:paraId="6FE5BC85">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0.8387</w:t>
                  </w:r>
                </w:p>
              </w:tc>
              <w:tc>
                <w:tcPr>
                  <w:tcW w:w="1625" w:type="dxa"/>
                  <w:shd w:val="clear" w:color="auto" w:fill="auto"/>
                  <w:vAlign w:val="center"/>
                </w:tcPr>
                <w:p w14:paraId="5EACD0F3">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0.2648</w:t>
                  </w:r>
                </w:p>
              </w:tc>
              <w:tc>
                <w:tcPr>
                  <w:tcW w:w="1487" w:type="dxa"/>
                  <w:shd w:val="clear" w:color="auto" w:fill="auto"/>
                  <w:vAlign w:val="center"/>
                </w:tcPr>
                <w:p w14:paraId="3C5E5D8C">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1.2547</w:t>
                  </w:r>
                </w:p>
              </w:tc>
              <w:tc>
                <w:tcPr>
                  <w:tcW w:w="1706" w:type="dxa"/>
                  <w:shd w:val="clear" w:color="auto" w:fill="auto"/>
                  <w:vAlign w:val="center"/>
                </w:tcPr>
                <w:p w14:paraId="63A84527">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1.5195</w:t>
                  </w:r>
                </w:p>
              </w:tc>
            </w:tr>
            <w:tr w14:paraId="3C392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0C6FBCEB">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653134E2">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动植物油</w:t>
                  </w:r>
                </w:p>
              </w:tc>
              <w:tc>
                <w:tcPr>
                  <w:tcW w:w="1400" w:type="dxa"/>
                  <w:shd w:val="clear" w:color="auto" w:fill="auto"/>
                  <w:vAlign w:val="center"/>
                </w:tcPr>
                <w:p w14:paraId="0ECE6624">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0.0313</w:t>
                  </w:r>
                </w:p>
              </w:tc>
              <w:tc>
                <w:tcPr>
                  <w:tcW w:w="1625" w:type="dxa"/>
                  <w:shd w:val="clear" w:color="auto" w:fill="auto"/>
                  <w:vAlign w:val="center"/>
                </w:tcPr>
                <w:p w14:paraId="555E0997">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0.0159</w:t>
                  </w:r>
                </w:p>
              </w:tc>
              <w:tc>
                <w:tcPr>
                  <w:tcW w:w="1487" w:type="dxa"/>
                  <w:shd w:val="clear" w:color="auto" w:fill="auto"/>
                  <w:vAlign w:val="center"/>
                </w:tcPr>
                <w:p w14:paraId="7BBFAEAA">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0.2286</w:t>
                  </w:r>
                </w:p>
              </w:tc>
              <w:tc>
                <w:tcPr>
                  <w:tcW w:w="1706" w:type="dxa"/>
                  <w:shd w:val="clear" w:color="auto" w:fill="auto"/>
                  <w:vAlign w:val="center"/>
                </w:tcPr>
                <w:p w14:paraId="1F418F09">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0.2445</w:t>
                  </w:r>
                </w:p>
              </w:tc>
            </w:tr>
            <w:tr w14:paraId="52B58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1FD7B618">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293087FD">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粪大肠菌群</w:t>
                  </w:r>
                </w:p>
              </w:tc>
              <w:tc>
                <w:tcPr>
                  <w:tcW w:w="1400" w:type="dxa"/>
                  <w:shd w:val="clear" w:color="auto" w:fill="auto"/>
                  <w:vAlign w:val="center"/>
                </w:tcPr>
                <w:p w14:paraId="28B64C77">
                  <w:pPr>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1625" w:type="dxa"/>
                  <w:shd w:val="clear" w:color="auto" w:fill="auto"/>
                  <w:vAlign w:val="center"/>
                </w:tcPr>
                <w:p w14:paraId="688C96D5">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487" w:type="dxa"/>
                  <w:shd w:val="clear" w:color="auto" w:fill="auto"/>
                  <w:vAlign w:val="center"/>
                </w:tcPr>
                <w:p w14:paraId="3DC29533">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706" w:type="dxa"/>
                  <w:shd w:val="clear" w:color="auto" w:fill="auto"/>
                  <w:vAlign w:val="center"/>
                </w:tcPr>
                <w:p w14:paraId="6315A835">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0</w:t>
                  </w:r>
                </w:p>
              </w:tc>
            </w:tr>
            <w:tr w14:paraId="01097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75BD3E96">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2D0104F6">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阴离子表面活性剂</w:t>
                  </w:r>
                </w:p>
              </w:tc>
              <w:tc>
                <w:tcPr>
                  <w:tcW w:w="1400" w:type="dxa"/>
                  <w:shd w:val="clear" w:color="auto" w:fill="auto"/>
                  <w:vAlign w:val="center"/>
                </w:tcPr>
                <w:p w14:paraId="2C7BD8C3">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0.116</w:t>
                  </w:r>
                </w:p>
              </w:tc>
              <w:tc>
                <w:tcPr>
                  <w:tcW w:w="1625" w:type="dxa"/>
                  <w:shd w:val="clear" w:color="auto" w:fill="auto"/>
                  <w:vAlign w:val="center"/>
                </w:tcPr>
                <w:p w14:paraId="48E9009D">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0.053</w:t>
                  </w:r>
                </w:p>
              </w:tc>
              <w:tc>
                <w:tcPr>
                  <w:tcW w:w="1487" w:type="dxa"/>
                  <w:shd w:val="clear" w:color="auto" w:fill="auto"/>
                  <w:vAlign w:val="center"/>
                </w:tcPr>
                <w:p w14:paraId="20029493">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0.0687</w:t>
                  </w:r>
                </w:p>
              </w:tc>
              <w:tc>
                <w:tcPr>
                  <w:tcW w:w="1706" w:type="dxa"/>
                  <w:shd w:val="clear" w:color="auto" w:fill="auto"/>
                  <w:vAlign w:val="center"/>
                </w:tcPr>
                <w:p w14:paraId="2D4FFA1B">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0.1217</w:t>
                  </w:r>
                </w:p>
              </w:tc>
            </w:tr>
            <w:tr w14:paraId="4075F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restart"/>
                  <w:vAlign w:val="center"/>
                </w:tcPr>
                <w:p w14:paraId="53FD69E8">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固废处置量</w:t>
                  </w:r>
                </w:p>
              </w:tc>
              <w:tc>
                <w:tcPr>
                  <w:tcW w:w="1375" w:type="dxa"/>
                  <w:vAlign w:val="center"/>
                </w:tcPr>
                <w:p w14:paraId="4283476B">
                  <w:pPr>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生活垃圾</w:t>
                  </w:r>
                </w:p>
              </w:tc>
              <w:tc>
                <w:tcPr>
                  <w:tcW w:w="1400" w:type="dxa"/>
                  <w:shd w:val="clear" w:color="auto" w:fill="auto"/>
                  <w:vAlign w:val="center"/>
                </w:tcPr>
                <w:p w14:paraId="6F7021A5">
                  <w:pPr>
                    <w:widowControl/>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364.05</w:t>
                  </w:r>
                </w:p>
              </w:tc>
              <w:tc>
                <w:tcPr>
                  <w:tcW w:w="1625" w:type="dxa"/>
                  <w:shd w:val="clear" w:color="auto" w:fill="auto"/>
                  <w:vAlign w:val="center"/>
                </w:tcPr>
                <w:p w14:paraId="6AB5A5BE">
                  <w:pPr>
                    <w:widowControl/>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82.125</w:t>
                  </w:r>
                </w:p>
              </w:tc>
              <w:tc>
                <w:tcPr>
                  <w:tcW w:w="1487" w:type="dxa"/>
                  <w:shd w:val="clear" w:color="auto" w:fill="auto"/>
                  <w:vAlign w:val="center"/>
                </w:tcPr>
                <w:p w14:paraId="4FA55335">
                  <w:pPr>
                    <w:widowControl/>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551.325</w:t>
                  </w:r>
                </w:p>
              </w:tc>
              <w:tc>
                <w:tcPr>
                  <w:tcW w:w="1706" w:type="dxa"/>
                  <w:shd w:val="clear" w:color="auto" w:fill="auto"/>
                  <w:vAlign w:val="center"/>
                </w:tcPr>
                <w:p w14:paraId="41A09748">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633.45</w:t>
                  </w:r>
                </w:p>
              </w:tc>
            </w:tr>
            <w:tr w14:paraId="6B091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580519A4">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09C9D02A">
                  <w:pPr>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中药药渣</w:t>
                  </w:r>
                </w:p>
              </w:tc>
              <w:tc>
                <w:tcPr>
                  <w:tcW w:w="1400" w:type="dxa"/>
                  <w:shd w:val="clear" w:color="auto" w:fill="auto"/>
                  <w:vAlign w:val="center"/>
                </w:tcPr>
                <w:p w14:paraId="65B12BAB">
                  <w:pPr>
                    <w:widowControl/>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0.5</w:t>
                  </w:r>
                </w:p>
              </w:tc>
              <w:tc>
                <w:tcPr>
                  <w:tcW w:w="1625" w:type="dxa"/>
                  <w:shd w:val="clear" w:color="auto" w:fill="auto"/>
                  <w:vAlign w:val="center"/>
                </w:tcPr>
                <w:p w14:paraId="09AB2610">
                  <w:pPr>
                    <w:widowControl/>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0.2</w:t>
                  </w:r>
                </w:p>
              </w:tc>
              <w:tc>
                <w:tcPr>
                  <w:tcW w:w="1487" w:type="dxa"/>
                  <w:shd w:val="clear" w:color="auto" w:fill="auto"/>
                  <w:vAlign w:val="center"/>
                </w:tcPr>
                <w:p w14:paraId="16266C7B">
                  <w:pPr>
                    <w:widowControl/>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1.0</w:t>
                  </w:r>
                </w:p>
              </w:tc>
              <w:tc>
                <w:tcPr>
                  <w:tcW w:w="1706" w:type="dxa"/>
                  <w:shd w:val="clear" w:color="auto" w:fill="auto"/>
                  <w:vAlign w:val="center"/>
                </w:tcPr>
                <w:p w14:paraId="19E5182C">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1.2</w:t>
                  </w:r>
                </w:p>
              </w:tc>
            </w:tr>
            <w:tr w14:paraId="29D09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5406895F">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11551FC0">
                  <w:pPr>
                    <w:pStyle w:val="180"/>
                    <w:spacing w:beforeLines="0" w:afterLines="0" w:line="240" w:lineRule="auto"/>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废碳分子筛</w:t>
                  </w:r>
                </w:p>
              </w:tc>
              <w:tc>
                <w:tcPr>
                  <w:tcW w:w="1400" w:type="dxa"/>
                  <w:shd w:val="clear" w:color="auto" w:fill="auto"/>
                  <w:vAlign w:val="center"/>
                </w:tcPr>
                <w:p w14:paraId="73ABBB5A">
                  <w:pPr>
                    <w:spacing w:beforeLines="0" w:afterLines="0" w:line="240" w:lineRule="auto"/>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2个/2a</w:t>
                  </w:r>
                </w:p>
              </w:tc>
              <w:tc>
                <w:tcPr>
                  <w:tcW w:w="1625" w:type="dxa"/>
                  <w:shd w:val="clear" w:color="auto" w:fill="auto"/>
                  <w:vAlign w:val="center"/>
                </w:tcPr>
                <w:p w14:paraId="3B5A0EA3">
                  <w:pPr>
                    <w:widowControl/>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w:t>
                  </w:r>
                </w:p>
              </w:tc>
              <w:tc>
                <w:tcPr>
                  <w:tcW w:w="1487" w:type="dxa"/>
                  <w:shd w:val="clear" w:color="auto" w:fill="auto"/>
                  <w:vAlign w:val="center"/>
                </w:tcPr>
                <w:p w14:paraId="5659B549">
                  <w:pPr>
                    <w:widowControl/>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w:t>
                  </w:r>
                </w:p>
              </w:tc>
              <w:tc>
                <w:tcPr>
                  <w:tcW w:w="1706" w:type="dxa"/>
                  <w:shd w:val="clear" w:color="auto" w:fill="auto"/>
                  <w:vAlign w:val="center"/>
                </w:tcPr>
                <w:p w14:paraId="7B246A52">
                  <w:pPr>
                    <w:spacing w:beforeLines="0" w:afterLines="0" w:line="240" w:lineRule="auto"/>
                    <w:jc w:val="center"/>
                    <w:rPr>
                      <w:rFonts w:hint="default"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0</w:t>
                  </w:r>
                </w:p>
              </w:tc>
            </w:tr>
            <w:tr w14:paraId="6CAF3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4B96B06D">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23985555">
                  <w:pPr>
                    <w:pStyle w:val="180"/>
                    <w:spacing w:beforeLines="0" w:afterLines="0" w:line="240" w:lineRule="auto"/>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废滤芯</w:t>
                  </w:r>
                </w:p>
              </w:tc>
              <w:tc>
                <w:tcPr>
                  <w:tcW w:w="1400" w:type="dxa"/>
                  <w:shd w:val="clear" w:color="auto" w:fill="auto"/>
                  <w:vAlign w:val="center"/>
                </w:tcPr>
                <w:p w14:paraId="36A5A94A">
                  <w:pPr>
                    <w:spacing w:beforeLines="0" w:afterLines="0" w:line="240" w:lineRule="auto"/>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3个/2a</w:t>
                  </w:r>
                </w:p>
              </w:tc>
              <w:tc>
                <w:tcPr>
                  <w:tcW w:w="1625" w:type="dxa"/>
                  <w:shd w:val="clear" w:color="auto" w:fill="auto"/>
                  <w:vAlign w:val="center"/>
                </w:tcPr>
                <w:p w14:paraId="5FF4FB3B">
                  <w:pPr>
                    <w:widowControl/>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w:t>
                  </w:r>
                </w:p>
              </w:tc>
              <w:tc>
                <w:tcPr>
                  <w:tcW w:w="1487" w:type="dxa"/>
                  <w:shd w:val="clear" w:color="auto" w:fill="auto"/>
                  <w:vAlign w:val="center"/>
                </w:tcPr>
                <w:p w14:paraId="730AEC25">
                  <w:pPr>
                    <w:widowControl/>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w:t>
                  </w:r>
                </w:p>
              </w:tc>
              <w:tc>
                <w:tcPr>
                  <w:tcW w:w="1706" w:type="dxa"/>
                  <w:shd w:val="clear" w:color="auto" w:fill="auto"/>
                  <w:vAlign w:val="center"/>
                </w:tcPr>
                <w:p w14:paraId="5E301646">
                  <w:pPr>
                    <w:spacing w:beforeLines="0" w:afterLines="0" w:line="240" w:lineRule="auto"/>
                    <w:jc w:val="center"/>
                    <w:rPr>
                      <w:rFonts w:hint="default"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0</w:t>
                  </w:r>
                </w:p>
              </w:tc>
            </w:tr>
            <w:tr w14:paraId="48EF7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7147F687">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18AA0132">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隔油池油渣</w:t>
                  </w:r>
                </w:p>
              </w:tc>
              <w:tc>
                <w:tcPr>
                  <w:tcW w:w="1400" w:type="dxa"/>
                  <w:shd w:val="clear" w:color="auto" w:fill="auto"/>
                  <w:vAlign w:val="center"/>
                </w:tcPr>
                <w:p w14:paraId="53B08F93">
                  <w:pPr>
                    <w:widowControl/>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0.22</w:t>
                  </w:r>
                </w:p>
              </w:tc>
              <w:tc>
                <w:tcPr>
                  <w:tcW w:w="1625" w:type="dxa"/>
                  <w:shd w:val="clear" w:color="auto" w:fill="auto"/>
                  <w:vAlign w:val="center"/>
                </w:tcPr>
                <w:p w14:paraId="5CAFFFDB">
                  <w:pPr>
                    <w:widowControl/>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0.16</w:t>
                  </w:r>
                </w:p>
              </w:tc>
              <w:tc>
                <w:tcPr>
                  <w:tcW w:w="1487" w:type="dxa"/>
                  <w:shd w:val="clear" w:color="auto" w:fill="auto"/>
                  <w:vAlign w:val="center"/>
                </w:tcPr>
                <w:p w14:paraId="5F222AD3">
                  <w:pPr>
                    <w:widowControl/>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1.2</w:t>
                  </w:r>
                </w:p>
              </w:tc>
              <w:tc>
                <w:tcPr>
                  <w:tcW w:w="1706" w:type="dxa"/>
                  <w:shd w:val="clear" w:color="auto" w:fill="auto"/>
                  <w:vAlign w:val="center"/>
                </w:tcPr>
                <w:p w14:paraId="3261C9CF">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1.36</w:t>
                  </w:r>
                </w:p>
              </w:tc>
            </w:tr>
            <w:tr w14:paraId="41FB9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32DCFA15">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51343497">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医疗废物</w:t>
                  </w:r>
                </w:p>
              </w:tc>
              <w:tc>
                <w:tcPr>
                  <w:tcW w:w="1400" w:type="dxa"/>
                  <w:shd w:val="clear" w:color="auto" w:fill="auto"/>
                  <w:vAlign w:val="center"/>
                </w:tcPr>
                <w:p w14:paraId="07A307DF">
                  <w:pPr>
                    <w:widowControl/>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35.62</w:t>
                  </w:r>
                </w:p>
              </w:tc>
              <w:tc>
                <w:tcPr>
                  <w:tcW w:w="1625" w:type="dxa"/>
                  <w:shd w:val="clear" w:color="auto" w:fill="auto"/>
                  <w:vAlign w:val="center"/>
                </w:tcPr>
                <w:p w14:paraId="54FEE79F">
                  <w:pPr>
                    <w:widowControl/>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10.17</w:t>
                  </w:r>
                </w:p>
              </w:tc>
              <w:tc>
                <w:tcPr>
                  <w:tcW w:w="1487" w:type="dxa"/>
                  <w:shd w:val="clear" w:color="auto" w:fill="auto"/>
                  <w:vAlign w:val="center"/>
                </w:tcPr>
                <w:p w14:paraId="540AB5D4">
                  <w:pPr>
                    <w:widowControl/>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46.82</w:t>
                  </w:r>
                </w:p>
              </w:tc>
              <w:tc>
                <w:tcPr>
                  <w:tcW w:w="1706" w:type="dxa"/>
                  <w:shd w:val="clear" w:color="auto" w:fill="auto"/>
                  <w:vAlign w:val="center"/>
                </w:tcPr>
                <w:p w14:paraId="18069CF0">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56.99</w:t>
                  </w:r>
                </w:p>
              </w:tc>
            </w:tr>
            <w:tr w14:paraId="0E3D1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22FEA35A">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4F9FD490">
                  <w:pPr>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废活性炭</w:t>
                  </w:r>
                </w:p>
              </w:tc>
              <w:tc>
                <w:tcPr>
                  <w:tcW w:w="1400" w:type="dxa"/>
                  <w:shd w:val="clear" w:color="auto" w:fill="auto"/>
                  <w:vAlign w:val="center"/>
                </w:tcPr>
                <w:p w14:paraId="33C3F81F">
                  <w:pPr>
                    <w:widowControl/>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w:t>
                  </w:r>
                </w:p>
              </w:tc>
              <w:tc>
                <w:tcPr>
                  <w:tcW w:w="1625" w:type="dxa"/>
                  <w:shd w:val="clear" w:color="auto" w:fill="auto"/>
                  <w:vAlign w:val="center"/>
                </w:tcPr>
                <w:p w14:paraId="7C95C786">
                  <w:pPr>
                    <w:widowControl/>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0.0494</w:t>
                  </w:r>
                </w:p>
              </w:tc>
              <w:tc>
                <w:tcPr>
                  <w:tcW w:w="1487" w:type="dxa"/>
                  <w:shd w:val="clear" w:color="auto" w:fill="auto"/>
                  <w:vAlign w:val="center"/>
                </w:tcPr>
                <w:p w14:paraId="440AA6B9">
                  <w:pPr>
                    <w:widowControl/>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0.1898</w:t>
                  </w:r>
                </w:p>
              </w:tc>
              <w:tc>
                <w:tcPr>
                  <w:tcW w:w="1706" w:type="dxa"/>
                  <w:shd w:val="clear" w:color="auto" w:fill="auto"/>
                  <w:vAlign w:val="center"/>
                </w:tcPr>
                <w:p w14:paraId="69F0AB49">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0.2392</w:t>
                  </w:r>
                </w:p>
              </w:tc>
            </w:tr>
            <w:tr w14:paraId="4DB81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21" w:type="dxa"/>
                  <w:vMerge w:val="continue"/>
                  <w:vAlign w:val="center"/>
                </w:tcPr>
                <w:p w14:paraId="0739BA91">
                  <w:pPr>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75" w:type="dxa"/>
                  <w:vAlign w:val="center"/>
                </w:tcPr>
                <w:p w14:paraId="679DE3CF">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污水处理站污泥</w:t>
                  </w:r>
                </w:p>
              </w:tc>
              <w:tc>
                <w:tcPr>
                  <w:tcW w:w="1400" w:type="dxa"/>
                  <w:shd w:val="clear" w:color="auto" w:fill="auto"/>
                  <w:vAlign w:val="center"/>
                </w:tcPr>
                <w:p w14:paraId="4C27E146">
                  <w:pPr>
                    <w:widowControl/>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50</w:t>
                  </w:r>
                </w:p>
              </w:tc>
              <w:tc>
                <w:tcPr>
                  <w:tcW w:w="1625" w:type="dxa"/>
                  <w:shd w:val="clear" w:color="auto" w:fill="auto"/>
                  <w:vAlign w:val="center"/>
                </w:tcPr>
                <w:p w14:paraId="05B00BEF">
                  <w:pPr>
                    <w:widowControl/>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22.82</w:t>
                  </w:r>
                </w:p>
              </w:tc>
              <w:tc>
                <w:tcPr>
                  <w:tcW w:w="1487" w:type="dxa"/>
                  <w:shd w:val="clear" w:color="auto" w:fill="auto"/>
                  <w:vAlign w:val="center"/>
                </w:tcPr>
                <w:p w14:paraId="496095D2">
                  <w:pPr>
                    <w:widowControl/>
                    <w:adjustRightInd w:val="0"/>
                    <w:snapToGrid w:val="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29.62</w:t>
                  </w:r>
                </w:p>
              </w:tc>
              <w:tc>
                <w:tcPr>
                  <w:tcW w:w="1706" w:type="dxa"/>
                  <w:shd w:val="clear" w:color="auto" w:fill="auto"/>
                  <w:vAlign w:val="center"/>
                </w:tcPr>
                <w:p w14:paraId="7FE56A64">
                  <w:pPr>
                    <w:spacing w:beforeLines="0" w:afterLines="0" w:line="240" w:lineRule="auto"/>
                    <w:jc w:val="cente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52.44</w:t>
                  </w:r>
                </w:p>
              </w:tc>
            </w:tr>
          </w:tbl>
          <w:p w14:paraId="1942C5AB">
            <w:pPr>
              <w:pStyle w:val="3"/>
              <w:ind w:left="0" w:leftChars="0" w:firstLine="0" w:firstLineChars="0"/>
              <w:rPr>
                <w:rFonts w:hint="default"/>
                <w:color w:val="000000" w:themeColor="text1"/>
                <w14:textFill>
                  <w14:solidFill>
                    <w14:schemeClr w14:val="tx1"/>
                  </w14:solidFill>
                </w14:textFill>
              </w:rPr>
            </w:pPr>
          </w:p>
        </w:tc>
      </w:tr>
    </w:tbl>
    <w:p w14:paraId="227974D7">
      <w:pPr>
        <w:pStyle w:val="30"/>
        <w:jc w:val="center"/>
        <w:rPr>
          <w:rFonts w:ascii="黑体" w:hAnsi="黑体" w:eastAsia="黑体"/>
          <w:snapToGrid w:val="0"/>
          <w:color w:val="000000" w:themeColor="text1"/>
          <w:sz w:val="36"/>
          <w:szCs w:val="36"/>
          <w:highlight w:val="none"/>
          <w14:textFill>
            <w14:solidFill>
              <w14:schemeClr w14:val="tx1"/>
            </w14:solidFill>
          </w14:textFill>
        </w:rPr>
        <w:sectPr>
          <w:headerReference r:id="rId6" w:type="default"/>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63A3356">
      <w:pPr>
        <w:pStyle w:val="30"/>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三、区域环境质量现状、环境保护目标及评价标准</w:t>
      </w:r>
    </w:p>
    <w:tbl>
      <w:tblPr>
        <w:tblStyle w:val="34"/>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270620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800" w:type="dxa"/>
            <w:noWrap w:val="0"/>
            <w:vAlign w:val="center"/>
          </w:tcPr>
          <w:p w14:paraId="4E54FF4B">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区域</w:t>
            </w:r>
          </w:p>
          <w:p w14:paraId="0F20A629">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环境</w:t>
            </w:r>
          </w:p>
          <w:p w14:paraId="3121C538">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质量</w:t>
            </w:r>
          </w:p>
          <w:p w14:paraId="37F62EFF">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现状</w:t>
            </w:r>
          </w:p>
        </w:tc>
        <w:tc>
          <w:tcPr>
            <w:tcW w:w="8190" w:type="dxa"/>
            <w:noWrap w:val="0"/>
            <w:vAlign w:val="center"/>
          </w:tcPr>
          <w:p w14:paraId="3B6D33AB">
            <w:pPr>
              <w:adjustRightInd w:val="0"/>
              <w:snapToGrid w:val="0"/>
              <w:spacing w:line="360" w:lineRule="auto"/>
              <w:ind w:firstLine="482" w:firstLineChars="200"/>
              <w:jc w:val="left"/>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1、环境空气质量现状</w:t>
            </w:r>
          </w:p>
          <w:p w14:paraId="279CCE4E">
            <w:pPr>
              <w:pStyle w:val="80"/>
              <w:spacing w:line="420" w:lineRule="auto"/>
              <w:rPr>
                <w:rFonts w:hint="default" w:ascii="Times New Roman" w:hAnsi="Times New Roman" w:cs="Times New Roman"/>
                <w:iCs/>
                <w:color w:val="000000" w:themeColor="text1"/>
                <w:szCs w:val="24"/>
                <w:highlight w:val="none"/>
                <w14:textFill>
                  <w14:solidFill>
                    <w14:schemeClr w14:val="tx1"/>
                  </w14:solidFill>
                </w14:textFill>
              </w:rPr>
            </w:pPr>
            <w:r>
              <w:rPr>
                <w:rFonts w:hint="default" w:ascii="Times New Roman" w:hAnsi="Times New Roman" w:cs="Times New Roman"/>
                <w:iCs/>
                <w:color w:val="000000" w:themeColor="text1"/>
                <w:szCs w:val="24"/>
                <w:highlight w:val="none"/>
                <w14:textFill>
                  <w14:solidFill>
                    <w14:schemeClr w14:val="tx1"/>
                  </w14:solidFill>
                </w14:textFill>
              </w:rPr>
              <w:t>①空气质量达标区判定</w:t>
            </w:r>
          </w:p>
          <w:p w14:paraId="572D08F9">
            <w:pPr>
              <w:spacing w:line="420" w:lineRule="auto"/>
              <w:ind w:firstLine="480" w:firstLineChars="200"/>
              <w:rPr>
                <w:rFonts w:hint="default" w:ascii="Times New Roman" w:hAnsi="Times New Roman" w:cs="Times New Roman"/>
                <w:iCs/>
                <w:color w:val="000000" w:themeColor="text1"/>
                <w:sz w:val="24"/>
                <w:highlight w:val="none"/>
                <w14:textFill>
                  <w14:solidFill>
                    <w14:schemeClr w14:val="tx1"/>
                  </w14:solidFill>
                </w14:textFill>
              </w:rPr>
            </w:pPr>
            <w:r>
              <w:rPr>
                <w:rFonts w:hint="default" w:ascii="Times New Roman" w:hAnsi="Times New Roman" w:cs="Times New Roman"/>
                <w:iCs/>
                <w:color w:val="000000" w:themeColor="text1"/>
                <w:sz w:val="24"/>
                <w:highlight w:val="none"/>
                <w14:textFill>
                  <w14:solidFill>
                    <w14:schemeClr w14:val="tx1"/>
                  </w14:solidFill>
                </w14:textFill>
              </w:rPr>
              <w:t>项目位于</w:t>
            </w:r>
            <w:r>
              <w:rPr>
                <w:rFonts w:hint="eastAsia" w:ascii="Times New Roman" w:hAnsi="Times New Roman" w:cs="Times New Roman"/>
                <w:color w:val="000000" w:themeColor="text1"/>
                <w:sz w:val="24"/>
                <w:highlight w:val="none"/>
                <w:lang w:eastAsia="zh-CN"/>
                <w14:textFill>
                  <w14:solidFill>
                    <w14:schemeClr w14:val="tx1"/>
                  </w14:solidFill>
                </w14:textFill>
              </w:rPr>
              <w:t>渑池县城关镇孟岭村韶州路东段、县中医院东侧感染病房楼院内</w:t>
            </w:r>
            <w:r>
              <w:rPr>
                <w:rFonts w:hint="default" w:ascii="Times New Roman" w:hAnsi="Times New Roman" w:cs="Times New Roman"/>
                <w:iCs/>
                <w:color w:val="000000" w:themeColor="text1"/>
                <w:sz w:val="24"/>
                <w:highlight w:val="none"/>
                <w14:textFill>
                  <w14:solidFill>
                    <w14:schemeClr w14:val="tx1"/>
                  </w14:solidFill>
                </w14:textFill>
              </w:rPr>
              <w:t>，所在区域属环境空气质量二类功能区，</w:t>
            </w:r>
            <w:r>
              <w:rPr>
                <w:rFonts w:hint="default" w:ascii="Times New Roman" w:hAnsi="Times New Roman" w:cs="Times New Roman"/>
                <w:color w:val="000000" w:themeColor="text1"/>
                <w:sz w:val="24"/>
                <w14:textFill>
                  <w14:solidFill>
                    <w14:schemeClr w14:val="tx1"/>
                  </w14:solidFill>
                </w14:textFill>
              </w:rPr>
              <w:t>环境空气质量应执行《环境空气质量标准》（GB3095-2012）二级标准及修改单</w:t>
            </w:r>
            <w:r>
              <w:rPr>
                <w:rFonts w:hint="eastAsia" w:ascii="Times New Roman" w:hAnsi="Times New Roman" w:cs="Times New Roman"/>
                <w:color w:val="000000" w:themeColor="text1"/>
                <w:sz w:val="24"/>
                <w:lang w:val="en-US" w:eastAsia="zh-CN"/>
                <w14:textFill>
                  <w14:solidFill>
                    <w14:schemeClr w14:val="tx1"/>
                  </w14:solidFill>
                </w14:textFill>
              </w:rPr>
              <w:t>的要求</w:t>
            </w:r>
            <w:r>
              <w:rPr>
                <w:rFonts w:hint="default" w:ascii="Times New Roman" w:hAnsi="Times New Roman" w:cs="Times New Roman"/>
                <w:color w:val="000000" w:themeColor="text1"/>
                <w:sz w:val="24"/>
                <w14:textFill>
                  <w14:solidFill>
                    <w14:schemeClr w14:val="tx1"/>
                  </w14:solidFill>
                </w14:textFill>
              </w:rPr>
              <w:t>。</w:t>
            </w:r>
          </w:p>
          <w:p w14:paraId="064E1F68">
            <w:pPr>
              <w:pStyle w:val="20"/>
              <w:spacing w:line="420" w:lineRule="auto"/>
              <w:ind w:firstLine="482"/>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本次通过常规因子（SO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、NO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、PM</w:t>
            </w:r>
            <w:r>
              <w:rPr>
                <w:rFonts w:hint="default" w:ascii="Times New Roman" w:hAnsi="Times New Roman" w:cs="Times New Roman"/>
                <w:color w:val="000000" w:themeColor="text1"/>
                <w:sz w:val="24"/>
                <w:vertAlign w:val="sub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、CO、O</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、PM</w:t>
            </w:r>
            <w:r>
              <w:rPr>
                <w:rFonts w:hint="default" w:ascii="Times New Roman" w:hAnsi="Times New Roman" w:cs="Times New Roman"/>
                <w:color w:val="000000" w:themeColor="text1"/>
                <w:sz w:val="24"/>
                <w:vertAlign w:val="subscript"/>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）来评价</w:t>
            </w:r>
            <w:r>
              <w:rPr>
                <w:rFonts w:hint="eastAsia"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所在区域的环境空气质量达标情况，根据</w:t>
            </w:r>
            <w:r>
              <w:rPr>
                <w:rFonts w:hint="default" w:ascii="Times New Roman" w:hAnsi="Times New Roman" w:cs="Times New Roman"/>
                <w:color w:val="000000" w:themeColor="text1"/>
                <w:sz w:val="24"/>
                <w:lang w:eastAsia="zh-CN"/>
                <w14:textFill>
                  <w14:solidFill>
                    <w14:schemeClr w14:val="tx1"/>
                  </w14:solidFill>
                </w14:textFill>
              </w:rPr>
              <w:t>《渑池县环境质量报告书（2022年度）》</w:t>
            </w:r>
            <w:r>
              <w:rPr>
                <w:rFonts w:hint="default" w:ascii="Times New Roman" w:hAnsi="Times New Roman" w:cs="Times New Roman"/>
                <w:color w:val="000000" w:themeColor="text1"/>
                <w:sz w:val="24"/>
                <w14:textFill>
                  <w14:solidFill>
                    <w14:schemeClr w14:val="tx1"/>
                  </w14:solidFill>
                </w14:textFill>
              </w:rPr>
              <w:t>数据可知，渑池县202</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年主要指标环境空气质量现状见下表。</w:t>
            </w:r>
          </w:p>
          <w:p w14:paraId="3965E1F4">
            <w:pPr>
              <w:pStyle w:val="104"/>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kern w:val="0"/>
                <w:sz w:val="24"/>
                <w:szCs w:val="21"/>
                <w:lang w:val="en-US" w:eastAsia="zh-CN" w:bidi="ar-SA"/>
                <w14:textFill>
                  <w14:solidFill>
                    <w14:schemeClr w14:val="tx1"/>
                  </w14:solidFill>
                </w14:textFill>
              </w:rPr>
              <w:t>渑池县</w:t>
            </w:r>
            <w:r>
              <w:rPr>
                <w:rFonts w:hint="default" w:ascii="Times New Roman" w:hAnsi="Times New Roman" w:eastAsia="黑体" w:cs="Times New Roman"/>
                <w:color w:val="000000" w:themeColor="text1"/>
                <w:kern w:val="0"/>
                <w:sz w:val="24"/>
                <w:szCs w:val="21"/>
                <w:lang w:val="en-US" w:eastAsia="zh-CN" w:bidi="ar-SA"/>
                <w14:textFill>
                  <w14:solidFill>
                    <w14:schemeClr w14:val="tx1"/>
                  </w14:solidFill>
                </w14:textFill>
              </w:rPr>
              <w:t>环境空气质量</w:t>
            </w:r>
            <w:r>
              <w:rPr>
                <w:rFonts w:hint="default" w:ascii="Times New Roman" w:hAnsi="Times New Roman" w:cs="Times New Roman"/>
                <w:color w:val="000000" w:themeColor="text1"/>
                <w:szCs w:val="21"/>
                <w:lang w:val="en-US" w:eastAsia="zh-CN"/>
                <w14:textFill>
                  <w14:solidFill>
                    <w14:schemeClr w14:val="tx1"/>
                  </w14:solidFill>
                </w14:textFill>
              </w:rPr>
              <w:t>现</w:t>
            </w:r>
            <w:r>
              <w:rPr>
                <w:rFonts w:hint="default" w:ascii="Times New Roman" w:hAnsi="Times New Roman" w:cs="Times New Roman"/>
                <w:color w:val="000000" w:themeColor="text1"/>
                <w:szCs w:val="21"/>
                <w14:textFill>
                  <w14:solidFill>
                    <w14:schemeClr w14:val="tx1"/>
                  </w14:solidFill>
                </w14:textFill>
              </w:rPr>
              <w:t>状</w:t>
            </w:r>
            <w:r>
              <w:rPr>
                <w:rStyle w:val="132"/>
                <w:rFonts w:hint="default" w:ascii="Times New Roman" w:hAnsi="Times New Roman" w:cs="Times New Roman"/>
                <w:bCs/>
                <w:color w:val="000000" w:themeColor="text1"/>
                <w14:textFill>
                  <w14:solidFill>
                    <w14:schemeClr w14:val="tx1"/>
                  </w14:solidFill>
                </w14:textFill>
              </w:rPr>
              <w:t>评价</w:t>
            </w:r>
            <w:r>
              <w:rPr>
                <w:rFonts w:hint="default" w:ascii="Times New Roman" w:hAnsi="Times New Roman" w:cs="Times New Roman"/>
                <w:bCs/>
                <w:color w:val="000000" w:themeColor="text1"/>
                <w:kern w:val="2"/>
                <w:sz w:val="24"/>
                <w:highlight w:val="none"/>
                <w14:textFill>
                  <w14:solidFill>
                    <w14:schemeClr w14:val="tx1"/>
                  </w14:solidFill>
                </w14:textFill>
              </w:rPr>
              <w:t>一览表</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单位</w:t>
            </w:r>
            <w:r>
              <w:rPr>
                <w:rFonts w:hint="default" w:ascii="Times New Roman" w:hAnsi="Times New Roman" w:cs="Times New Roman"/>
                <w:color w:val="000000" w:themeColor="text1"/>
                <w:kern w:val="28"/>
                <w14:textFill>
                  <w14:solidFill>
                    <w14:schemeClr w14:val="tx1"/>
                  </w14:solidFill>
                </w14:textFill>
              </w:rPr>
              <w:t>：CO mg/m</w:t>
            </w:r>
            <w:r>
              <w:rPr>
                <w:rFonts w:hint="default" w:ascii="Times New Roman" w:hAnsi="Times New Roman" w:cs="Times New Roman"/>
                <w:color w:val="000000" w:themeColor="text1"/>
                <w:kern w:val="28"/>
                <w:vertAlign w:val="superscript"/>
                <w14:textFill>
                  <w14:solidFill>
                    <w14:schemeClr w14:val="tx1"/>
                  </w14:solidFill>
                </w14:textFill>
              </w:rPr>
              <w:t>3</w:t>
            </w:r>
            <w:r>
              <w:rPr>
                <w:rFonts w:hint="default" w:ascii="Times New Roman" w:hAnsi="Times New Roman" w:cs="Times New Roman"/>
                <w:color w:val="000000" w:themeColor="text1"/>
                <w:kern w:val="28"/>
                <w14:textFill>
                  <w14:solidFill>
                    <w14:schemeClr w14:val="tx1"/>
                  </w14:solidFill>
                </w14:textFill>
              </w:rPr>
              <w:t>，其他μg/m</w:t>
            </w:r>
            <w:r>
              <w:rPr>
                <w:rFonts w:hint="default" w:ascii="Times New Roman" w:hAnsi="Times New Roman" w:cs="Times New Roman"/>
                <w:color w:val="000000" w:themeColor="text1"/>
                <w:kern w:val="28"/>
                <w:vertAlign w:val="superscript"/>
                <w14:textFill>
                  <w14:solidFill>
                    <w14:schemeClr w14:val="tx1"/>
                  </w14:solidFill>
                </w14:textFill>
              </w:rPr>
              <w:t>3</w:t>
            </w:r>
          </w:p>
          <w:tbl>
            <w:tblPr>
              <w:tblStyle w:val="34"/>
              <w:tblpPr w:leftFromText="180" w:rightFromText="180" w:vertAnchor="text" w:tblpXSpec="center" w:tblpY="1"/>
              <w:tblOverlap w:val="never"/>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89"/>
              <w:gridCol w:w="2372"/>
              <w:gridCol w:w="1176"/>
              <w:gridCol w:w="1197"/>
              <w:gridCol w:w="1116"/>
              <w:gridCol w:w="1124"/>
            </w:tblGrid>
            <w:tr w14:paraId="200E90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9" w:type="dxa"/>
                  <w:tcBorders>
                    <w:tl2br w:val="nil"/>
                    <w:tr2bl w:val="nil"/>
                  </w:tcBorders>
                  <w:noWrap w:val="0"/>
                  <w:vAlign w:val="center"/>
                </w:tcPr>
                <w:p w14:paraId="42EB029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w:t>
                  </w:r>
                </w:p>
              </w:tc>
              <w:tc>
                <w:tcPr>
                  <w:tcW w:w="2372" w:type="dxa"/>
                  <w:tcBorders>
                    <w:tl2br w:val="nil"/>
                    <w:tr2bl w:val="nil"/>
                  </w:tcBorders>
                  <w:noWrap w:val="0"/>
                  <w:vAlign w:val="center"/>
                </w:tcPr>
                <w:p w14:paraId="05AB212C">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年评价指标</w:t>
                  </w:r>
                </w:p>
              </w:tc>
              <w:tc>
                <w:tcPr>
                  <w:tcW w:w="1176" w:type="dxa"/>
                  <w:tcBorders>
                    <w:tl2br w:val="nil"/>
                    <w:tr2bl w:val="nil"/>
                  </w:tcBorders>
                  <w:noWrap w:val="0"/>
                  <w:vAlign w:val="center"/>
                </w:tcPr>
                <w:p w14:paraId="1EAEF8B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现状浓度/μg/m</w:t>
                  </w:r>
                  <w:r>
                    <w:rPr>
                      <w:rFonts w:hint="default" w:ascii="Times New Roman" w:hAnsi="Times New Roman" w:cs="Times New Roman"/>
                      <w:color w:val="000000" w:themeColor="text1"/>
                      <w:szCs w:val="21"/>
                      <w:vertAlign w:val="superscript"/>
                      <w14:textFill>
                        <w14:solidFill>
                          <w14:schemeClr w14:val="tx1"/>
                        </w14:solidFill>
                      </w14:textFill>
                    </w:rPr>
                    <w:t>3</w:t>
                  </w:r>
                </w:p>
              </w:tc>
              <w:tc>
                <w:tcPr>
                  <w:tcW w:w="1197" w:type="dxa"/>
                  <w:tcBorders>
                    <w:tl2br w:val="nil"/>
                    <w:tr2bl w:val="nil"/>
                  </w:tcBorders>
                  <w:noWrap w:val="0"/>
                  <w:vAlign w:val="center"/>
                </w:tcPr>
                <w:p w14:paraId="163C9BA8">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标准浓度/μg/m</w:t>
                  </w:r>
                  <w:r>
                    <w:rPr>
                      <w:rFonts w:hint="default" w:ascii="Times New Roman" w:hAnsi="Times New Roman" w:cs="Times New Roman"/>
                      <w:color w:val="000000" w:themeColor="text1"/>
                      <w:szCs w:val="21"/>
                      <w:vertAlign w:val="superscript"/>
                      <w14:textFill>
                        <w14:solidFill>
                          <w14:schemeClr w14:val="tx1"/>
                        </w14:solidFill>
                      </w14:textFill>
                    </w:rPr>
                    <w:t>3</w:t>
                  </w:r>
                </w:p>
              </w:tc>
              <w:tc>
                <w:tcPr>
                  <w:tcW w:w="1116" w:type="dxa"/>
                  <w:tcBorders>
                    <w:tl2br w:val="nil"/>
                    <w:tr2bl w:val="nil"/>
                  </w:tcBorders>
                  <w:noWrap w:val="0"/>
                  <w:vAlign w:val="center"/>
                </w:tcPr>
                <w:p w14:paraId="7C0F61BB">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占标率/%</w:t>
                  </w:r>
                </w:p>
              </w:tc>
              <w:tc>
                <w:tcPr>
                  <w:tcW w:w="1124" w:type="dxa"/>
                  <w:tcBorders>
                    <w:tl2br w:val="nil"/>
                    <w:tr2bl w:val="nil"/>
                  </w:tcBorders>
                  <w:noWrap w:val="0"/>
                  <w:vAlign w:val="center"/>
                </w:tcPr>
                <w:p w14:paraId="794D7F7F">
                  <w:pPr>
                    <w:jc w:val="center"/>
                    <w:rPr>
                      <w:rFonts w:hint="default" w:ascii="Times New Roman" w:hAnsi="Times New Roman" w:cs="Times New Roman"/>
                      <w:color w:val="000000" w:themeColor="text1"/>
                      <w:szCs w:val="21"/>
                      <w:vertAlign w:val="sub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达标情况</w:t>
                  </w:r>
                </w:p>
              </w:tc>
            </w:tr>
            <w:tr w14:paraId="4399B5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9" w:type="dxa"/>
                  <w:tcBorders>
                    <w:tl2br w:val="nil"/>
                    <w:tr2bl w:val="nil"/>
                  </w:tcBorders>
                  <w:noWrap w:val="0"/>
                  <w:vAlign w:val="center"/>
                </w:tcPr>
                <w:p w14:paraId="1BAAA8D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PM</w:t>
                  </w:r>
                  <w:r>
                    <w:rPr>
                      <w:rFonts w:hint="default" w:ascii="Times New Roman" w:hAnsi="Times New Roman" w:cs="Times New Roman"/>
                      <w:color w:val="000000" w:themeColor="text1"/>
                      <w:szCs w:val="21"/>
                      <w:vertAlign w:val="subscript"/>
                      <w14:textFill>
                        <w14:solidFill>
                          <w14:schemeClr w14:val="tx1"/>
                        </w14:solidFill>
                      </w14:textFill>
                    </w:rPr>
                    <w:t>2.5</w:t>
                  </w:r>
                </w:p>
              </w:tc>
              <w:tc>
                <w:tcPr>
                  <w:tcW w:w="2372" w:type="dxa"/>
                  <w:tcBorders>
                    <w:tl2br w:val="nil"/>
                    <w:tr2bl w:val="nil"/>
                  </w:tcBorders>
                  <w:noWrap w:val="0"/>
                  <w:vAlign w:val="center"/>
                </w:tcPr>
                <w:p w14:paraId="6FB1FCE7">
                  <w:pPr>
                    <w:snapToGrid w:val="0"/>
                    <w:spacing w:beforeLines="8" w:afterLines="8"/>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24小时</w:t>
                  </w:r>
                  <w:r>
                    <w:rPr>
                      <w:rFonts w:hint="default" w:ascii="Times New Roman" w:hAnsi="Times New Roman" w:cs="Times New Roman"/>
                      <w:color w:val="000000" w:themeColor="text1"/>
                      <w:szCs w:val="21"/>
                      <w14:textFill>
                        <w14:solidFill>
                          <w14:schemeClr w14:val="tx1"/>
                        </w14:solidFill>
                      </w14:textFill>
                    </w:rPr>
                    <w:t>平均浓度</w:t>
                  </w:r>
                </w:p>
              </w:tc>
              <w:tc>
                <w:tcPr>
                  <w:tcW w:w="1176" w:type="dxa"/>
                  <w:tcBorders>
                    <w:tl2br w:val="nil"/>
                    <w:tr2bl w:val="nil"/>
                  </w:tcBorders>
                  <w:noWrap w:val="0"/>
                  <w:vAlign w:val="center"/>
                </w:tcPr>
                <w:p w14:paraId="734763C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45</w:t>
                  </w:r>
                </w:p>
              </w:tc>
              <w:tc>
                <w:tcPr>
                  <w:tcW w:w="1197" w:type="dxa"/>
                  <w:tcBorders>
                    <w:tl2br w:val="nil"/>
                    <w:tr2bl w:val="nil"/>
                  </w:tcBorders>
                  <w:noWrap w:val="0"/>
                  <w:vAlign w:val="center"/>
                </w:tcPr>
                <w:p w14:paraId="5A9F0BC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35</w:t>
                  </w:r>
                </w:p>
              </w:tc>
              <w:tc>
                <w:tcPr>
                  <w:tcW w:w="1116" w:type="dxa"/>
                  <w:tcBorders>
                    <w:tl2br w:val="nil"/>
                    <w:tr2bl w:val="nil"/>
                  </w:tcBorders>
                  <w:noWrap w:val="0"/>
                  <w:vAlign w:val="center"/>
                </w:tcPr>
                <w:p w14:paraId="2729A0E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129</w:t>
                  </w:r>
                </w:p>
              </w:tc>
              <w:tc>
                <w:tcPr>
                  <w:tcW w:w="1124" w:type="dxa"/>
                  <w:tcBorders>
                    <w:tl2br w:val="nil"/>
                    <w:tr2bl w:val="nil"/>
                  </w:tcBorders>
                  <w:noWrap w:val="0"/>
                  <w:vAlign w:val="center"/>
                </w:tcPr>
                <w:p w14:paraId="05E4AEA0">
                  <w:pPr>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超</w:t>
                  </w:r>
                  <w:r>
                    <w:rPr>
                      <w:rFonts w:hint="default" w:ascii="Times New Roman" w:hAnsi="Times New Roman" w:cs="Times New Roman"/>
                      <w:color w:val="000000" w:themeColor="text1"/>
                      <w:szCs w:val="21"/>
                      <w14:textFill>
                        <w14:solidFill>
                          <w14:schemeClr w14:val="tx1"/>
                        </w14:solidFill>
                      </w14:textFill>
                    </w:rPr>
                    <w:t>标</w:t>
                  </w:r>
                </w:p>
              </w:tc>
            </w:tr>
            <w:tr w14:paraId="4BAB89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9" w:type="dxa"/>
                  <w:tcBorders>
                    <w:tl2br w:val="nil"/>
                    <w:tr2bl w:val="nil"/>
                  </w:tcBorders>
                  <w:noWrap w:val="0"/>
                  <w:vAlign w:val="center"/>
                </w:tcPr>
                <w:p w14:paraId="1E8F4938">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PM</w:t>
                  </w:r>
                  <w:r>
                    <w:rPr>
                      <w:rFonts w:hint="default" w:ascii="Times New Roman" w:hAnsi="Times New Roman" w:cs="Times New Roman"/>
                      <w:color w:val="000000" w:themeColor="text1"/>
                      <w:szCs w:val="21"/>
                      <w:vertAlign w:val="subscript"/>
                      <w14:textFill>
                        <w14:solidFill>
                          <w14:schemeClr w14:val="tx1"/>
                        </w14:solidFill>
                      </w14:textFill>
                    </w:rPr>
                    <w:t>10</w:t>
                  </w:r>
                </w:p>
              </w:tc>
              <w:tc>
                <w:tcPr>
                  <w:tcW w:w="2372" w:type="dxa"/>
                  <w:tcBorders>
                    <w:tl2br w:val="nil"/>
                    <w:tr2bl w:val="nil"/>
                  </w:tcBorders>
                  <w:noWrap w:val="0"/>
                  <w:vAlign w:val="center"/>
                </w:tcPr>
                <w:p w14:paraId="798AEE02">
                  <w:pPr>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24小时</w:t>
                  </w:r>
                  <w:r>
                    <w:rPr>
                      <w:rFonts w:hint="default" w:ascii="Times New Roman" w:hAnsi="Times New Roman" w:cs="Times New Roman"/>
                      <w:color w:val="000000" w:themeColor="text1"/>
                      <w:szCs w:val="21"/>
                      <w14:textFill>
                        <w14:solidFill>
                          <w14:schemeClr w14:val="tx1"/>
                        </w14:solidFill>
                      </w14:textFill>
                    </w:rPr>
                    <w:t>平均浓度</w:t>
                  </w:r>
                </w:p>
              </w:tc>
              <w:tc>
                <w:tcPr>
                  <w:tcW w:w="1176" w:type="dxa"/>
                  <w:tcBorders>
                    <w:tl2br w:val="nil"/>
                    <w:tr2bl w:val="nil"/>
                  </w:tcBorders>
                  <w:noWrap w:val="0"/>
                  <w:vAlign w:val="center"/>
                </w:tcPr>
                <w:p w14:paraId="79CD03FD">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71</w:t>
                  </w:r>
                </w:p>
              </w:tc>
              <w:tc>
                <w:tcPr>
                  <w:tcW w:w="1197" w:type="dxa"/>
                  <w:tcBorders>
                    <w:tl2br w:val="nil"/>
                    <w:tr2bl w:val="nil"/>
                  </w:tcBorders>
                  <w:noWrap w:val="0"/>
                  <w:vAlign w:val="center"/>
                </w:tcPr>
                <w:p w14:paraId="6D7EEC5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70</w:t>
                  </w:r>
                </w:p>
              </w:tc>
              <w:tc>
                <w:tcPr>
                  <w:tcW w:w="1116" w:type="dxa"/>
                  <w:tcBorders>
                    <w:tl2br w:val="nil"/>
                    <w:tr2bl w:val="nil"/>
                  </w:tcBorders>
                  <w:noWrap w:val="0"/>
                  <w:vAlign w:val="center"/>
                </w:tcPr>
                <w:p w14:paraId="4BD30C2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101</w:t>
                  </w:r>
                </w:p>
              </w:tc>
              <w:tc>
                <w:tcPr>
                  <w:tcW w:w="1124" w:type="dxa"/>
                  <w:tcBorders>
                    <w:tl2br w:val="nil"/>
                    <w:tr2bl w:val="nil"/>
                  </w:tcBorders>
                  <w:noWrap w:val="0"/>
                  <w:vAlign w:val="center"/>
                </w:tcPr>
                <w:p w14:paraId="591CFB8F">
                  <w:pPr>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超</w:t>
                  </w:r>
                  <w:r>
                    <w:rPr>
                      <w:rFonts w:hint="default" w:ascii="Times New Roman" w:hAnsi="Times New Roman" w:cs="Times New Roman"/>
                      <w:color w:val="000000" w:themeColor="text1"/>
                      <w:szCs w:val="21"/>
                      <w14:textFill>
                        <w14:solidFill>
                          <w14:schemeClr w14:val="tx1"/>
                        </w14:solidFill>
                      </w14:textFill>
                    </w:rPr>
                    <w:t>标</w:t>
                  </w:r>
                </w:p>
              </w:tc>
            </w:tr>
            <w:tr w14:paraId="18CD7B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9" w:type="dxa"/>
                  <w:tcBorders>
                    <w:tl2br w:val="nil"/>
                    <w:tr2bl w:val="nil"/>
                  </w:tcBorders>
                  <w:noWrap w:val="0"/>
                  <w:vAlign w:val="center"/>
                </w:tcPr>
                <w:p w14:paraId="053F15B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O</w:t>
                  </w:r>
                  <w:r>
                    <w:rPr>
                      <w:rFonts w:hint="default" w:ascii="Times New Roman" w:hAnsi="Times New Roman" w:cs="Times New Roman"/>
                      <w:bCs/>
                      <w:color w:val="000000" w:themeColor="text1"/>
                      <w:szCs w:val="21"/>
                      <w:vertAlign w:val="subscript"/>
                      <w14:textFill>
                        <w14:solidFill>
                          <w14:schemeClr w14:val="tx1"/>
                        </w14:solidFill>
                      </w14:textFill>
                    </w:rPr>
                    <w:t>3</w:t>
                  </w:r>
                </w:p>
              </w:tc>
              <w:tc>
                <w:tcPr>
                  <w:tcW w:w="2372" w:type="dxa"/>
                  <w:tcBorders>
                    <w:tl2br w:val="nil"/>
                    <w:tr2bl w:val="nil"/>
                  </w:tcBorders>
                  <w:noWrap w:val="0"/>
                  <w:vAlign w:val="center"/>
                </w:tcPr>
                <w:p w14:paraId="4FD1DAB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日最大8小时平均浓度第90百分位数</w:t>
                  </w:r>
                </w:p>
              </w:tc>
              <w:tc>
                <w:tcPr>
                  <w:tcW w:w="1176" w:type="dxa"/>
                  <w:tcBorders>
                    <w:tl2br w:val="nil"/>
                    <w:tr2bl w:val="nil"/>
                  </w:tcBorders>
                  <w:noWrap w:val="0"/>
                  <w:vAlign w:val="center"/>
                </w:tcPr>
                <w:p w14:paraId="555484E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108</w:t>
                  </w:r>
                </w:p>
              </w:tc>
              <w:tc>
                <w:tcPr>
                  <w:tcW w:w="1197" w:type="dxa"/>
                  <w:tcBorders>
                    <w:tl2br w:val="nil"/>
                    <w:tr2bl w:val="nil"/>
                  </w:tcBorders>
                  <w:noWrap w:val="0"/>
                  <w:vAlign w:val="center"/>
                </w:tcPr>
                <w:p w14:paraId="43C4EA7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160</w:t>
                  </w:r>
                </w:p>
              </w:tc>
              <w:tc>
                <w:tcPr>
                  <w:tcW w:w="1116" w:type="dxa"/>
                  <w:tcBorders>
                    <w:tl2br w:val="nil"/>
                    <w:tr2bl w:val="nil"/>
                  </w:tcBorders>
                  <w:noWrap w:val="0"/>
                  <w:vAlign w:val="center"/>
                </w:tcPr>
                <w:p w14:paraId="77392F5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67.5</w:t>
                  </w:r>
                </w:p>
              </w:tc>
              <w:tc>
                <w:tcPr>
                  <w:tcW w:w="1124" w:type="dxa"/>
                  <w:tcBorders>
                    <w:tl2br w:val="nil"/>
                    <w:tr2bl w:val="nil"/>
                  </w:tcBorders>
                  <w:noWrap w:val="0"/>
                  <w:vAlign w:val="center"/>
                </w:tcPr>
                <w:p w14:paraId="488F35D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6AE788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9" w:type="dxa"/>
                  <w:tcBorders>
                    <w:tl2br w:val="nil"/>
                    <w:tr2bl w:val="nil"/>
                  </w:tcBorders>
                  <w:noWrap w:val="0"/>
                  <w:vAlign w:val="center"/>
                </w:tcPr>
                <w:p w14:paraId="40051BE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NO</w:t>
                  </w:r>
                  <w:r>
                    <w:rPr>
                      <w:rFonts w:hint="default" w:ascii="Times New Roman" w:hAnsi="Times New Roman" w:cs="Times New Roman"/>
                      <w:bCs/>
                      <w:color w:val="000000" w:themeColor="text1"/>
                      <w:szCs w:val="21"/>
                      <w:vertAlign w:val="subscript"/>
                      <w14:textFill>
                        <w14:solidFill>
                          <w14:schemeClr w14:val="tx1"/>
                        </w14:solidFill>
                      </w14:textFill>
                    </w:rPr>
                    <w:t>2</w:t>
                  </w:r>
                </w:p>
              </w:tc>
              <w:tc>
                <w:tcPr>
                  <w:tcW w:w="2372" w:type="dxa"/>
                  <w:tcBorders>
                    <w:tl2br w:val="nil"/>
                    <w:tr2bl w:val="nil"/>
                  </w:tcBorders>
                  <w:noWrap w:val="0"/>
                  <w:vAlign w:val="center"/>
                </w:tcPr>
                <w:p w14:paraId="5E21914F">
                  <w:pPr>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24小时</w:t>
                  </w:r>
                  <w:r>
                    <w:rPr>
                      <w:rFonts w:hint="default" w:ascii="Times New Roman" w:hAnsi="Times New Roman" w:cs="Times New Roman"/>
                      <w:color w:val="000000" w:themeColor="text1"/>
                      <w:szCs w:val="21"/>
                      <w14:textFill>
                        <w14:solidFill>
                          <w14:schemeClr w14:val="tx1"/>
                        </w14:solidFill>
                      </w14:textFill>
                    </w:rPr>
                    <w:t>平均浓度</w:t>
                  </w:r>
                </w:p>
              </w:tc>
              <w:tc>
                <w:tcPr>
                  <w:tcW w:w="1176" w:type="dxa"/>
                  <w:tcBorders>
                    <w:tl2br w:val="nil"/>
                    <w:tr2bl w:val="nil"/>
                  </w:tcBorders>
                  <w:noWrap w:val="0"/>
                  <w:vAlign w:val="center"/>
                </w:tcPr>
                <w:p w14:paraId="287DEE6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27</w:t>
                  </w:r>
                </w:p>
              </w:tc>
              <w:tc>
                <w:tcPr>
                  <w:tcW w:w="1197" w:type="dxa"/>
                  <w:tcBorders>
                    <w:tl2br w:val="nil"/>
                    <w:tr2bl w:val="nil"/>
                  </w:tcBorders>
                  <w:noWrap w:val="0"/>
                  <w:vAlign w:val="center"/>
                </w:tcPr>
                <w:p w14:paraId="2B79D53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40</w:t>
                  </w:r>
                </w:p>
              </w:tc>
              <w:tc>
                <w:tcPr>
                  <w:tcW w:w="1116" w:type="dxa"/>
                  <w:tcBorders>
                    <w:tl2br w:val="nil"/>
                    <w:tr2bl w:val="nil"/>
                  </w:tcBorders>
                  <w:noWrap w:val="0"/>
                  <w:vAlign w:val="center"/>
                </w:tcPr>
                <w:p w14:paraId="504564C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67.5</w:t>
                  </w:r>
                </w:p>
              </w:tc>
              <w:tc>
                <w:tcPr>
                  <w:tcW w:w="1124" w:type="dxa"/>
                  <w:tcBorders>
                    <w:tl2br w:val="nil"/>
                    <w:tr2bl w:val="nil"/>
                  </w:tcBorders>
                  <w:noWrap w:val="0"/>
                  <w:vAlign w:val="center"/>
                </w:tcPr>
                <w:p w14:paraId="005F4702">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FB184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9" w:type="dxa"/>
                  <w:tcBorders>
                    <w:tl2br w:val="nil"/>
                    <w:tr2bl w:val="nil"/>
                  </w:tcBorders>
                  <w:noWrap w:val="0"/>
                  <w:vAlign w:val="center"/>
                </w:tcPr>
                <w:p w14:paraId="785B9B4F">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CO</w:t>
                  </w:r>
                </w:p>
              </w:tc>
              <w:tc>
                <w:tcPr>
                  <w:tcW w:w="2372" w:type="dxa"/>
                  <w:tcBorders>
                    <w:tl2br w:val="nil"/>
                    <w:tr2bl w:val="nil"/>
                  </w:tcBorders>
                  <w:noWrap w:val="0"/>
                  <w:vAlign w:val="center"/>
                </w:tcPr>
                <w:p w14:paraId="55C172A0">
                  <w:pPr>
                    <w:snapToGrid w:val="0"/>
                    <w:spacing w:beforeLines="8" w:afterLines="8"/>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24小时平均浓度第95百分位数</w:t>
                  </w:r>
                </w:p>
              </w:tc>
              <w:tc>
                <w:tcPr>
                  <w:tcW w:w="1176" w:type="dxa"/>
                  <w:tcBorders>
                    <w:tl2br w:val="nil"/>
                    <w:tr2bl w:val="nil"/>
                  </w:tcBorders>
                  <w:noWrap w:val="0"/>
                  <w:vAlign w:val="center"/>
                </w:tcPr>
                <w:p w14:paraId="557B118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w:t>
                  </w:r>
                </w:p>
              </w:tc>
              <w:tc>
                <w:tcPr>
                  <w:tcW w:w="1197" w:type="dxa"/>
                  <w:tcBorders>
                    <w:tl2br w:val="nil"/>
                    <w:tr2bl w:val="nil"/>
                  </w:tcBorders>
                  <w:noWrap w:val="0"/>
                  <w:vAlign w:val="center"/>
                </w:tcPr>
                <w:p w14:paraId="493014C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4</w:t>
                  </w:r>
                </w:p>
              </w:tc>
              <w:tc>
                <w:tcPr>
                  <w:tcW w:w="1116" w:type="dxa"/>
                  <w:tcBorders>
                    <w:tl2br w:val="nil"/>
                    <w:tr2bl w:val="nil"/>
                  </w:tcBorders>
                  <w:noWrap w:val="0"/>
                  <w:vAlign w:val="center"/>
                </w:tcPr>
                <w:p w14:paraId="74E88C0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17.5</w:t>
                  </w:r>
                </w:p>
              </w:tc>
              <w:tc>
                <w:tcPr>
                  <w:tcW w:w="1124" w:type="dxa"/>
                  <w:tcBorders>
                    <w:tl2br w:val="nil"/>
                    <w:tr2bl w:val="nil"/>
                  </w:tcBorders>
                  <w:noWrap w:val="0"/>
                  <w:vAlign w:val="center"/>
                </w:tcPr>
                <w:p w14:paraId="7AA4064C">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41FC7C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9" w:type="dxa"/>
                  <w:tcBorders>
                    <w:tl2br w:val="nil"/>
                    <w:tr2bl w:val="nil"/>
                  </w:tcBorders>
                  <w:noWrap w:val="0"/>
                  <w:vAlign w:val="center"/>
                </w:tcPr>
                <w:p w14:paraId="2D26AE4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SO</w:t>
                  </w:r>
                  <w:r>
                    <w:rPr>
                      <w:rFonts w:hint="default" w:ascii="Times New Roman" w:hAnsi="Times New Roman" w:cs="Times New Roman"/>
                      <w:bCs/>
                      <w:color w:val="000000" w:themeColor="text1"/>
                      <w:szCs w:val="21"/>
                      <w:vertAlign w:val="subscript"/>
                      <w14:textFill>
                        <w14:solidFill>
                          <w14:schemeClr w14:val="tx1"/>
                        </w14:solidFill>
                      </w14:textFill>
                    </w:rPr>
                    <w:t>2</w:t>
                  </w:r>
                </w:p>
              </w:tc>
              <w:tc>
                <w:tcPr>
                  <w:tcW w:w="2372" w:type="dxa"/>
                  <w:tcBorders>
                    <w:tl2br w:val="nil"/>
                    <w:tr2bl w:val="nil"/>
                  </w:tcBorders>
                  <w:noWrap w:val="0"/>
                  <w:vAlign w:val="center"/>
                </w:tcPr>
                <w:p w14:paraId="645C1C45">
                  <w:pPr>
                    <w:snapToGrid w:val="0"/>
                    <w:spacing w:beforeLines="8" w:afterLines="8"/>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24小时</w:t>
                  </w:r>
                  <w:r>
                    <w:rPr>
                      <w:rFonts w:hint="default" w:ascii="Times New Roman" w:hAnsi="Times New Roman" w:cs="Times New Roman"/>
                      <w:color w:val="000000" w:themeColor="text1"/>
                      <w:szCs w:val="21"/>
                      <w14:textFill>
                        <w14:solidFill>
                          <w14:schemeClr w14:val="tx1"/>
                        </w14:solidFill>
                      </w14:textFill>
                    </w:rPr>
                    <w:t>平均浓度</w:t>
                  </w:r>
                </w:p>
              </w:tc>
              <w:tc>
                <w:tcPr>
                  <w:tcW w:w="1176" w:type="dxa"/>
                  <w:tcBorders>
                    <w:tl2br w:val="nil"/>
                    <w:tr2bl w:val="nil"/>
                  </w:tcBorders>
                  <w:noWrap w:val="0"/>
                  <w:vAlign w:val="center"/>
                </w:tcPr>
                <w:p w14:paraId="3FF089B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w:t>
                  </w:r>
                </w:p>
              </w:tc>
              <w:tc>
                <w:tcPr>
                  <w:tcW w:w="1197" w:type="dxa"/>
                  <w:tcBorders>
                    <w:tl2br w:val="nil"/>
                    <w:tr2bl w:val="nil"/>
                  </w:tcBorders>
                  <w:noWrap w:val="0"/>
                  <w:vAlign w:val="center"/>
                </w:tcPr>
                <w:p w14:paraId="6AF2D76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60</w:t>
                  </w:r>
                </w:p>
              </w:tc>
              <w:tc>
                <w:tcPr>
                  <w:tcW w:w="1116" w:type="dxa"/>
                  <w:tcBorders>
                    <w:tl2br w:val="nil"/>
                    <w:tr2bl w:val="nil"/>
                  </w:tcBorders>
                  <w:noWrap w:val="0"/>
                  <w:vAlign w:val="center"/>
                </w:tcPr>
                <w:p w14:paraId="6C70861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w:t>
                  </w:r>
                </w:p>
              </w:tc>
              <w:tc>
                <w:tcPr>
                  <w:tcW w:w="1124" w:type="dxa"/>
                  <w:tcBorders>
                    <w:tl2br w:val="nil"/>
                    <w:tr2bl w:val="nil"/>
                  </w:tcBorders>
                  <w:noWrap w:val="0"/>
                  <w:vAlign w:val="center"/>
                </w:tcPr>
                <w:p w14:paraId="56ED9F8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bl>
          <w:p w14:paraId="139D69E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由上表可知，202</w:t>
            </w:r>
            <w:r>
              <w:rPr>
                <w:rFonts w:hint="default"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年渑池县环境空气质量</w:t>
            </w:r>
            <w:r>
              <w:rPr>
                <w:rFonts w:hint="default" w:ascii="Times New Roman" w:hAnsi="Times New Roman" w:cs="Times New Roman"/>
                <w:color w:val="000000" w:themeColor="text1"/>
                <w:sz w:val="24"/>
                <w:highlight w:val="none"/>
                <w:lang w:eastAsia="zh-CN"/>
                <w14:textFill>
                  <w14:solidFill>
                    <w14:schemeClr w14:val="tx1"/>
                  </w14:solidFill>
                </w14:textFill>
              </w:rPr>
              <w:t>中SO</w:t>
            </w:r>
            <w:r>
              <w:rPr>
                <w:rFonts w:hint="default" w:ascii="Times New Roman" w:hAnsi="Times New Roman" w:cs="Times New Roman"/>
                <w:color w:val="000000" w:themeColor="text1"/>
                <w:sz w:val="24"/>
                <w:highlight w:val="none"/>
                <w:vertAlign w:val="subscript"/>
                <w:lang w:eastAsia="zh-CN"/>
                <w14:textFill>
                  <w14:solidFill>
                    <w14:schemeClr w14:val="tx1"/>
                  </w14:solidFill>
                </w14:textFill>
              </w:rPr>
              <w:t>2</w:t>
            </w:r>
            <w:r>
              <w:rPr>
                <w:rFonts w:hint="default" w:ascii="Times New Roman" w:hAnsi="Times New Roman" w:cs="Times New Roman"/>
                <w:color w:val="000000" w:themeColor="text1"/>
                <w:sz w:val="24"/>
                <w:highlight w:val="none"/>
                <w:lang w:eastAsia="zh-CN"/>
                <w14:textFill>
                  <w14:solidFill>
                    <w14:schemeClr w14:val="tx1"/>
                  </w14:solidFill>
                </w14:textFill>
              </w:rPr>
              <w:t>、NO</w:t>
            </w:r>
            <w:r>
              <w:rPr>
                <w:rFonts w:hint="default" w:ascii="Times New Roman" w:hAnsi="Times New Roman" w:cs="Times New Roman"/>
                <w:color w:val="000000" w:themeColor="text1"/>
                <w:sz w:val="24"/>
                <w:highlight w:val="none"/>
                <w:vertAlign w:val="subscript"/>
                <w:lang w:eastAsia="zh-CN"/>
                <w14:textFill>
                  <w14:solidFill>
                    <w14:schemeClr w14:val="tx1"/>
                  </w14:solidFill>
                </w14:textFill>
              </w:rPr>
              <w:t>2</w:t>
            </w:r>
            <w:r>
              <w:rPr>
                <w:rFonts w:hint="default" w:ascii="Times New Roman" w:hAnsi="Times New Roman" w:cs="Times New Roman"/>
                <w:color w:val="000000" w:themeColor="text1"/>
                <w:sz w:val="24"/>
                <w:highlight w:val="none"/>
                <w:lang w:eastAsia="zh-CN"/>
                <w14:textFill>
                  <w14:solidFill>
                    <w14:schemeClr w14:val="tx1"/>
                  </w14:solidFill>
                </w14:textFill>
              </w:rPr>
              <w:t>、CO年均值和O</w:t>
            </w:r>
            <w:r>
              <w:rPr>
                <w:rFonts w:hint="default" w:ascii="Times New Roman" w:hAnsi="Times New Roman" w:cs="Times New Roman"/>
                <w:color w:val="000000" w:themeColor="text1"/>
                <w:sz w:val="24"/>
                <w:highlight w:val="none"/>
                <w:vertAlign w:val="subscript"/>
                <w:lang w:eastAsia="zh-CN"/>
                <w14:textFill>
                  <w14:solidFill>
                    <w14:schemeClr w14:val="tx1"/>
                  </w14:solidFill>
                </w14:textFill>
              </w:rPr>
              <w:t>3</w:t>
            </w:r>
            <w:r>
              <w:rPr>
                <w:rFonts w:hint="default" w:ascii="Times New Roman" w:hAnsi="Times New Roman" w:cs="Times New Roman"/>
                <w:color w:val="000000" w:themeColor="text1"/>
                <w:sz w:val="24"/>
                <w:highlight w:val="none"/>
                <w:vertAlign w:val="subscript"/>
                <w:lang w:val="en-US" w:eastAsia="zh-CN"/>
                <w14:textFill>
                  <w14:solidFill>
                    <w14:schemeClr w14:val="tx1"/>
                  </w14:solidFill>
                </w14:textFill>
              </w:rPr>
              <w:t xml:space="preserve"> </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 xml:space="preserve"> </w:t>
            </w:r>
            <w:r>
              <w:rPr>
                <w:rFonts w:hint="default" w:ascii="Times New Roman" w:hAnsi="Times New Roman" w:cs="Times New Roman"/>
                <w:color w:val="000000" w:themeColor="text1"/>
                <w:sz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highlight w:val="none"/>
                <w:lang w:eastAsia="zh-CN"/>
                <w14:textFill>
                  <w14:solidFill>
                    <w14:schemeClr w14:val="tx1"/>
                  </w14:solidFill>
                </w14:textFill>
              </w:rPr>
              <w:t>小时</w:t>
            </w:r>
            <w:r>
              <w:rPr>
                <w:rFonts w:hint="default" w:ascii="Times New Roman" w:hAnsi="Times New Roman" w:cs="Times New Roman"/>
                <w:color w:val="000000" w:themeColor="text1"/>
                <w:sz w:val="24"/>
                <w:highlight w:val="none"/>
                <w:lang w:val="en-US" w:eastAsia="zh-CN"/>
                <w14:textFill>
                  <w14:solidFill>
                    <w14:schemeClr w14:val="tx1"/>
                  </w14:solidFill>
                </w14:textFill>
              </w:rPr>
              <w:t>均值均</w:t>
            </w:r>
            <w:r>
              <w:rPr>
                <w:rFonts w:hint="default" w:ascii="Times New Roman" w:hAnsi="Times New Roman" w:cs="Times New Roman"/>
                <w:color w:val="000000" w:themeColor="text1"/>
                <w:sz w:val="24"/>
                <w:highlight w:val="none"/>
                <w:lang w:eastAsia="zh-CN"/>
                <w14:textFill>
                  <w14:solidFill>
                    <w14:schemeClr w14:val="tx1"/>
                  </w14:solidFill>
                </w14:textFill>
              </w:rPr>
              <w:t>符合</w:t>
            </w:r>
            <w:r>
              <w:rPr>
                <w:rFonts w:hint="default" w:ascii="Times New Roman" w:hAnsi="Times New Roman" w:cs="Times New Roman"/>
                <w:color w:val="000000" w:themeColor="text1"/>
                <w:sz w:val="24"/>
                <w:highlight w:val="none"/>
                <w14:textFill>
                  <w14:solidFill>
                    <w14:schemeClr w14:val="tx1"/>
                  </w14:solidFill>
                </w14:textFill>
              </w:rPr>
              <w:t>《环境空气质量标准》（GB3095-2012）二级标准要求，</w:t>
            </w:r>
            <w:r>
              <w:rPr>
                <w:rFonts w:hint="default" w:ascii="Times New Roman" w:hAnsi="Times New Roman" w:cs="Times New Roman"/>
                <w:color w:val="000000" w:themeColor="text1"/>
                <w:sz w:val="24"/>
                <w:highlight w:val="none"/>
                <w:lang w:eastAsia="zh-CN"/>
                <w14:textFill>
                  <w14:solidFill>
                    <w14:schemeClr w14:val="tx1"/>
                  </w14:solidFill>
                </w14:textFill>
              </w:rPr>
              <w:t>PM</w:t>
            </w:r>
            <w:r>
              <w:rPr>
                <w:rFonts w:hint="default" w:ascii="Times New Roman" w:hAnsi="Times New Roman" w:cs="Times New Roman"/>
                <w:color w:val="000000" w:themeColor="text1"/>
                <w:sz w:val="24"/>
                <w:highlight w:val="none"/>
                <w:vertAlign w:val="subscript"/>
                <w:lang w:eastAsia="zh-CN"/>
                <w14:textFill>
                  <w14:solidFill>
                    <w14:schemeClr w14:val="tx1"/>
                  </w14:solidFill>
                </w14:textFill>
              </w:rPr>
              <w:t>10</w:t>
            </w:r>
            <w:r>
              <w:rPr>
                <w:rFonts w:hint="default" w:ascii="Times New Roman" w:hAnsi="Times New Roman" w:cs="Times New Roman"/>
                <w:color w:val="000000" w:themeColor="text1"/>
                <w:sz w:val="24"/>
                <w:highlight w:val="none"/>
                <w:lang w:eastAsia="zh-CN"/>
                <w14:textFill>
                  <w14:solidFill>
                    <w14:schemeClr w14:val="tx1"/>
                  </w14:solidFill>
                </w14:textFill>
              </w:rPr>
              <w:t>和PM</w:t>
            </w:r>
            <w:r>
              <w:rPr>
                <w:rFonts w:hint="default" w:ascii="Times New Roman" w:hAnsi="Times New Roman" w:cs="Times New Roman"/>
                <w:color w:val="000000" w:themeColor="text1"/>
                <w:sz w:val="24"/>
                <w:highlight w:val="none"/>
                <w:vertAlign w:val="subscript"/>
                <w:lang w:eastAsia="zh-CN"/>
                <w14:textFill>
                  <w14:solidFill>
                    <w14:schemeClr w14:val="tx1"/>
                  </w14:solidFill>
                </w14:textFill>
              </w:rPr>
              <w:t>2.5</w:t>
            </w:r>
            <w:r>
              <w:rPr>
                <w:rFonts w:hint="default" w:ascii="Times New Roman" w:hAnsi="Times New Roman" w:cs="Times New Roman"/>
                <w:color w:val="000000" w:themeColor="text1"/>
                <w:sz w:val="24"/>
                <w:highlight w:val="none"/>
                <w:lang w:eastAsia="zh-CN"/>
                <w14:textFill>
                  <w14:solidFill>
                    <w14:schemeClr w14:val="tx1"/>
                  </w14:solidFill>
                </w14:textFill>
              </w:rPr>
              <w:t>年均值超标，说明</w:t>
            </w:r>
            <w:r>
              <w:rPr>
                <w:rFonts w:hint="default" w:ascii="Times New Roman" w:hAnsi="Times New Roman" w:cs="Times New Roman"/>
                <w:color w:val="000000" w:themeColor="text1"/>
                <w:sz w:val="24"/>
                <w:highlight w:val="none"/>
                <w14:textFill>
                  <w14:solidFill>
                    <w14:schemeClr w14:val="tx1"/>
                  </w14:solidFill>
                </w14:textFill>
              </w:rPr>
              <w:t>渑池县为</w:t>
            </w:r>
            <w:r>
              <w:rPr>
                <w:rFonts w:hint="default" w:ascii="Times New Roman" w:hAnsi="Times New Roman" w:cs="Times New Roman"/>
                <w:color w:val="000000" w:themeColor="text1"/>
                <w:sz w:val="24"/>
                <w:highlight w:val="none"/>
                <w:lang w:eastAsia="zh-CN"/>
                <w14:textFill>
                  <w14:solidFill>
                    <w14:schemeClr w14:val="tx1"/>
                  </w14:solidFill>
                </w14:textFill>
              </w:rPr>
              <w:t>非</w:t>
            </w:r>
            <w:r>
              <w:rPr>
                <w:rFonts w:hint="default" w:ascii="Times New Roman" w:hAnsi="Times New Roman" w:cs="Times New Roman"/>
                <w:color w:val="000000" w:themeColor="text1"/>
                <w:sz w:val="24"/>
                <w:highlight w:val="none"/>
                <w14:textFill>
                  <w14:solidFill>
                    <w14:schemeClr w14:val="tx1"/>
                  </w14:solidFill>
                </w14:textFill>
              </w:rPr>
              <w:t>达标区域。</w:t>
            </w:r>
          </w:p>
          <w:p w14:paraId="2542CEB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为进一步促进空气质量良好发展，保证空气质量</w:t>
            </w:r>
            <w:r>
              <w:rPr>
                <w:rFonts w:hint="default" w:ascii="Times New Roman" w:hAnsi="Times New Roman" w:cs="Times New Roman"/>
                <w:color w:val="000000" w:themeColor="text1"/>
                <w:sz w:val="24"/>
                <w:highlight w:val="none"/>
                <w:lang w:eastAsia="zh-CN"/>
                <w14:textFill>
                  <w14:solidFill>
                    <w14:schemeClr w14:val="tx1"/>
                  </w14:solidFill>
                </w14:textFill>
              </w:rPr>
              <w:t>不断改善</w:t>
            </w:r>
            <w:r>
              <w:rPr>
                <w:rFonts w:hint="default" w:ascii="Times New Roman" w:hAnsi="Times New Roman" w:cs="Times New Roman"/>
                <w:color w:val="000000" w:themeColor="text1"/>
                <w:sz w:val="24"/>
                <w:highlight w:val="none"/>
                <w14:textFill>
                  <w14:solidFill>
                    <w14:schemeClr w14:val="tx1"/>
                  </w14:solidFill>
                </w14:textFill>
              </w:rPr>
              <w:t>，渑池县正在实施《渑池县2023年蓝天保卫战实施方案》（渑环攻坚办〔2023〕6号）等一系列措施，将不断改善区域大气环境质量。</w:t>
            </w:r>
          </w:p>
          <w:p w14:paraId="7F06A02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 w:val="0"/>
                <w:bCs w:val="0"/>
                <w:color w:val="000000" w:themeColor="text1"/>
                <w:sz w:val="24"/>
                <w:highlight w:val="none"/>
                <w:u w:val="none"/>
                <w14:textFill>
                  <w14:solidFill>
                    <w14:schemeClr w14:val="tx1"/>
                  </w14:solidFill>
                </w14:textFill>
              </w:rPr>
            </w:pPr>
            <w:r>
              <w:rPr>
                <w:rFonts w:hint="default" w:ascii="Times New Roman" w:hAnsi="Times New Roman" w:cs="Times New Roman"/>
                <w:b w:val="0"/>
                <w:bCs w:val="0"/>
                <w:color w:val="000000" w:themeColor="text1"/>
                <w:sz w:val="24"/>
                <w:highlight w:val="none"/>
                <w:u w:val="none"/>
                <w14:textFill>
                  <w14:solidFill>
                    <w14:schemeClr w14:val="tx1"/>
                  </w14:solidFill>
                </w14:textFill>
              </w:rPr>
              <w:t>②特征因子监测</w:t>
            </w:r>
          </w:p>
          <w:p w14:paraId="457B352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 w:val="0"/>
                <w:bCs w:val="0"/>
                <w:color w:val="000000" w:themeColor="text1"/>
                <w:sz w:val="24"/>
                <w:highlight w:val="none"/>
                <w:u w:val="none"/>
                <w14:textFill>
                  <w14:solidFill>
                    <w14:schemeClr w14:val="tx1"/>
                  </w14:solidFill>
                </w14:textFill>
              </w:rPr>
            </w:pPr>
            <w:r>
              <w:rPr>
                <w:rFonts w:hint="default" w:ascii="Times New Roman" w:hAnsi="Times New Roman" w:cs="Times New Roman"/>
                <w:b w:val="0"/>
                <w:bCs w:val="0"/>
                <w:color w:val="000000" w:themeColor="text1"/>
                <w:sz w:val="24"/>
                <w:highlight w:val="none"/>
                <w:u w:val="none"/>
                <w14:textFill>
                  <w14:solidFill>
                    <w14:schemeClr w14:val="tx1"/>
                  </w14:solidFill>
                </w14:textFill>
              </w:rPr>
              <w:t>本次评价特征因子</w:t>
            </w:r>
            <w:r>
              <w:rPr>
                <w:rFonts w:hint="default" w:ascii="Times New Roman" w:hAnsi="Times New Roman" w:cs="Times New Roman"/>
                <w:b w:val="0"/>
                <w:bCs w:val="0"/>
                <w:color w:val="000000" w:themeColor="text1"/>
                <w:sz w:val="24"/>
                <w:highlight w:val="none"/>
                <w:u w:val="none"/>
                <w:lang w:val="en-US" w:eastAsia="zh-CN"/>
                <w14:textFill>
                  <w14:solidFill>
                    <w14:schemeClr w14:val="tx1"/>
                  </w14:solidFill>
                </w14:textFill>
              </w:rPr>
              <w:t>NH</w:t>
            </w:r>
            <w:r>
              <w:rPr>
                <w:rFonts w:hint="default" w:ascii="Times New Roman" w:hAnsi="Times New Roman" w:cs="Times New Roman"/>
                <w:b w:val="0"/>
                <w:bCs w:val="0"/>
                <w:color w:val="000000" w:themeColor="text1"/>
                <w:sz w:val="24"/>
                <w:highlight w:val="none"/>
                <w:u w:val="none"/>
                <w:vertAlign w:val="subscript"/>
                <w:lang w:val="en-US" w:eastAsia="zh-CN"/>
                <w14:textFill>
                  <w14:solidFill>
                    <w14:schemeClr w14:val="tx1"/>
                  </w14:solidFill>
                </w14:textFill>
              </w:rPr>
              <w:t>3</w:t>
            </w:r>
            <w:r>
              <w:rPr>
                <w:rFonts w:hint="default" w:ascii="Times New Roman" w:hAnsi="Times New Roman" w:cs="Times New Roman"/>
                <w:b w:val="0"/>
                <w:bCs w:val="0"/>
                <w:color w:val="000000" w:themeColor="text1"/>
                <w:sz w:val="24"/>
                <w:highlight w:val="none"/>
                <w:u w:val="none"/>
                <w:lang w:val="en-US" w:eastAsia="zh-CN"/>
                <w14:textFill>
                  <w14:solidFill>
                    <w14:schemeClr w14:val="tx1"/>
                  </w14:solidFill>
                </w14:textFill>
              </w:rPr>
              <w:t>、H</w:t>
            </w:r>
            <w:r>
              <w:rPr>
                <w:rFonts w:hint="default" w:ascii="Times New Roman" w:hAnsi="Times New Roman" w:cs="Times New Roman"/>
                <w:b w:val="0"/>
                <w:bCs w:val="0"/>
                <w:color w:val="000000" w:themeColor="text1"/>
                <w:sz w:val="24"/>
                <w:highlight w:val="none"/>
                <w:u w:val="none"/>
                <w:vertAlign w:val="subscript"/>
                <w:lang w:val="en-US" w:eastAsia="zh-CN"/>
                <w14:textFill>
                  <w14:solidFill>
                    <w14:schemeClr w14:val="tx1"/>
                  </w14:solidFill>
                </w14:textFill>
              </w:rPr>
              <w:t>2</w:t>
            </w:r>
            <w:r>
              <w:rPr>
                <w:rFonts w:hint="default" w:ascii="Times New Roman" w:hAnsi="Times New Roman" w:cs="Times New Roman"/>
                <w:b w:val="0"/>
                <w:bCs w:val="0"/>
                <w:color w:val="000000" w:themeColor="text1"/>
                <w:sz w:val="24"/>
                <w:highlight w:val="none"/>
                <w:u w:val="none"/>
                <w:lang w:val="en-US" w:eastAsia="zh-CN"/>
                <w14:textFill>
                  <w14:solidFill>
                    <w14:schemeClr w14:val="tx1"/>
                  </w14:solidFill>
                </w14:textFill>
              </w:rPr>
              <w:t>S</w:t>
            </w:r>
            <w:r>
              <w:rPr>
                <w:rFonts w:hint="default" w:ascii="Times New Roman" w:hAnsi="Times New Roman" w:cs="Times New Roman"/>
                <w:b w:val="0"/>
                <w:bCs w:val="0"/>
                <w:color w:val="000000" w:themeColor="text1"/>
                <w:sz w:val="24"/>
                <w:highlight w:val="none"/>
                <w:u w:val="none"/>
                <w14:textFill>
                  <w14:solidFill>
                    <w14:schemeClr w14:val="tx1"/>
                  </w14:solidFill>
                </w14:textFill>
              </w:rPr>
              <w:t>的现状监测</w:t>
            </w:r>
            <w:r>
              <w:rPr>
                <w:rFonts w:hint="eastAsia" w:ascii="Times New Roman" w:hAnsi="Times New Roman" w:cs="Times New Roman"/>
                <w:b w:val="0"/>
                <w:bCs w:val="0"/>
                <w:color w:val="000000" w:themeColor="text1"/>
                <w:sz w:val="24"/>
                <w:highlight w:val="none"/>
                <w:u w:val="none"/>
                <w:lang w:eastAsia="zh-CN"/>
                <w14:textFill>
                  <w14:solidFill>
                    <w14:schemeClr w14:val="tx1"/>
                  </w14:solidFill>
                </w14:textFill>
              </w:rPr>
              <w:t>引</w:t>
            </w:r>
            <w:r>
              <w:rPr>
                <w:rFonts w:hint="default" w:ascii="Times New Roman" w:hAnsi="Times New Roman" w:cs="Times New Roman"/>
                <w:b w:val="0"/>
                <w:bCs w:val="0"/>
                <w:color w:val="000000" w:themeColor="text1"/>
                <w:sz w:val="24"/>
                <w:highlight w:val="none"/>
                <w:u w:val="none"/>
                <w14:textFill>
                  <w14:solidFill>
                    <w14:schemeClr w14:val="tx1"/>
                  </w14:solidFill>
                </w14:textFill>
              </w:rPr>
              <w:t>用</w:t>
            </w:r>
            <w:r>
              <w:rPr>
                <w:rFonts w:hint="default" w:ascii="Times New Roman" w:hAnsi="Times New Roman" w:cs="Times New Roman"/>
                <w:bCs/>
                <w:color w:val="000000" w:themeColor="text1"/>
                <w:sz w:val="24"/>
                <w:highlight w:val="none"/>
                <w14:textFill>
                  <w14:solidFill>
                    <w14:schemeClr w14:val="tx1"/>
                  </w14:solidFill>
                </w14:textFill>
              </w:rPr>
              <w:t>《</w:t>
            </w:r>
            <w:r>
              <w:rPr>
                <w:rFonts w:hint="default" w:ascii="Times New Roman" w:hAnsi="Times New Roman" w:cs="Times New Roman"/>
                <w:b w:val="0"/>
                <w:bCs w:val="0"/>
                <w:color w:val="000000" w:themeColor="text1"/>
                <w:sz w:val="24"/>
                <w:highlight w:val="none"/>
                <w:u w:val="none"/>
                <w14:textFill>
                  <w14:solidFill>
                    <w14:schemeClr w14:val="tx1"/>
                  </w14:solidFill>
                </w14:textFill>
              </w:rPr>
              <w:t>河南仰韶酒业有限公司西厂区酿造车间</w:t>
            </w:r>
            <w:r>
              <w:rPr>
                <w:rFonts w:hint="eastAsia" w:ascii="Times New Roman" w:hAnsi="Times New Roman" w:cs="Times New Roman"/>
                <w:b w:val="0"/>
                <w:bCs w:val="0"/>
                <w:color w:val="000000" w:themeColor="text1"/>
                <w:sz w:val="24"/>
                <w:highlight w:val="none"/>
                <w:u w:val="none"/>
                <w:lang w:eastAsia="zh-CN"/>
                <w14:textFill>
                  <w14:solidFill>
                    <w14:schemeClr w14:val="tx1"/>
                  </w14:solidFill>
                </w14:textFill>
              </w:rPr>
              <w:t>环境影响报告书</w:t>
            </w:r>
            <w:r>
              <w:rPr>
                <w:rFonts w:hint="default" w:ascii="Times New Roman" w:hAnsi="Times New Roman" w:cs="Times New Roman"/>
                <w:bCs/>
                <w:color w:val="000000" w:themeColor="text1"/>
                <w:sz w:val="24"/>
                <w:highlight w:val="none"/>
                <w14:textFill>
                  <w14:solidFill>
                    <w14:schemeClr w14:val="tx1"/>
                  </w14:solidFill>
                </w14:textFill>
              </w:rPr>
              <w:t>》</w:t>
            </w:r>
            <w:r>
              <w:rPr>
                <w:rFonts w:hint="eastAsia" w:ascii="Times New Roman" w:hAnsi="Times New Roman" w:cs="Times New Roman"/>
                <w:bCs/>
                <w:color w:val="000000" w:themeColor="text1"/>
                <w:sz w:val="24"/>
                <w:highlight w:val="none"/>
                <w:lang w:eastAsia="zh-CN"/>
                <w14:textFill>
                  <w14:solidFill>
                    <w14:schemeClr w14:val="tx1"/>
                  </w14:solidFill>
                </w14:textFill>
              </w:rPr>
              <w:t>中</w:t>
            </w:r>
            <w:r>
              <w:rPr>
                <w:rFonts w:hint="default" w:ascii="Times New Roman" w:hAnsi="Times New Roman" w:cs="Times New Roman"/>
                <w:b w:val="0"/>
                <w:bCs w:val="0"/>
                <w:color w:val="000000" w:themeColor="text1"/>
                <w:sz w:val="24"/>
                <w:highlight w:val="none"/>
                <w:u w:val="none"/>
                <w14:textFill>
                  <w14:solidFill>
                    <w14:schemeClr w14:val="tx1"/>
                  </w14:solidFill>
                </w14:textFill>
              </w:rPr>
              <w:t>的现状监测数据，</w:t>
            </w:r>
            <w:r>
              <w:rPr>
                <w:rFonts w:hint="eastAsia" w:ascii="Times New Roman" w:hAnsi="Times New Roman" w:cs="Times New Roman"/>
                <w:bCs/>
                <w:color w:val="000000" w:themeColor="text1"/>
                <w:sz w:val="24"/>
                <w:highlight w:val="none"/>
                <w:lang w:eastAsia="zh-CN"/>
                <w14:textFill>
                  <w14:solidFill>
                    <w14:schemeClr w14:val="tx1"/>
                  </w14:solidFill>
                </w14:textFill>
              </w:rPr>
              <w:t>监测单位为</w:t>
            </w:r>
            <w:r>
              <w:rPr>
                <w:rFonts w:hint="default" w:ascii="Times New Roman" w:hAnsi="Times New Roman" w:cs="Times New Roman"/>
                <w:b w:val="0"/>
                <w:bCs w:val="0"/>
                <w:color w:val="000000" w:themeColor="text1"/>
                <w:sz w:val="24"/>
                <w:highlight w:val="none"/>
                <w:u w:val="none"/>
                <w14:textFill>
                  <w14:solidFill>
                    <w14:schemeClr w14:val="tx1"/>
                  </w14:solidFill>
                </w14:textFill>
              </w:rPr>
              <w:t>河南鼎晟检测技术有限公司</w:t>
            </w:r>
            <w:r>
              <w:rPr>
                <w:rFonts w:hint="eastAsia" w:ascii="Times New Roman" w:hAnsi="Times New Roman" w:cs="Times New Roman"/>
                <w:b w:val="0"/>
                <w:bCs w:val="0"/>
                <w:color w:val="000000" w:themeColor="text1"/>
                <w:sz w:val="24"/>
                <w:highlight w:val="none"/>
                <w:u w:val="none"/>
                <w:lang w:eastAsia="zh-CN"/>
                <w14:textFill>
                  <w14:solidFill>
                    <w14:schemeClr w14:val="tx1"/>
                  </w14:solidFill>
                </w14:textFill>
              </w:rPr>
              <w:t>，监测日期</w:t>
            </w:r>
            <w:r>
              <w:rPr>
                <w:rFonts w:hint="eastAsia" w:ascii="Times New Roman" w:hAnsi="Times New Roman" w:cs="Times New Roman"/>
                <w:b w:val="0"/>
                <w:bCs w:val="0"/>
                <w:color w:val="000000" w:themeColor="text1"/>
                <w:sz w:val="24"/>
                <w:highlight w:val="none"/>
                <w:u w:val="none"/>
                <w:lang w:val="en-US" w:eastAsia="zh-CN"/>
                <w14:textFill>
                  <w14:solidFill>
                    <w14:schemeClr w14:val="tx1"/>
                  </w14:solidFill>
                </w14:textFill>
              </w:rPr>
              <w:t>为</w:t>
            </w:r>
            <w:r>
              <w:rPr>
                <w:rFonts w:hint="default" w:ascii="Times New Roman" w:hAnsi="Times New Roman" w:cs="Times New Roman"/>
                <w:b w:val="0"/>
                <w:bCs w:val="0"/>
                <w:color w:val="000000" w:themeColor="text1"/>
                <w:sz w:val="24"/>
                <w:highlight w:val="none"/>
                <w:u w:val="none"/>
                <w14:textFill>
                  <w14:solidFill>
                    <w14:schemeClr w14:val="tx1"/>
                  </w14:solidFill>
                </w14:textFill>
              </w:rPr>
              <w:t>202</w:t>
            </w:r>
            <w:r>
              <w:rPr>
                <w:rFonts w:hint="default" w:ascii="Times New Roman" w:hAnsi="Times New Roman" w:cs="Times New Roman"/>
                <w:b w:val="0"/>
                <w:bCs w:val="0"/>
                <w:color w:val="000000" w:themeColor="text1"/>
                <w:sz w:val="24"/>
                <w:highlight w:val="none"/>
                <w:u w:val="none"/>
                <w:lang w:val="en-US" w:eastAsia="zh-CN"/>
                <w14:textFill>
                  <w14:solidFill>
                    <w14:schemeClr w14:val="tx1"/>
                  </w14:solidFill>
                </w14:textFill>
              </w:rPr>
              <w:t>1</w:t>
            </w:r>
            <w:r>
              <w:rPr>
                <w:rFonts w:hint="default" w:ascii="Times New Roman" w:hAnsi="Times New Roman" w:cs="Times New Roman"/>
                <w:b w:val="0"/>
                <w:bCs w:val="0"/>
                <w:color w:val="000000" w:themeColor="text1"/>
                <w:sz w:val="24"/>
                <w:highlight w:val="none"/>
                <w:u w:val="none"/>
                <w14:textFill>
                  <w14:solidFill>
                    <w14:schemeClr w14:val="tx1"/>
                  </w14:solidFill>
                </w14:textFill>
              </w:rPr>
              <w:t>年</w:t>
            </w:r>
            <w:r>
              <w:rPr>
                <w:rFonts w:hint="default" w:ascii="Times New Roman" w:hAnsi="Times New Roman" w:cs="Times New Roman"/>
                <w:b w:val="0"/>
                <w:bCs w:val="0"/>
                <w:color w:val="000000" w:themeColor="text1"/>
                <w:sz w:val="24"/>
                <w:highlight w:val="none"/>
                <w:u w:val="none"/>
                <w:lang w:val="en-US" w:eastAsia="zh-CN"/>
                <w14:textFill>
                  <w14:solidFill>
                    <w14:schemeClr w14:val="tx1"/>
                  </w14:solidFill>
                </w14:textFill>
              </w:rPr>
              <w:t>06</w:t>
            </w:r>
            <w:r>
              <w:rPr>
                <w:rFonts w:hint="default" w:ascii="Times New Roman" w:hAnsi="Times New Roman" w:cs="Times New Roman"/>
                <w:b w:val="0"/>
                <w:bCs w:val="0"/>
                <w:color w:val="000000" w:themeColor="text1"/>
                <w:sz w:val="24"/>
                <w:highlight w:val="none"/>
                <w:u w:val="none"/>
                <w14:textFill>
                  <w14:solidFill>
                    <w14:schemeClr w14:val="tx1"/>
                  </w14:solidFill>
                </w14:textFill>
              </w:rPr>
              <w:t>月</w:t>
            </w:r>
            <w:r>
              <w:rPr>
                <w:rFonts w:hint="default" w:ascii="Times New Roman" w:hAnsi="Times New Roman" w:cs="Times New Roman"/>
                <w:b w:val="0"/>
                <w:bCs w:val="0"/>
                <w:color w:val="000000" w:themeColor="text1"/>
                <w:sz w:val="24"/>
                <w:highlight w:val="none"/>
                <w:u w:val="none"/>
                <w:lang w:val="en-US" w:eastAsia="zh-CN"/>
                <w14:textFill>
                  <w14:solidFill>
                    <w14:schemeClr w14:val="tx1"/>
                  </w14:solidFill>
                </w14:textFill>
              </w:rPr>
              <w:t>2</w:t>
            </w:r>
            <w:r>
              <w:rPr>
                <w:rFonts w:hint="eastAsia" w:ascii="Times New Roman" w:hAnsi="Times New Roman" w:cs="Times New Roman"/>
                <w:b w:val="0"/>
                <w:bCs w:val="0"/>
                <w:color w:val="000000" w:themeColor="text1"/>
                <w:sz w:val="24"/>
                <w:highlight w:val="none"/>
                <w:u w:val="none"/>
                <w:lang w:val="en-US" w:eastAsia="zh-CN"/>
                <w14:textFill>
                  <w14:solidFill>
                    <w14:schemeClr w14:val="tx1"/>
                  </w14:solidFill>
                </w14:textFill>
              </w:rPr>
              <w:t>2</w:t>
            </w:r>
            <w:r>
              <w:rPr>
                <w:rFonts w:hint="default" w:ascii="Times New Roman" w:hAnsi="Times New Roman" w:cs="Times New Roman"/>
                <w:b w:val="0"/>
                <w:bCs w:val="0"/>
                <w:color w:val="000000" w:themeColor="text1"/>
                <w:sz w:val="24"/>
                <w:highlight w:val="none"/>
                <w:u w:val="none"/>
                <w14:textFill>
                  <w14:solidFill>
                    <w14:schemeClr w14:val="tx1"/>
                  </w14:solidFill>
                </w14:textFill>
              </w:rPr>
              <w:t>日～202</w:t>
            </w:r>
            <w:r>
              <w:rPr>
                <w:rFonts w:hint="default" w:ascii="Times New Roman" w:hAnsi="Times New Roman" w:cs="Times New Roman"/>
                <w:b w:val="0"/>
                <w:bCs w:val="0"/>
                <w:color w:val="000000" w:themeColor="text1"/>
                <w:sz w:val="24"/>
                <w:highlight w:val="none"/>
                <w:u w:val="none"/>
                <w:lang w:val="en-US" w:eastAsia="zh-CN"/>
                <w14:textFill>
                  <w14:solidFill>
                    <w14:schemeClr w14:val="tx1"/>
                  </w14:solidFill>
                </w14:textFill>
              </w:rPr>
              <w:t>1</w:t>
            </w:r>
            <w:r>
              <w:rPr>
                <w:rFonts w:hint="default" w:ascii="Times New Roman" w:hAnsi="Times New Roman" w:cs="Times New Roman"/>
                <w:b w:val="0"/>
                <w:bCs w:val="0"/>
                <w:color w:val="000000" w:themeColor="text1"/>
                <w:sz w:val="24"/>
                <w:highlight w:val="none"/>
                <w:u w:val="none"/>
                <w14:textFill>
                  <w14:solidFill>
                    <w14:schemeClr w14:val="tx1"/>
                  </w14:solidFill>
                </w14:textFill>
              </w:rPr>
              <w:t>年</w:t>
            </w:r>
            <w:r>
              <w:rPr>
                <w:rFonts w:hint="default" w:ascii="Times New Roman" w:hAnsi="Times New Roman" w:cs="Times New Roman"/>
                <w:b w:val="0"/>
                <w:bCs w:val="0"/>
                <w:color w:val="000000" w:themeColor="text1"/>
                <w:sz w:val="24"/>
                <w:highlight w:val="none"/>
                <w:u w:val="none"/>
                <w:lang w:val="en-US" w:eastAsia="zh-CN"/>
                <w14:textFill>
                  <w14:solidFill>
                    <w14:schemeClr w14:val="tx1"/>
                  </w14:solidFill>
                </w14:textFill>
              </w:rPr>
              <w:t>06</w:t>
            </w:r>
            <w:r>
              <w:rPr>
                <w:rFonts w:hint="default" w:ascii="Times New Roman" w:hAnsi="Times New Roman" w:cs="Times New Roman"/>
                <w:b w:val="0"/>
                <w:bCs w:val="0"/>
                <w:color w:val="000000" w:themeColor="text1"/>
                <w:sz w:val="24"/>
                <w:highlight w:val="none"/>
                <w:u w:val="none"/>
                <w14:textFill>
                  <w14:solidFill>
                    <w14:schemeClr w14:val="tx1"/>
                  </w14:solidFill>
                </w14:textFill>
              </w:rPr>
              <w:t>月</w:t>
            </w:r>
            <w:r>
              <w:rPr>
                <w:rFonts w:hint="default" w:ascii="Times New Roman" w:hAnsi="Times New Roman" w:cs="Times New Roman"/>
                <w:b w:val="0"/>
                <w:bCs w:val="0"/>
                <w:color w:val="000000" w:themeColor="text1"/>
                <w:sz w:val="24"/>
                <w:highlight w:val="none"/>
                <w:u w:val="none"/>
                <w:lang w:val="en-US" w:eastAsia="zh-CN"/>
                <w14:textFill>
                  <w14:solidFill>
                    <w14:schemeClr w14:val="tx1"/>
                  </w14:solidFill>
                </w14:textFill>
              </w:rPr>
              <w:t>28</w:t>
            </w:r>
            <w:r>
              <w:rPr>
                <w:rFonts w:hint="default" w:ascii="Times New Roman" w:hAnsi="Times New Roman" w:cs="Times New Roman"/>
                <w:b w:val="0"/>
                <w:bCs w:val="0"/>
                <w:color w:val="000000" w:themeColor="text1"/>
                <w:sz w:val="24"/>
                <w:highlight w:val="none"/>
                <w:u w:val="none"/>
                <w14:textFill>
                  <w14:solidFill>
                    <w14:schemeClr w14:val="tx1"/>
                  </w14:solidFill>
                </w14:textFill>
              </w:rPr>
              <w:t>日</w:t>
            </w:r>
            <w:r>
              <w:rPr>
                <w:rFonts w:hint="eastAsia" w:ascii="Times New Roman" w:hAnsi="Times New Roman" w:cs="Times New Roman"/>
                <w:b w:val="0"/>
                <w:bCs w:val="0"/>
                <w:color w:val="000000" w:themeColor="text1"/>
                <w:sz w:val="24"/>
                <w:highlight w:val="none"/>
                <w:u w:val="none"/>
                <w:lang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u w:val="none"/>
                <w14:textFill>
                  <w14:solidFill>
                    <w14:schemeClr w14:val="tx1"/>
                  </w14:solidFill>
                </w14:textFill>
              </w:rPr>
              <w:t>监测点位为</w:t>
            </w:r>
            <w:r>
              <w:rPr>
                <w:rFonts w:hint="eastAsia" w:ascii="Times New Roman" w:hAnsi="Times New Roman" w:cs="Times New Roman"/>
                <w:b w:val="0"/>
                <w:bCs w:val="0"/>
                <w:color w:val="000000" w:themeColor="text1"/>
                <w:sz w:val="24"/>
                <w:highlight w:val="none"/>
                <w:u w:val="none"/>
                <w:lang w:val="en-US" w:eastAsia="zh-CN"/>
                <w14:textFill>
                  <w14:solidFill>
                    <w14:schemeClr w14:val="tx1"/>
                  </w14:solidFill>
                </w14:textFill>
              </w:rPr>
              <w:t>乔岭新村</w:t>
            </w:r>
            <w:r>
              <w:rPr>
                <w:rFonts w:hint="default" w:ascii="Times New Roman" w:hAnsi="Times New Roman" w:cs="Times New Roman"/>
                <w:b w:val="0"/>
                <w:bCs w:val="0"/>
                <w:color w:val="000000" w:themeColor="text1"/>
                <w:sz w:val="24"/>
                <w:highlight w:val="none"/>
                <w:u w:val="none"/>
                <w14:textFill>
                  <w14:solidFill>
                    <w14:schemeClr w14:val="tx1"/>
                  </w14:solidFill>
                </w14:textFill>
              </w:rPr>
              <w:t>（</w:t>
            </w:r>
            <w:r>
              <w:rPr>
                <w:rFonts w:hint="eastAsia" w:ascii="Times New Roman" w:hAnsi="Times New Roman" w:cs="Times New Roman"/>
                <w:b w:val="0"/>
                <w:bCs w:val="0"/>
                <w:color w:val="000000" w:themeColor="text1"/>
                <w:sz w:val="24"/>
                <w:highlight w:val="none"/>
                <w:u w:val="none"/>
                <w:lang w:val="en-US" w:eastAsia="zh-CN"/>
                <w14:textFill>
                  <w14:solidFill>
                    <w14:schemeClr w14:val="tx1"/>
                  </w14:solidFill>
                </w14:textFill>
              </w:rPr>
              <w:t>位于扩建项目</w:t>
            </w:r>
            <w:r>
              <w:rPr>
                <w:rFonts w:hint="default" w:ascii="Times New Roman" w:hAnsi="Times New Roman" w:cs="Times New Roman"/>
                <w:b w:val="0"/>
                <w:bCs w:val="0"/>
                <w:color w:val="000000" w:themeColor="text1"/>
                <w:sz w:val="24"/>
                <w:highlight w:val="none"/>
                <w:u w:val="none"/>
                <w:lang w:val="en-US" w:eastAsia="zh-CN"/>
                <w14:textFill>
                  <w14:solidFill>
                    <w14:schemeClr w14:val="tx1"/>
                  </w14:solidFill>
                </w14:textFill>
              </w:rPr>
              <w:t>西</w:t>
            </w:r>
            <w:r>
              <w:rPr>
                <w:rFonts w:hint="eastAsia" w:ascii="Times New Roman" w:hAnsi="Times New Roman" w:cs="Times New Roman"/>
                <w:b w:val="0"/>
                <w:bCs w:val="0"/>
                <w:color w:val="000000" w:themeColor="text1"/>
                <w:sz w:val="24"/>
                <w:highlight w:val="none"/>
                <w:u w:val="none"/>
                <w:lang w:val="en-US" w:eastAsia="zh-CN"/>
                <w14:textFill>
                  <w14:solidFill>
                    <w14:schemeClr w14:val="tx1"/>
                  </w14:solidFill>
                </w14:textFill>
              </w:rPr>
              <w:t>南725</w:t>
            </w:r>
            <w:r>
              <w:rPr>
                <w:rFonts w:hint="default" w:ascii="Times New Roman" w:hAnsi="Times New Roman" w:cs="Times New Roman"/>
                <w:b w:val="0"/>
                <w:bCs w:val="0"/>
                <w:color w:val="000000" w:themeColor="text1"/>
                <w:sz w:val="24"/>
                <w:highlight w:val="none"/>
                <w:u w:val="none"/>
                <w14:textFill>
                  <w14:solidFill>
                    <w14:schemeClr w14:val="tx1"/>
                  </w14:solidFill>
                </w14:textFill>
              </w:rPr>
              <w:t>m</w:t>
            </w:r>
            <w:r>
              <w:rPr>
                <w:rFonts w:hint="eastAsia" w:ascii="Times New Roman" w:hAnsi="Times New Roman" w:cs="Times New Roman"/>
                <w:b w:val="0"/>
                <w:bCs w:val="0"/>
                <w:color w:val="000000" w:themeColor="text1"/>
                <w:sz w:val="24"/>
                <w:highlight w:val="none"/>
                <w:u w:val="none"/>
                <w:lang w:val="en-US" w:eastAsia="zh-CN"/>
                <w14:textFill>
                  <w14:solidFill>
                    <w14:schemeClr w14:val="tx1"/>
                  </w14:solidFill>
                </w14:textFill>
              </w:rPr>
              <w:t>处</w:t>
            </w:r>
            <w:r>
              <w:rPr>
                <w:rFonts w:hint="default" w:ascii="Times New Roman" w:hAnsi="Times New Roman" w:cs="Times New Roman"/>
                <w:b w:val="0"/>
                <w:bCs w:val="0"/>
                <w:color w:val="000000" w:themeColor="text1"/>
                <w:sz w:val="24"/>
                <w:highlight w:val="none"/>
                <w:u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监测点位布设情况详见附图</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四</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u w:val="none"/>
                <w14:textFill>
                  <w14:solidFill>
                    <w14:schemeClr w14:val="tx1"/>
                  </w14:solidFill>
                </w14:textFill>
              </w:rPr>
              <w:t>监测结果见下表。</w:t>
            </w:r>
          </w:p>
          <w:p w14:paraId="30BD68AC">
            <w:pPr>
              <w:pStyle w:val="104"/>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 xml:space="preserve">   </w:t>
            </w:r>
            <w:r>
              <w:rPr>
                <w:rFonts w:hint="eastAsia" w:cs="Times New Roman"/>
                <w:b w:val="0"/>
                <w:bCs w:val="0"/>
                <w:color w:val="000000" w:themeColor="text1"/>
                <w:highlight w:val="none"/>
                <w:u w:val="none"/>
                <w:lang w:val="en-US" w:eastAsia="zh-CN"/>
                <w14:textFill>
                  <w14:solidFill>
                    <w14:schemeClr w14:val="tx1"/>
                  </w14:solidFill>
                </w14:textFill>
              </w:rPr>
              <w:t>特征因子</w:t>
            </w:r>
            <w:r>
              <w:rPr>
                <w:rFonts w:hint="default" w:ascii="Times New Roman" w:hAnsi="Times New Roman" w:cs="Times New Roman"/>
                <w:b w:val="0"/>
                <w:bCs w:val="0"/>
                <w:color w:val="000000" w:themeColor="text1"/>
                <w:highlight w:val="none"/>
                <w:u w:val="none"/>
                <w14:textFill>
                  <w14:solidFill>
                    <w14:schemeClr w14:val="tx1"/>
                  </w14:solidFill>
                </w14:textFill>
              </w:rPr>
              <w:t>监测结果一览表</w:t>
            </w:r>
          </w:p>
          <w:tbl>
            <w:tblPr>
              <w:tblStyle w:val="34"/>
              <w:tblW w:w="79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7"/>
              <w:gridCol w:w="976"/>
              <w:gridCol w:w="1140"/>
              <w:gridCol w:w="1251"/>
              <w:gridCol w:w="1078"/>
              <w:gridCol w:w="946"/>
              <w:gridCol w:w="812"/>
              <w:gridCol w:w="824"/>
            </w:tblGrid>
            <w:tr w14:paraId="502D6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7" w:type="dxa"/>
                  <w:noWrap w:val="0"/>
                  <w:vAlign w:val="center"/>
                </w:tcPr>
                <w:p w14:paraId="394CC0D4">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监测点位</w:t>
                  </w:r>
                </w:p>
              </w:tc>
              <w:tc>
                <w:tcPr>
                  <w:tcW w:w="976" w:type="dxa"/>
                  <w:noWrap w:val="0"/>
                  <w:vAlign w:val="center"/>
                </w:tcPr>
                <w:p w14:paraId="33E622C8">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污染物</w:t>
                  </w:r>
                </w:p>
              </w:tc>
              <w:tc>
                <w:tcPr>
                  <w:tcW w:w="1140" w:type="dxa"/>
                  <w:noWrap w:val="0"/>
                  <w:vAlign w:val="center"/>
                </w:tcPr>
                <w:p w14:paraId="47FFC7D4">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监测时段</w:t>
                  </w:r>
                </w:p>
              </w:tc>
              <w:tc>
                <w:tcPr>
                  <w:tcW w:w="1251" w:type="dxa"/>
                  <w:noWrap w:val="0"/>
                  <w:vAlign w:val="center"/>
                </w:tcPr>
                <w:p w14:paraId="5D06415E">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监测值</w:t>
                  </w:r>
                </w:p>
                <w:p w14:paraId="65B63F5F">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w:t>
                  </w: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μ</w:t>
                  </w:r>
                  <w:r>
                    <w:rPr>
                      <w:rFonts w:hint="default" w:ascii="Times New Roman" w:hAnsi="Times New Roman" w:cs="Times New Roman"/>
                      <w:b w:val="0"/>
                      <w:bCs w:val="0"/>
                      <w:color w:val="000000" w:themeColor="text1"/>
                      <w:szCs w:val="21"/>
                      <w:highlight w:val="none"/>
                      <w:u w:val="none"/>
                      <w14:textFill>
                        <w14:solidFill>
                          <w14:schemeClr w14:val="tx1"/>
                        </w14:solidFill>
                      </w14:textFill>
                    </w:rPr>
                    <w:t>g/m</w:t>
                  </w:r>
                  <w:r>
                    <w:rPr>
                      <w:rFonts w:hint="default" w:ascii="Times New Roman" w:hAnsi="Times New Roman" w:cs="Times New Roman"/>
                      <w:b w:val="0"/>
                      <w:bCs w:val="0"/>
                      <w:color w:val="000000" w:themeColor="text1"/>
                      <w:szCs w:val="21"/>
                      <w:highlight w:val="none"/>
                      <w:u w:val="none"/>
                      <w:vertAlign w:val="superscript"/>
                      <w14:textFill>
                        <w14:solidFill>
                          <w14:schemeClr w14:val="tx1"/>
                        </w14:solidFill>
                      </w14:textFill>
                    </w:rPr>
                    <w:t>3</w:t>
                  </w:r>
                  <w:r>
                    <w:rPr>
                      <w:rFonts w:hint="default" w:ascii="Times New Roman" w:hAnsi="Times New Roman" w:cs="Times New Roman"/>
                      <w:b w:val="0"/>
                      <w:bCs w:val="0"/>
                      <w:color w:val="000000" w:themeColor="text1"/>
                      <w:szCs w:val="21"/>
                      <w:highlight w:val="none"/>
                      <w:u w:val="none"/>
                      <w14:textFill>
                        <w14:solidFill>
                          <w14:schemeClr w14:val="tx1"/>
                        </w14:solidFill>
                      </w14:textFill>
                    </w:rPr>
                    <w:t>）</w:t>
                  </w:r>
                </w:p>
              </w:tc>
              <w:tc>
                <w:tcPr>
                  <w:tcW w:w="1078" w:type="dxa"/>
                  <w:noWrap w:val="0"/>
                  <w:vAlign w:val="center"/>
                </w:tcPr>
                <w:p w14:paraId="2DA5D3C4">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空气污染指数范围</w:t>
                  </w:r>
                </w:p>
              </w:tc>
              <w:tc>
                <w:tcPr>
                  <w:tcW w:w="946" w:type="dxa"/>
                  <w:noWrap w:val="0"/>
                  <w:vAlign w:val="center"/>
                </w:tcPr>
                <w:p w14:paraId="181399D5">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标准值</w:t>
                  </w:r>
                </w:p>
                <w:p w14:paraId="784BC92B">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w:t>
                  </w: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μ</w:t>
                  </w:r>
                  <w:r>
                    <w:rPr>
                      <w:rFonts w:hint="default" w:ascii="Times New Roman" w:hAnsi="Times New Roman" w:cs="Times New Roman"/>
                      <w:b w:val="0"/>
                      <w:bCs w:val="0"/>
                      <w:color w:val="000000" w:themeColor="text1"/>
                      <w:szCs w:val="21"/>
                      <w:highlight w:val="none"/>
                      <w:u w:val="none"/>
                      <w14:textFill>
                        <w14:solidFill>
                          <w14:schemeClr w14:val="tx1"/>
                        </w14:solidFill>
                      </w14:textFill>
                    </w:rPr>
                    <w:t>g/m</w:t>
                  </w:r>
                  <w:r>
                    <w:rPr>
                      <w:rFonts w:hint="default" w:ascii="Times New Roman" w:hAnsi="Times New Roman" w:cs="Times New Roman"/>
                      <w:b w:val="0"/>
                      <w:bCs w:val="0"/>
                      <w:color w:val="000000" w:themeColor="text1"/>
                      <w:szCs w:val="21"/>
                      <w:highlight w:val="none"/>
                      <w:u w:val="none"/>
                      <w:vertAlign w:val="superscript"/>
                      <w14:textFill>
                        <w14:solidFill>
                          <w14:schemeClr w14:val="tx1"/>
                        </w14:solidFill>
                      </w14:textFill>
                    </w:rPr>
                    <w:t>3</w:t>
                  </w:r>
                  <w:r>
                    <w:rPr>
                      <w:rFonts w:hint="default" w:ascii="Times New Roman" w:hAnsi="Times New Roman" w:cs="Times New Roman"/>
                      <w:b w:val="0"/>
                      <w:bCs w:val="0"/>
                      <w:color w:val="000000" w:themeColor="text1"/>
                      <w:szCs w:val="21"/>
                      <w:highlight w:val="none"/>
                      <w:u w:val="none"/>
                      <w14:textFill>
                        <w14:solidFill>
                          <w14:schemeClr w14:val="tx1"/>
                        </w14:solidFill>
                      </w14:textFill>
                    </w:rPr>
                    <w:t>）</w:t>
                  </w:r>
                </w:p>
              </w:tc>
              <w:tc>
                <w:tcPr>
                  <w:tcW w:w="812" w:type="dxa"/>
                  <w:noWrap w:val="0"/>
                  <w:vAlign w:val="center"/>
                </w:tcPr>
                <w:p w14:paraId="1A58EF71">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最大超标倍数</w:t>
                  </w:r>
                </w:p>
              </w:tc>
              <w:tc>
                <w:tcPr>
                  <w:tcW w:w="824" w:type="dxa"/>
                  <w:noWrap w:val="0"/>
                  <w:vAlign w:val="center"/>
                </w:tcPr>
                <w:p w14:paraId="4FF75748">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超标率</w:t>
                  </w:r>
                </w:p>
                <w:p w14:paraId="159FB7E4">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w:t>
                  </w:r>
                </w:p>
              </w:tc>
            </w:tr>
            <w:tr w14:paraId="5F906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7" w:type="dxa"/>
                  <w:vMerge w:val="restart"/>
                  <w:noWrap w:val="0"/>
                  <w:vAlign w:val="center"/>
                </w:tcPr>
                <w:p w14:paraId="1E9EE0BF">
                  <w:pPr>
                    <w:ind w:left="-105" w:leftChars="-50" w:right="-105" w:rightChars="-50"/>
                    <w:jc w:val="center"/>
                    <w:rPr>
                      <w:rFonts w:hint="default" w:ascii="Times New Roman" w:hAnsi="Times New Roman" w:eastAsia="Times New Roman"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乔岭新村</w:t>
                  </w:r>
                </w:p>
              </w:tc>
              <w:tc>
                <w:tcPr>
                  <w:tcW w:w="976" w:type="dxa"/>
                  <w:noWrap w:val="0"/>
                  <w:vAlign w:val="center"/>
                </w:tcPr>
                <w:p w14:paraId="05EE22D4">
                  <w:pPr>
                    <w:pStyle w:val="270"/>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NH</w:t>
                  </w:r>
                  <w:r>
                    <w:rPr>
                      <w:rFonts w:hint="default" w:ascii="Times New Roman" w:hAnsi="Times New Roman" w:cs="Times New Roman"/>
                      <w:color w:val="000000" w:themeColor="text1"/>
                      <w:highlight w:val="none"/>
                      <w:vertAlign w:val="subscript"/>
                      <w14:textFill>
                        <w14:solidFill>
                          <w14:schemeClr w14:val="tx1"/>
                        </w14:solidFill>
                      </w14:textFill>
                    </w:rPr>
                    <w:t>3</w:t>
                  </w:r>
                </w:p>
              </w:tc>
              <w:tc>
                <w:tcPr>
                  <w:tcW w:w="1140" w:type="dxa"/>
                  <w:noWrap w:val="0"/>
                  <w:vAlign w:val="center"/>
                </w:tcPr>
                <w:p w14:paraId="527CDABE">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小时均值</w:t>
                  </w:r>
                </w:p>
              </w:tc>
              <w:tc>
                <w:tcPr>
                  <w:tcW w:w="1251" w:type="dxa"/>
                  <w:noWrap w:val="0"/>
                  <w:vAlign w:val="center"/>
                </w:tcPr>
                <w:p w14:paraId="5A487916">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30~47</w:t>
                  </w:r>
                </w:p>
              </w:tc>
              <w:tc>
                <w:tcPr>
                  <w:tcW w:w="1078" w:type="dxa"/>
                  <w:noWrap w:val="0"/>
                  <w:vAlign w:val="center"/>
                </w:tcPr>
                <w:p w14:paraId="35F0C567">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0.15~0.235</w:t>
                  </w:r>
                </w:p>
              </w:tc>
              <w:tc>
                <w:tcPr>
                  <w:tcW w:w="946" w:type="dxa"/>
                  <w:noWrap w:val="0"/>
                  <w:vAlign w:val="center"/>
                </w:tcPr>
                <w:p w14:paraId="43343288">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200</w:t>
                  </w:r>
                </w:p>
              </w:tc>
              <w:tc>
                <w:tcPr>
                  <w:tcW w:w="812" w:type="dxa"/>
                  <w:noWrap w:val="0"/>
                  <w:vAlign w:val="center"/>
                </w:tcPr>
                <w:p w14:paraId="4E8F05DC">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0</w:t>
                  </w:r>
                </w:p>
              </w:tc>
              <w:tc>
                <w:tcPr>
                  <w:tcW w:w="824" w:type="dxa"/>
                  <w:noWrap w:val="0"/>
                  <w:vAlign w:val="center"/>
                </w:tcPr>
                <w:p w14:paraId="6B0B352D">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0</w:t>
                  </w:r>
                </w:p>
              </w:tc>
            </w:tr>
            <w:tr w14:paraId="4297E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7" w:type="dxa"/>
                  <w:vMerge w:val="continue"/>
                  <w:noWrap w:val="0"/>
                  <w:vAlign w:val="center"/>
                </w:tcPr>
                <w:p w14:paraId="2E6FBFA7">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p>
              </w:tc>
              <w:tc>
                <w:tcPr>
                  <w:tcW w:w="976" w:type="dxa"/>
                  <w:noWrap w:val="0"/>
                  <w:vAlign w:val="center"/>
                </w:tcPr>
                <w:p w14:paraId="525B5A3E">
                  <w:pPr>
                    <w:pStyle w:val="270"/>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H</w:t>
                  </w:r>
                  <w:r>
                    <w:rPr>
                      <w:rFonts w:hint="default" w:ascii="Times New Roman" w:hAnsi="Times New Roman" w:cs="Times New Roman"/>
                      <w:color w:val="000000" w:themeColor="text1"/>
                      <w:highlight w:val="none"/>
                      <w:vertAlign w:val="sub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S</w:t>
                  </w:r>
                </w:p>
              </w:tc>
              <w:tc>
                <w:tcPr>
                  <w:tcW w:w="1140" w:type="dxa"/>
                  <w:noWrap w:val="0"/>
                  <w:vAlign w:val="center"/>
                </w:tcPr>
                <w:p w14:paraId="634861AC">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小时均值</w:t>
                  </w:r>
                </w:p>
              </w:tc>
              <w:tc>
                <w:tcPr>
                  <w:tcW w:w="1251" w:type="dxa"/>
                  <w:noWrap w:val="0"/>
                  <w:vAlign w:val="center"/>
                </w:tcPr>
                <w:p w14:paraId="61ED6038">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未检出</w:t>
                  </w:r>
                </w:p>
              </w:tc>
              <w:tc>
                <w:tcPr>
                  <w:tcW w:w="1078" w:type="dxa"/>
                  <w:noWrap w:val="0"/>
                  <w:vAlign w:val="center"/>
                </w:tcPr>
                <w:p w14:paraId="6EC22999">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w:t>
                  </w:r>
                </w:p>
              </w:tc>
              <w:tc>
                <w:tcPr>
                  <w:tcW w:w="946" w:type="dxa"/>
                  <w:noWrap w:val="0"/>
                  <w:vAlign w:val="center"/>
                </w:tcPr>
                <w:p w14:paraId="4EC49BAB">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10</w:t>
                  </w:r>
                </w:p>
              </w:tc>
              <w:tc>
                <w:tcPr>
                  <w:tcW w:w="812" w:type="dxa"/>
                  <w:noWrap w:val="0"/>
                  <w:vAlign w:val="center"/>
                </w:tcPr>
                <w:p w14:paraId="793434D0">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0</w:t>
                  </w:r>
                </w:p>
              </w:tc>
              <w:tc>
                <w:tcPr>
                  <w:tcW w:w="824" w:type="dxa"/>
                  <w:noWrap w:val="0"/>
                  <w:vAlign w:val="center"/>
                </w:tcPr>
                <w:p w14:paraId="408AC7C8">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0</w:t>
                  </w:r>
                </w:p>
              </w:tc>
            </w:tr>
          </w:tbl>
          <w:p w14:paraId="70FD3944">
            <w:pPr>
              <w:spacing w:line="500" w:lineRule="exact"/>
              <w:ind w:firstLine="480" w:firstLineChars="200"/>
              <w:rPr>
                <w:rFonts w:hint="default" w:ascii="Times New Roman" w:hAnsi="Times New Roman" w:cs="Times New Roman"/>
                <w:b w:val="0"/>
                <w:bCs w:val="0"/>
                <w:color w:val="000000" w:themeColor="text1"/>
                <w:sz w:val="24"/>
                <w:highlight w:val="none"/>
                <w:u w:val="none"/>
                <w14:textFill>
                  <w14:solidFill>
                    <w14:schemeClr w14:val="tx1"/>
                  </w14:solidFill>
                </w14:textFill>
              </w:rPr>
            </w:pPr>
            <w:r>
              <w:rPr>
                <w:rFonts w:hint="default" w:ascii="Times New Roman" w:hAnsi="Times New Roman" w:cs="Times New Roman"/>
                <w:b w:val="0"/>
                <w:bCs w:val="0"/>
                <w:color w:val="000000" w:themeColor="text1"/>
                <w:sz w:val="24"/>
                <w:highlight w:val="none"/>
                <w:u w:val="none"/>
                <w14:textFill>
                  <w14:solidFill>
                    <w14:schemeClr w14:val="tx1"/>
                  </w14:solidFill>
                </w14:textFill>
              </w:rPr>
              <w:t>由上表可知，</w:t>
            </w:r>
            <w:r>
              <w:rPr>
                <w:rFonts w:hint="default" w:ascii="Times New Roman" w:hAnsi="Times New Roman" w:cs="Times New Roman"/>
                <w:b w:val="0"/>
                <w:bCs w:val="0"/>
                <w:color w:val="000000" w:themeColor="text1"/>
                <w:sz w:val="24"/>
                <w:highlight w:val="none"/>
                <w:u w:val="none"/>
                <w:lang w:eastAsia="zh-CN"/>
                <w14:textFill>
                  <w14:solidFill>
                    <w14:schemeClr w14:val="tx1"/>
                  </w14:solidFill>
                </w14:textFill>
              </w:rPr>
              <w:t>项目</w:t>
            </w:r>
            <w:r>
              <w:rPr>
                <w:rFonts w:hint="default" w:ascii="Times New Roman" w:hAnsi="Times New Roman" w:cs="Times New Roman"/>
                <w:b w:val="0"/>
                <w:bCs w:val="0"/>
                <w:color w:val="000000" w:themeColor="text1"/>
                <w:sz w:val="24"/>
                <w:highlight w:val="none"/>
                <w:u w:val="none"/>
                <w14:textFill>
                  <w14:solidFill>
                    <w14:schemeClr w14:val="tx1"/>
                  </w14:solidFill>
                </w14:textFill>
              </w:rPr>
              <w:t>所在区域</w:t>
            </w:r>
            <w:r>
              <w:rPr>
                <w:rFonts w:hint="eastAsia" w:ascii="Times New Roman" w:hAnsi="Times New Roman" w:cs="Times New Roman"/>
                <w:b w:val="0"/>
                <w:bCs w:val="0"/>
                <w:color w:val="000000" w:themeColor="text1"/>
                <w:sz w:val="24"/>
                <w:highlight w:val="none"/>
                <w:u w:val="none"/>
                <w:lang w:val="en-US" w:eastAsia="zh-CN"/>
                <w14:textFill>
                  <w14:solidFill>
                    <w14:schemeClr w14:val="tx1"/>
                  </w14:solidFill>
                </w14:textFill>
              </w:rPr>
              <w:t>NH</w:t>
            </w:r>
            <w:r>
              <w:rPr>
                <w:rFonts w:hint="eastAsia" w:ascii="Times New Roman" w:hAnsi="Times New Roman" w:cs="Times New Roman"/>
                <w:b w:val="0"/>
                <w:bCs w:val="0"/>
                <w:color w:val="000000" w:themeColor="text1"/>
                <w:sz w:val="24"/>
                <w:highlight w:val="none"/>
                <w:u w:val="none"/>
                <w:vertAlign w:val="subscript"/>
                <w:lang w:val="en-US" w:eastAsia="zh-CN"/>
                <w14:textFill>
                  <w14:solidFill>
                    <w14:schemeClr w14:val="tx1"/>
                  </w14:solidFill>
                </w14:textFill>
              </w:rPr>
              <w:t>3</w:t>
            </w:r>
            <w:r>
              <w:rPr>
                <w:rFonts w:hint="eastAsia" w:ascii="Times New Roman" w:hAnsi="Times New Roman" w:cs="Times New Roman"/>
                <w:b w:val="0"/>
                <w:bCs w:val="0"/>
                <w:color w:val="000000" w:themeColor="text1"/>
                <w:sz w:val="24"/>
                <w:highlight w:val="none"/>
                <w:u w:val="none"/>
                <w:lang w:val="en-US" w:eastAsia="zh-CN"/>
                <w14:textFill>
                  <w14:solidFill>
                    <w14:schemeClr w14:val="tx1"/>
                  </w14:solidFill>
                </w14:textFill>
              </w:rPr>
              <w:t>、H</w:t>
            </w:r>
            <w:r>
              <w:rPr>
                <w:rFonts w:hint="eastAsia" w:ascii="Times New Roman" w:hAnsi="Times New Roman" w:cs="Times New Roman"/>
                <w:b w:val="0"/>
                <w:bCs w:val="0"/>
                <w:color w:val="000000" w:themeColor="text1"/>
                <w:sz w:val="24"/>
                <w:highlight w:val="none"/>
                <w:u w:val="none"/>
                <w:vertAlign w:val="subscript"/>
                <w:lang w:val="en-US" w:eastAsia="zh-CN"/>
                <w14:textFill>
                  <w14:solidFill>
                    <w14:schemeClr w14:val="tx1"/>
                  </w14:solidFill>
                </w14:textFill>
              </w:rPr>
              <w:t>2</w:t>
            </w:r>
            <w:r>
              <w:rPr>
                <w:rFonts w:hint="eastAsia" w:ascii="Times New Roman" w:hAnsi="Times New Roman" w:cs="Times New Roman"/>
                <w:b w:val="0"/>
                <w:bCs w:val="0"/>
                <w:color w:val="000000" w:themeColor="text1"/>
                <w:sz w:val="24"/>
                <w:highlight w:val="none"/>
                <w:u w:val="none"/>
                <w:lang w:val="en-US" w:eastAsia="zh-CN"/>
                <w14:textFill>
                  <w14:solidFill>
                    <w14:schemeClr w14:val="tx1"/>
                  </w14:solidFill>
                </w14:textFill>
              </w:rPr>
              <w:t>S</w:t>
            </w:r>
            <w:r>
              <w:rPr>
                <w:rFonts w:hint="default" w:ascii="Times New Roman" w:hAnsi="Times New Roman" w:cs="Times New Roman"/>
                <w:b w:val="0"/>
                <w:bCs w:val="0"/>
                <w:color w:val="000000" w:themeColor="text1"/>
                <w:sz w:val="24"/>
                <w:highlight w:val="none"/>
                <w:u w:val="none"/>
                <w14:textFill>
                  <w14:solidFill>
                    <w14:schemeClr w14:val="tx1"/>
                  </w14:solidFill>
                </w14:textFill>
              </w:rPr>
              <w:t>的小时浓度</w:t>
            </w:r>
            <w:r>
              <w:rPr>
                <w:rFonts w:hint="eastAsia" w:ascii="Times New Roman" w:hAnsi="Times New Roman" w:cs="Times New Roman"/>
                <w:b w:val="0"/>
                <w:bCs w:val="0"/>
                <w:color w:val="000000" w:themeColor="text1"/>
                <w:sz w:val="24"/>
                <w:highlight w:val="none"/>
                <w:u w:val="none"/>
                <w:lang w:eastAsia="zh-CN"/>
                <w14:textFill>
                  <w14:solidFill>
                    <w14:schemeClr w14:val="tx1"/>
                  </w14:solidFill>
                </w14:textFill>
              </w:rPr>
              <w:t>均符合</w:t>
            </w:r>
            <w:r>
              <w:rPr>
                <w:rFonts w:hint="default" w:ascii="Times New Roman" w:hAnsi="Times New Roman" w:cs="Times New Roman"/>
                <w:b w:val="0"/>
                <w:bCs w:val="0"/>
                <w:color w:val="000000" w:themeColor="text1"/>
                <w:sz w:val="24"/>
                <w:highlight w:val="none"/>
                <w:u w:val="none"/>
                <w14:textFill>
                  <w14:solidFill>
                    <w14:schemeClr w14:val="tx1"/>
                  </w14:solidFill>
                </w14:textFill>
              </w:rPr>
              <w:t>《环境影响评价技术导则 大气环境》(HJ2.2-2018)中表D.1其他污染物空气质量浓度参考限值。</w:t>
            </w:r>
          </w:p>
          <w:p w14:paraId="671D050C">
            <w:pPr>
              <w:tabs>
                <w:tab w:val="left" w:pos="1665"/>
                <w:tab w:val="left" w:pos="6845"/>
                <w:tab w:val="left" w:pos="7445"/>
              </w:tabs>
              <w:adjustRightInd w:val="0"/>
              <w:snapToGrid w:val="0"/>
              <w:spacing w:line="520" w:lineRule="exact"/>
              <w:ind w:firstLine="482" w:firstLineChars="200"/>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2、地表水质量现状</w:t>
            </w:r>
          </w:p>
          <w:p w14:paraId="4B6FBEF6">
            <w:pPr>
              <w:pStyle w:val="275"/>
              <w:ind w:firstLine="480"/>
              <w:rPr>
                <w:rFonts w:hint="default" w:ascii="Times New Roman" w:hAnsi="Times New Roman" w:cs="Times New Roman"/>
                <w:caps w:val="0"/>
                <w:color w:val="000000" w:themeColor="text1"/>
                <w:lang w:val="en-US" w:eastAsia="zh-CN"/>
                <w14:textFill>
                  <w14:solidFill>
                    <w14:schemeClr w14:val="tx1"/>
                  </w14:solidFill>
                </w14:textFill>
              </w:rPr>
            </w:pPr>
            <w:r>
              <w:rPr>
                <w:rFonts w:hint="eastAsia"/>
                <w:caps w:val="0"/>
                <w:color w:val="000000" w:themeColor="text1"/>
                <w:lang w:eastAsia="zh-CN"/>
                <w14:textFill>
                  <w14:solidFill>
                    <w14:schemeClr w14:val="tx1"/>
                  </w14:solidFill>
                </w14:textFill>
              </w:rPr>
              <w:t>项目周围最近地表</w:t>
            </w:r>
            <w:r>
              <w:rPr>
                <w:rFonts w:hint="default" w:ascii="Times New Roman" w:hAnsi="Times New Roman" w:cs="Times New Roman"/>
                <w:caps w:val="0"/>
                <w:color w:val="000000" w:themeColor="text1"/>
                <w:lang w:eastAsia="zh-CN"/>
                <w14:textFill>
                  <w14:solidFill>
                    <w14:schemeClr w14:val="tx1"/>
                  </w14:solidFill>
                </w14:textFill>
              </w:rPr>
              <w:t>水体为南侧</w:t>
            </w:r>
            <w:r>
              <w:rPr>
                <w:rFonts w:hint="eastAsia" w:ascii="Times New Roman" w:hAnsi="Times New Roman" w:cs="Times New Roman"/>
                <w:caps w:val="0"/>
                <w:color w:val="000000" w:themeColor="text1"/>
                <w:lang w:val="en-US" w:eastAsia="zh-CN"/>
                <w14:textFill>
                  <w14:solidFill>
                    <w14:schemeClr w14:val="tx1"/>
                  </w14:solidFill>
                </w14:textFill>
              </w:rPr>
              <w:t>2k</w:t>
            </w:r>
            <w:r>
              <w:rPr>
                <w:rFonts w:hint="default" w:ascii="Times New Roman" w:hAnsi="Times New Roman" w:cs="Times New Roman"/>
                <w:caps w:val="0"/>
                <w:color w:val="000000" w:themeColor="text1"/>
                <w:lang w:val="en-US" w:eastAsia="zh-CN"/>
                <w14:textFill>
                  <w14:solidFill>
                    <w14:schemeClr w14:val="tx1"/>
                  </w14:solidFill>
                </w14:textFill>
              </w:rPr>
              <w:t>m处的涧河，本次评价选取渑池县涧河出境断面进行区域地表水评价，涧河塔尼断面水环境功能区划为Ⅲ类。</w:t>
            </w:r>
          </w:p>
          <w:p w14:paraId="0CF4EC93">
            <w:pPr>
              <w:pStyle w:val="275"/>
              <w:ind w:firstLine="480"/>
              <w:rPr>
                <w:rFonts w:hint="default" w:ascii="Times New Roman" w:hAnsi="Times New Roman" w:cs="Times New Roman"/>
                <w:caps w:val="0"/>
                <w:color w:val="000000" w:themeColor="text1"/>
                <w14:textFill>
                  <w14:solidFill>
                    <w14:schemeClr w14:val="tx1"/>
                  </w14:solidFill>
                </w14:textFill>
              </w:rPr>
            </w:pPr>
            <w:r>
              <w:rPr>
                <w:rFonts w:hint="default" w:ascii="Times New Roman" w:hAnsi="Times New Roman" w:cs="Times New Roman"/>
                <w:caps w:val="0"/>
                <w:color w:val="000000" w:themeColor="text1"/>
                <w:lang w:val="en-US" w:eastAsia="zh-CN"/>
                <w14:textFill>
                  <w14:solidFill>
                    <w14:schemeClr w14:val="tx1"/>
                  </w14:solidFill>
                </w14:textFill>
              </w:rPr>
              <w:t>根据《渑池县环境质量报告书（2022年度）》涧河塔尼断面2022年监测数据统计结果见下表。</w:t>
            </w:r>
          </w:p>
          <w:p w14:paraId="72AF7629">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line="240" w:lineRule="auto"/>
              <w:ind w:firstLine="0"/>
              <w:textAlignment w:val="auto"/>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highlight w:val="none"/>
                <w:u w:val="none"/>
                <w14:textFill>
                  <w14:solidFill>
                    <w14:schemeClr w14:val="tx1"/>
                  </w14:solidFill>
                </w14:textFill>
              </w:rPr>
              <w:t xml:space="preserve">  202</w:t>
            </w:r>
            <w:r>
              <w:rPr>
                <w:rFonts w:hint="eastAsia" w:cs="Times New Roman"/>
                <w:b w:val="0"/>
                <w:bCs w:val="0"/>
                <w:color w:val="000000" w:themeColor="text1"/>
                <w:highlight w:val="none"/>
                <w:u w:val="none"/>
                <w:lang w:val="en-US" w:eastAsia="zh-CN"/>
                <w14:textFill>
                  <w14:solidFill>
                    <w14:schemeClr w14:val="tx1"/>
                  </w14:solidFill>
                </w14:textFill>
              </w:rPr>
              <w:t>2</w:t>
            </w:r>
            <w:r>
              <w:rPr>
                <w:rFonts w:hint="default" w:ascii="Times New Roman" w:hAnsi="Times New Roman" w:cs="Times New Roman"/>
                <w:b w:val="0"/>
                <w:bCs w:val="0"/>
                <w:color w:val="000000" w:themeColor="text1"/>
                <w:highlight w:val="none"/>
                <w:u w:val="none"/>
                <w14:textFill>
                  <w14:solidFill>
                    <w14:schemeClr w14:val="tx1"/>
                  </w14:solidFill>
                </w14:textFill>
              </w:rPr>
              <w:t>年涧河塔尼断面水质</w:t>
            </w:r>
            <w:r>
              <w:rPr>
                <w:rFonts w:hint="default" w:ascii="Times New Roman" w:hAnsi="Times New Roman" w:cs="Times New Roman"/>
                <w:bCs/>
                <w:color w:val="000000" w:themeColor="text1"/>
                <w:kern w:val="2"/>
                <w:sz w:val="24"/>
                <w:highlight w:val="none"/>
                <w14:textFill>
                  <w14:solidFill>
                    <w14:schemeClr w14:val="tx1"/>
                  </w14:solidFill>
                </w14:textFill>
              </w:rPr>
              <w:t>监测</w:t>
            </w:r>
            <w:r>
              <w:rPr>
                <w:rFonts w:hint="default" w:ascii="Times New Roman" w:hAnsi="Times New Roman" w:cs="Times New Roman"/>
                <w:b w:val="0"/>
                <w:bCs w:val="0"/>
                <w:color w:val="000000" w:themeColor="text1"/>
                <w:highlight w:val="none"/>
                <w:u w:val="none"/>
                <w14:textFill>
                  <w14:solidFill>
                    <w14:schemeClr w14:val="tx1"/>
                  </w14:solidFill>
                </w14:textFill>
              </w:rPr>
              <w:t>结果一览表    单位：mg/L</w:t>
            </w:r>
          </w:p>
          <w:tbl>
            <w:tblPr>
              <w:tblStyle w:val="35"/>
              <w:tblW w:w="797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2800"/>
              <w:gridCol w:w="1994"/>
              <w:gridCol w:w="1994"/>
            </w:tblGrid>
            <w:tr w14:paraId="70E0C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6" w:type="dxa"/>
                  <w:gridSpan w:val="2"/>
                  <w:vMerge w:val="restart"/>
                  <w:tcBorders>
                    <w:tl2br w:val="nil"/>
                    <w:tr2bl w:val="nil"/>
                  </w:tcBorders>
                </w:tcPr>
                <w:p w14:paraId="418B03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mc:AlternateContent>
                      <mc:Choice Requires="wpg">
                        <w:drawing>
                          <wp:anchor distT="0" distB="0" distL="114300" distR="114300" simplePos="0" relativeHeight="251687936" behindDoc="0" locked="0" layoutInCell="1" allowOverlap="1">
                            <wp:simplePos x="0" y="0"/>
                            <wp:positionH relativeFrom="column">
                              <wp:posOffset>-12700</wp:posOffset>
                            </wp:positionH>
                            <wp:positionV relativeFrom="paragraph">
                              <wp:posOffset>5080</wp:posOffset>
                            </wp:positionV>
                            <wp:extent cx="2466975" cy="506095"/>
                            <wp:effectExtent l="635" t="4445" r="8890" b="22860"/>
                            <wp:wrapNone/>
                            <wp:docPr id="10" name="组合 10"/>
                            <wp:cNvGraphicFramePr/>
                            <a:graphic xmlns:a="http://schemas.openxmlformats.org/drawingml/2006/main">
                              <a:graphicData uri="http://schemas.microsoft.com/office/word/2010/wordprocessingGroup">
                                <wpg:wgp>
                                  <wpg:cNvGrpSpPr/>
                                  <wpg:grpSpPr>
                                    <a:xfrm>
                                      <a:off x="0" y="0"/>
                                      <a:ext cx="2466975" cy="506095"/>
                                      <a:chOff x="1717" y="1864"/>
                                      <a:chExt cx="3227" cy="1397"/>
                                    </a:xfrm>
                                  </wpg:grpSpPr>
                                  <wps:wsp>
                                    <wps:cNvPr id="11" name="直接连接符 130"/>
                                    <wps:cNvCnPr/>
                                    <wps:spPr>
                                      <a:xfrm>
                                        <a:off x="3331" y="1864"/>
                                        <a:ext cx="1613" cy="1397"/>
                                      </a:xfrm>
                                      <a:prstGeom prst="line">
                                        <a:avLst/>
                                      </a:prstGeom>
                                      <a:ln w="6350" cap="flat" cmpd="sng">
                                        <a:solidFill>
                                          <a:srgbClr val="000000"/>
                                        </a:solidFill>
                                        <a:prstDash val="solid"/>
                                        <a:headEnd type="none" w="med" len="med"/>
                                        <a:tailEnd type="none" w="med" len="med"/>
                                      </a:ln>
                                    </wps:spPr>
                                    <wps:bodyPr upright="1"/>
                                  </wps:wsp>
                                  <wps:wsp>
                                    <wps:cNvPr id="13" name="直接连接符 131"/>
                                    <wps:cNvCnPr/>
                                    <wps:spPr>
                                      <a:xfrm>
                                        <a:off x="1717" y="2564"/>
                                        <a:ext cx="3227" cy="697"/>
                                      </a:xfrm>
                                      <a:prstGeom prst="line">
                                        <a:avLst/>
                                      </a:prstGeom>
                                      <a:ln w="635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pt;margin-top:0.4pt;height:39.85pt;width:194.25pt;z-index:251687936;mso-width-relative:page;mso-height-relative:page;" coordorigin="1717,1864" coordsize="3227,1397" o:gfxdata="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NGv7sfWAAAABgEAAA8AAAAAAAAAAQAgAAAAIgAAAGRycy9kb3ducmV2LnhtbFBLAQIU&#10;ABQAAAAIAIdO4kCvBeWOoAIAAC0HAAAOAAAAAAAAAAEAIAAAACUBAABkcnMvZTJvRG9jLnhtbFBL&#10;BQYAAAAABgAGAFkBAAA3BgAAAAA=&#10;">
                            <o:lock v:ext="edit" aspectratio="f"/>
                            <v:line id="直接连接符 130" o:spid="_x0000_s1026" o:spt="20" style="position:absolute;left:3331;top:1864;height:1397;width:1613;"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直接连接符 131" o:spid="_x0000_s1026" o:spt="20" style="position:absolute;left:1717;top:2564;height:697;width:3227;" filled="f" stroked="t" coordsize="21600,21600" o:gfxdata="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J2eS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group>
                        </w:pict>
                      </mc:Fallback>
                    </mc:AlternateContent>
                  </w:r>
                  <w:r>
                    <w:rPr>
                      <w:rFonts w:hint="default" w:ascii="Times New Roman" w:hAnsi="Times New Roman" w:eastAsia="宋体" w:cs="Times New Roman"/>
                      <w:bCs/>
                      <w:color w:val="000000" w:themeColor="text1"/>
                      <w:sz w:val="21"/>
                      <w:szCs w:val="21"/>
                      <w:lang w:bidi="ar-SA"/>
                      <w14:textFill>
                        <w14:solidFill>
                          <w14:schemeClr w14:val="tx1"/>
                        </w14:solidFill>
                      </w14:textFill>
                    </w:rPr>
                    <w:t xml:space="preserve">      </w:t>
                  </w:r>
                  <w:r>
                    <w:rPr>
                      <w:rFonts w:hint="eastAsia" w:ascii="Times New Roman" w:hAnsi="Times New Roman" w:eastAsia="宋体" w:cs="Times New Roman"/>
                      <w:bCs/>
                      <w:color w:val="000000" w:themeColor="text1"/>
                      <w:sz w:val="21"/>
                      <w:szCs w:val="21"/>
                      <w:lang w:val="en-US" w:eastAsia="zh-CN" w:bidi="ar-SA"/>
                      <w14:textFill>
                        <w14:solidFill>
                          <w14:schemeClr w14:val="tx1"/>
                        </w14:solidFill>
                      </w14:textFill>
                    </w:rPr>
                    <w:t xml:space="preserve">                 </w:t>
                  </w:r>
                  <w:r>
                    <w:rPr>
                      <w:rFonts w:hint="default" w:ascii="Times New Roman" w:hAnsi="Times New Roman" w:eastAsia="宋体" w:cs="Times New Roman"/>
                      <w:bCs/>
                      <w:color w:val="000000" w:themeColor="text1"/>
                      <w:sz w:val="21"/>
                      <w:szCs w:val="21"/>
                      <w:lang w:bidi="ar-SA"/>
                      <w14:textFill>
                        <w14:solidFill>
                          <w14:schemeClr w14:val="tx1"/>
                        </w14:solidFill>
                      </w14:textFill>
                    </w:rPr>
                    <w:t>断面</w:t>
                  </w:r>
                  <w:r>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t xml:space="preserve"> </w:t>
                  </w:r>
                </w:p>
                <w:p w14:paraId="7A70989C">
                  <w:pPr>
                    <w:keepNext w:val="0"/>
                    <w:keepLines w:val="0"/>
                    <w:pageBreakBefore w:val="0"/>
                    <w:widowControl w:val="0"/>
                    <w:kinsoku/>
                    <w:wordWrap/>
                    <w:overflowPunct/>
                    <w:topLinePunct w:val="0"/>
                    <w:autoSpaceDE/>
                    <w:autoSpaceDN/>
                    <w:bidi w:val="0"/>
                    <w:adjustRightInd/>
                    <w:snapToGrid/>
                    <w:spacing w:line="240" w:lineRule="auto"/>
                    <w:ind w:firstLine="1260" w:firstLineChars="600"/>
                    <w:jc w:val="both"/>
                    <w:textAlignment w:val="auto"/>
                    <w:rPr>
                      <w:rFonts w:hint="default" w:ascii="Times New Roman" w:hAnsi="Times New Roman" w:eastAsia="宋体" w:cs="Times New Roman"/>
                      <w:bCs/>
                      <w:color w:val="000000" w:themeColor="text1"/>
                      <w:sz w:val="21"/>
                      <w:szCs w:val="21"/>
                      <w:lang w:bidi="ar-SA"/>
                      <w14:textFill>
                        <w14:solidFill>
                          <w14:schemeClr w14:val="tx1"/>
                        </w14:solidFill>
                      </w14:textFill>
                    </w:rPr>
                  </w:pPr>
                  <w:r>
                    <w:rPr>
                      <w:rFonts w:hint="default" w:ascii="Times New Roman" w:hAnsi="Times New Roman" w:eastAsia="宋体" w:cs="Times New Roman"/>
                      <w:bCs/>
                      <w:color w:val="000000" w:themeColor="text1"/>
                      <w:sz w:val="21"/>
                      <w:szCs w:val="21"/>
                      <w:lang w:eastAsia="zh-CN" w:bidi="ar-SA"/>
                      <w14:textFill>
                        <w14:solidFill>
                          <w14:schemeClr w14:val="tx1"/>
                        </w14:solidFill>
                      </w14:textFill>
                    </w:rPr>
                    <w:t>参数</w:t>
                  </w:r>
                </w:p>
                <w:p w14:paraId="67BC88A9">
                  <w:pPr>
                    <w:pStyle w:val="104"/>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项目</w:t>
                  </w:r>
                </w:p>
              </w:tc>
              <w:tc>
                <w:tcPr>
                  <w:tcW w:w="3988" w:type="dxa"/>
                  <w:gridSpan w:val="2"/>
                  <w:tcBorders>
                    <w:tl2br w:val="nil"/>
                    <w:tr2bl w:val="nil"/>
                  </w:tcBorders>
                  <w:vAlign w:val="center"/>
                </w:tcPr>
                <w:p w14:paraId="699DF6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bidi="ar-SA"/>
                      <w14:textFill>
                        <w14:solidFill>
                          <w14:schemeClr w14:val="tx1"/>
                        </w14:solidFill>
                      </w14:textFill>
                    </w:rPr>
                    <w:t>塔尼</w:t>
                  </w:r>
                </w:p>
              </w:tc>
            </w:tr>
            <w:tr w14:paraId="0A3CE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86" w:type="dxa"/>
                  <w:gridSpan w:val="2"/>
                  <w:vMerge w:val="continue"/>
                  <w:tcBorders>
                    <w:tl2br w:val="nil"/>
                    <w:tr2bl w:val="nil"/>
                  </w:tcBorders>
                </w:tcPr>
                <w:p w14:paraId="112ACE2C">
                  <w:pPr>
                    <w:pStyle w:val="10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p>
              </w:tc>
              <w:tc>
                <w:tcPr>
                  <w:tcW w:w="1994" w:type="dxa"/>
                  <w:tcBorders>
                    <w:tl2br w:val="nil"/>
                    <w:tr2bl w:val="nil"/>
                  </w:tcBorders>
                  <w:vAlign w:val="center"/>
                </w:tcPr>
                <w:p w14:paraId="7F7E57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均值</w:t>
                  </w:r>
                </w:p>
              </w:tc>
              <w:tc>
                <w:tcPr>
                  <w:tcW w:w="1994" w:type="dxa"/>
                  <w:tcBorders>
                    <w:tl2br w:val="nil"/>
                    <w:tr2bl w:val="nil"/>
                  </w:tcBorders>
                  <w:vAlign w:val="center"/>
                </w:tcPr>
                <w:p w14:paraId="4BB480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类别</w:t>
                  </w:r>
                </w:p>
              </w:tc>
            </w:tr>
            <w:tr w14:paraId="381C8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3AD428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000000" w:themeColor="text1"/>
                      <w:highlight w:val="none"/>
                      <w:u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vertAlign w:val="baseline"/>
                      <w:lang w:val="en-US" w:eastAsia="zh-CN"/>
                      <w14:textFill>
                        <w14:solidFill>
                          <w14:schemeClr w14:val="tx1"/>
                        </w14:solidFill>
                      </w14:textFill>
                    </w:rPr>
                    <w:t>1</w:t>
                  </w:r>
                </w:p>
              </w:tc>
              <w:tc>
                <w:tcPr>
                  <w:tcW w:w="2800" w:type="dxa"/>
                  <w:tcBorders>
                    <w:tl2br w:val="nil"/>
                    <w:tr2bl w:val="nil"/>
                  </w:tcBorders>
                  <w:vAlign w:val="center"/>
                </w:tcPr>
                <w:p w14:paraId="3B7C69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pH</w:t>
                  </w:r>
                  <w:r>
                    <w:rPr>
                      <w:rFonts w:hint="eastAsia" w:ascii="Times New Roman" w:hAnsi="Times New Roman" w:cs="Times New Roman"/>
                      <w:bCs/>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bCs/>
                      <w:color w:val="000000" w:themeColor="text1"/>
                      <w:sz w:val="21"/>
                      <w:szCs w:val="21"/>
                      <w:lang w:bidi="ar-SA"/>
                      <w14:textFill>
                        <w14:solidFill>
                          <w14:schemeClr w14:val="tx1"/>
                        </w14:solidFill>
                      </w14:textFill>
                    </w:rPr>
                    <w:t>无量纲</w:t>
                  </w:r>
                  <w:r>
                    <w:rPr>
                      <w:rFonts w:hint="eastAsia" w:ascii="Times New Roman" w:hAnsi="Times New Roman" w:cs="Times New Roman"/>
                      <w:bCs/>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75787995">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8.0</w:t>
                  </w:r>
                </w:p>
              </w:tc>
              <w:tc>
                <w:tcPr>
                  <w:tcW w:w="1994" w:type="dxa"/>
                  <w:tcBorders>
                    <w:tl2br w:val="nil"/>
                    <w:tr2bl w:val="nil"/>
                  </w:tcBorders>
                  <w:vAlign w:val="center"/>
                </w:tcPr>
                <w:p w14:paraId="7EBD3558">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r w14:paraId="3E249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6FFCAC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2</w:t>
                  </w:r>
                </w:p>
              </w:tc>
              <w:tc>
                <w:tcPr>
                  <w:tcW w:w="2800" w:type="dxa"/>
                  <w:tcBorders>
                    <w:tl2br w:val="nil"/>
                    <w:tr2bl w:val="nil"/>
                  </w:tcBorders>
                  <w:vAlign w:val="center"/>
                </w:tcPr>
                <w:p w14:paraId="144911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溶解氧</w:t>
                  </w:r>
                </w:p>
              </w:tc>
              <w:tc>
                <w:tcPr>
                  <w:tcW w:w="1994" w:type="dxa"/>
                  <w:tcBorders>
                    <w:tl2br w:val="nil"/>
                    <w:tr2bl w:val="nil"/>
                  </w:tcBorders>
                  <w:vAlign w:val="center"/>
                </w:tcPr>
                <w:p w14:paraId="49A072F5">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5.8</w:t>
                  </w:r>
                </w:p>
              </w:tc>
              <w:tc>
                <w:tcPr>
                  <w:tcW w:w="1994" w:type="dxa"/>
                  <w:tcBorders>
                    <w:tl2br w:val="nil"/>
                    <w:tr2bl w:val="nil"/>
                  </w:tcBorders>
                  <w:vAlign w:val="center"/>
                </w:tcPr>
                <w:p w14:paraId="18FE11F2">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Ⅱ</w:t>
                  </w:r>
                </w:p>
              </w:tc>
            </w:tr>
            <w:tr w14:paraId="002CA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03A22A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3</w:t>
                  </w:r>
                </w:p>
              </w:tc>
              <w:tc>
                <w:tcPr>
                  <w:tcW w:w="2800" w:type="dxa"/>
                  <w:tcBorders>
                    <w:tl2br w:val="nil"/>
                    <w:tr2bl w:val="nil"/>
                  </w:tcBorders>
                  <w:vAlign w:val="center"/>
                </w:tcPr>
                <w:p w14:paraId="332A8D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高锰酸盐指数</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13B2F486">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3.8</w:t>
                  </w:r>
                </w:p>
              </w:tc>
              <w:tc>
                <w:tcPr>
                  <w:tcW w:w="1994" w:type="dxa"/>
                  <w:tcBorders>
                    <w:tl2br w:val="nil"/>
                    <w:tr2bl w:val="nil"/>
                  </w:tcBorders>
                  <w:vAlign w:val="center"/>
                </w:tcPr>
                <w:p w14:paraId="40B70D29">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Ⅱ</w:t>
                  </w:r>
                </w:p>
              </w:tc>
            </w:tr>
            <w:tr w14:paraId="4F62E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4F1680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4</w:t>
                  </w:r>
                </w:p>
              </w:tc>
              <w:tc>
                <w:tcPr>
                  <w:tcW w:w="2800" w:type="dxa"/>
                  <w:tcBorders>
                    <w:tl2br w:val="nil"/>
                    <w:tr2bl w:val="nil"/>
                  </w:tcBorders>
                  <w:vAlign w:val="center"/>
                </w:tcPr>
                <w:p w14:paraId="00DC41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五日生化需氧量</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79FBA1B4">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2.9</w:t>
                  </w:r>
                </w:p>
              </w:tc>
              <w:tc>
                <w:tcPr>
                  <w:tcW w:w="1994" w:type="dxa"/>
                  <w:tcBorders>
                    <w:tl2br w:val="nil"/>
                    <w:tr2bl w:val="nil"/>
                  </w:tcBorders>
                  <w:vAlign w:val="center"/>
                </w:tcPr>
                <w:p w14:paraId="0A94542A">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r w14:paraId="0C80B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17AE58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5</w:t>
                  </w:r>
                </w:p>
              </w:tc>
              <w:tc>
                <w:tcPr>
                  <w:tcW w:w="2800" w:type="dxa"/>
                  <w:tcBorders>
                    <w:tl2br w:val="nil"/>
                    <w:tr2bl w:val="nil"/>
                  </w:tcBorders>
                  <w:vAlign w:val="center"/>
                </w:tcPr>
                <w:p w14:paraId="4BB68A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氨氮</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23E86E38">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0.440</w:t>
                  </w:r>
                </w:p>
              </w:tc>
              <w:tc>
                <w:tcPr>
                  <w:tcW w:w="1994" w:type="dxa"/>
                  <w:tcBorders>
                    <w:tl2br w:val="nil"/>
                    <w:tr2bl w:val="nil"/>
                  </w:tcBorders>
                  <w:vAlign w:val="center"/>
                </w:tcPr>
                <w:p w14:paraId="1F89E75C">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Ⅱ</w:t>
                  </w:r>
                </w:p>
              </w:tc>
            </w:tr>
            <w:tr w14:paraId="5E9BE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3549F7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6</w:t>
                  </w:r>
                </w:p>
              </w:tc>
              <w:tc>
                <w:tcPr>
                  <w:tcW w:w="2800" w:type="dxa"/>
                  <w:tcBorders>
                    <w:tl2br w:val="nil"/>
                    <w:tr2bl w:val="nil"/>
                  </w:tcBorders>
                  <w:vAlign w:val="center"/>
                </w:tcPr>
                <w:p w14:paraId="7D581A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石油类</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0861201C">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0.01</w:t>
                  </w:r>
                </w:p>
              </w:tc>
              <w:tc>
                <w:tcPr>
                  <w:tcW w:w="1994" w:type="dxa"/>
                  <w:tcBorders>
                    <w:tl2br w:val="nil"/>
                    <w:tr2bl w:val="nil"/>
                  </w:tcBorders>
                  <w:vAlign w:val="center"/>
                </w:tcPr>
                <w:p w14:paraId="71F830EB">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r w14:paraId="315FE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2570E2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7</w:t>
                  </w:r>
                </w:p>
              </w:tc>
              <w:tc>
                <w:tcPr>
                  <w:tcW w:w="2800" w:type="dxa"/>
                  <w:tcBorders>
                    <w:tl2br w:val="nil"/>
                    <w:tr2bl w:val="nil"/>
                  </w:tcBorders>
                  <w:vAlign w:val="center"/>
                </w:tcPr>
                <w:p w14:paraId="2FB75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挥发酚</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1926569E">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0.0003L</w:t>
                  </w:r>
                </w:p>
              </w:tc>
              <w:tc>
                <w:tcPr>
                  <w:tcW w:w="1994" w:type="dxa"/>
                  <w:tcBorders>
                    <w:tl2br w:val="nil"/>
                    <w:tr2bl w:val="nil"/>
                  </w:tcBorders>
                  <w:vAlign w:val="center"/>
                </w:tcPr>
                <w:p w14:paraId="32223F0F">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r w14:paraId="1F59E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220072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8</w:t>
                  </w:r>
                </w:p>
              </w:tc>
              <w:tc>
                <w:tcPr>
                  <w:tcW w:w="2800" w:type="dxa"/>
                  <w:tcBorders>
                    <w:tl2br w:val="nil"/>
                    <w:tr2bl w:val="nil"/>
                  </w:tcBorders>
                  <w:vAlign w:val="center"/>
                </w:tcPr>
                <w:p w14:paraId="73FE76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汞</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50BC040C">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0.00002L</w:t>
                  </w:r>
                </w:p>
              </w:tc>
              <w:tc>
                <w:tcPr>
                  <w:tcW w:w="1994" w:type="dxa"/>
                  <w:tcBorders>
                    <w:tl2br w:val="nil"/>
                    <w:tr2bl w:val="nil"/>
                  </w:tcBorders>
                  <w:vAlign w:val="center"/>
                </w:tcPr>
                <w:p w14:paraId="32FA7ACD">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r w14:paraId="18C7C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4E354E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9</w:t>
                  </w:r>
                </w:p>
              </w:tc>
              <w:tc>
                <w:tcPr>
                  <w:tcW w:w="2800" w:type="dxa"/>
                  <w:tcBorders>
                    <w:tl2br w:val="nil"/>
                    <w:tr2bl w:val="nil"/>
                  </w:tcBorders>
                  <w:vAlign w:val="center"/>
                </w:tcPr>
                <w:p w14:paraId="31C310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铅</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73C2BD44">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0.01L</w:t>
                  </w:r>
                </w:p>
              </w:tc>
              <w:tc>
                <w:tcPr>
                  <w:tcW w:w="1994" w:type="dxa"/>
                  <w:tcBorders>
                    <w:tl2br w:val="nil"/>
                    <w:tr2bl w:val="nil"/>
                  </w:tcBorders>
                  <w:vAlign w:val="center"/>
                </w:tcPr>
                <w:p w14:paraId="4D9C2DF6">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r w14:paraId="3C669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65F5AB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10</w:t>
                  </w:r>
                </w:p>
              </w:tc>
              <w:tc>
                <w:tcPr>
                  <w:tcW w:w="2800" w:type="dxa"/>
                  <w:tcBorders>
                    <w:tl2br w:val="nil"/>
                    <w:tr2bl w:val="nil"/>
                  </w:tcBorders>
                  <w:vAlign w:val="center"/>
                </w:tcPr>
                <w:p w14:paraId="083D96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化学需氧量</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3450008B">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17</w:t>
                  </w:r>
                </w:p>
              </w:tc>
              <w:tc>
                <w:tcPr>
                  <w:tcW w:w="1994" w:type="dxa"/>
                  <w:tcBorders>
                    <w:tl2br w:val="nil"/>
                    <w:tr2bl w:val="nil"/>
                  </w:tcBorders>
                  <w:vAlign w:val="center"/>
                </w:tcPr>
                <w:p w14:paraId="178A7047">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Ⅲ</w:t>
                  </w:r>
                </w:p>
              </w:tc>
            </w:tr>
            <w:tr w14:paraId="5B1A6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01ACF7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11</w:t>
                  </w:r>
                </w:p>
              </w:tc>
              <w:tc>
                <w:tcPr>
                  <w:tcW w:w="2800" w:type="dxa"/>
                  <w:tcBorders>
                    <w:tl2br w:val="nil"/>
                    <w:tr2bl w:val="nil"/>
                  </w:tcBorders>
                  <w:vAlign w:val="center"/>
                </w:tcPr>
                <w:p w14:paraId="643912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总磷</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5741CFB5">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0.12</w:t>
                  </w:r>
                </w:p>
              </w:tc>
              <w:tc>
                <w:tcPr>
                  <w:tcW w:w="1994" w:type="dxa"/>
                  <w:tcBorders>
                    <w:tl2br w:val="nil"/>
                    <w:tr2bl w:val="nil"/>
                  </w:tcBorders>
                  <w:vAlign w:val="center"/>
                </w:tcPr>
                <w:p w14:paraId="3E923996">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Ⅲ</w:t>
                  </w:r>
                </w:p>
              </w:tc>
            </w:tr>
            <w:tr w14:paraId="4480A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0908EE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highlight w:val="none"/>
                      <w:u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vertAlign w:val="baseline"/>
                      <w:lang w:val="en-US" w:eastAsia="zh-CN"/>
                      <w14:textFill>
                        <w14:solidFill>
                          <w14:schemeClr w14:val="tx1"/>
                        </w14:solidFill>
                      </w14:textFill>
                    </w:rPr>
                    <w:t>12</w:t>
                  </w:r>
                </w:p>
              </w:tc>
              <w:tc>
                <w:tcPr>
                  <w:tcW w:w="2800" w:type="dxa"/>
                  <w:tcBorders>
                    <w:tl2br w:val="nil"/>
                    <w:tr2bl w:val="nil"/>
                  </w:tcBorders>
                  <w:vAlign w:val="center"/>
                </w:tcPr>
                <w:p w14:paraId="35AA33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铜</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1C151DBC">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0.015</w:t>
                  </w:r>
                </w:p>
              </w:tc>
              <w:tc>
                <w:tcPr>
                  <w:tcW w:w="1994" w:type="dxa"/>
                  <w:tcBorders>
                    <w:tl2br w:val="nil"/>
                    <w:tr2bl w:val="nil"/>
                  </w:tcBorders>
                  <w:vAlign w:val="center"/>
                </w:tcPr>
                <w:p w14:paraId="0E7DBF3A">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Ⅱ</w:t>
                  </w:r>
                </w:p>
              </w:tc>
            </w:tr>
            <w:tr w14:paraId="5B669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7519B2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highlight w:val="none"/>
                      <w:u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vertAlign w:val="baseline"/>
                      <w:lang w:val="en-US" w:eastAsia="zh-CN"/>
                      <w14:textFill>
                        <w14:solidFill>
                          <w14:schemeClr w14:val="tx1"/>
                        </w14:solidFill>
                      </w14:textFill>
                    </w:rPr>
                    <w:t>13</w:t>
                  </w:r>
                </w:p>
              </w:tc>
              <w:tc>
                <w:tcPr>
                  <w:tcW w:w="2800" w:type="dxa"/>
                  <w:tcBorders>
                    <w:tl2br w:val="nil"/>
                    <w:tr2bl w:val="nil"/>
                  </w:tcBorders>
                  <w:vAlign w:val="center"/>
                </w:tcPr>
                <w:p w14:paraId="461A11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锌</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0AD51BDE">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0.05L</w:t>
                  </w:r>
                </w:p>
              </w:tc>
              <w:tc>
                <w:tcPr>
                  <w:tcW w:w="1994" w:type="dxa"/>
                  <w:tcBorders>
                    <w:tl2br w:val="nil"/>
                    <w:tr2bl w:val="nil"/>
                  </w:tcBorders>
                  <w:vAlign w:val="center"/>
                </w:tcPr>
                <w:p w14:paraId="272810E7">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r w14:paraId="13028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7B1C88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14</w:t>
                  </w:r>
                </w:p>
              </w:tc>
              <w:tc>
                <w:tcPr>
                  <w:tcW w:w="2800" w:type="dxa"/>
                  <w:tcBorders>
                    <w:tl2br w:val="nil"/>
                    <w:tr2bl w:val="nil"/>
                  </w:tcBorders>
                  <w:vAlign w:val="center"/>
                </w:tcPr>
                <w:p w14:paraId="2DAC97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氟化物</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3C7ED94B">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0.39</w:t>
                  </w:r>
                </w:p>
              </w:tc>
              <w:tc>
                <w:tcPr>
                  <w:tcW w:w="1994" w:type="dxa"/>
                  <w:tcBorders>
                    <w:tl2br w:val="nil"/>
                    <w:tr2bl w:val="nil"/>
                  </w:tcBorders>
                  <w:vAlign w:val="center"/>
                </w:tcPr>
                <w:p w14:paraId="2B1512AB">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r w14:paraId="4391D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256616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15</w:t>
                  </w:r>
                </w:p>
              </w:tc>
              <w:tc>
                <w:tcPr>
                  <w:tcW w:w="2800" w:type="dxa"/>
                  <w:tcBorders>
                    <w:tl2br w:val="nil"/>
                    <w:tr2bl w:val="nil"/>
                  </w:tcBorders>
                  <w:vAlign w:val="center"/>
                </w:tcPr>
                <w:p w14:paraId="342E76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硒</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34349ED4">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0.002</w:t>
                  </w:r>
                </w:p>
              </w:tc>
              <w:tc>
                <w:tcPr>
                  <w:tcW w:w="1994" w:type="dxa"/>
                  <w:tcBorders>
                    <w:tl2br w:val="nil"/>
                    <w:tr2bl w:val="nil"/>
                  </w:tcBorders>
                  <w:vAlign w:val="center"/>
                </w:tcPr>
                <w:p w14:paraId="718FD6D8">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r w14:paraId="10CD0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086BBE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16</w:t>
                  </w:r>
                </w:p>
              </w:tc>
              <w:tc>
                <w:tcPr>
                  <w:tcW w:w="2800" w:type="dxa"/>
                  <w:tcBorders>
                    <w:tl2br w:val="nil"/>
                    <w:tr2bl w:val="nil"/>
                  </w:tcBorders>
                  <w:vAlign w:val="center"/>
                </w:tcPr>
                <w:p w14:paraId="3479E9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砷</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2F2F4343">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0.0026</w:t>
                  </w:r>
                </w:p>
              </w:tc>
              <w:tc>
                <w:tcPr>
                  <w:tcW w:w="1994" w:type="dxa"/>
                  <w:tcBorders>
                    <w:tl2br w:val="nil"/>
                    <w:tr2bl w:val="nil"/>
                  </w:tcBorders>
                  <w:vAlign w:val="center"/>
                </w:tcPr>
                <w:p w14:paraId="7E426B08">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r w14:paraId="1B1F0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43FCD8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17</w:t>
                  </w:r>
                </w:p>
              </w:tc>
              <w:tc>
                <w:tcPr>
                  <w:tcW w:w="2800" w:type="dxa"/>
                  <w:tcBorders>
                    <w:tl2br w:val="nil"/>
                    <w:tr2bl w:val="nil"/>
                  </w:tcBorders>
                  <w:vAlign w:val="center"/>
                </w:tcPr>
                <w:p w14:paraId="40FEC9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镉</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17C6C9A4">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0.001L</w:t>
                  </w:r>
                </w:p>
              </w:tc>
              <w:tc>
                <w:tcPr>
                  <w:tcW w:w="1994" w:type="dxa"/>
                  <w:tcBorders>
                    <w:tl2br w:val="nil"/>
                    <w:tr2bl w:val="nil"/>
                  </w:tcBorders>
                  <w:vAlign w:val="center"/>
                </w:tcPr>
                <w:p w14:paraId="4C199030">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r w14:paraId="06135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17DAA2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18</w:t>
                  </w:r>
                </w:p>
              </w:tc>
              <w:tc>
                <w:tcPr>
                  <w:tcW w:w="2800" w:type="dxa"/>
                  <w:tcBorders>
                    <w:tl2br w:val="nil"/>
                    <w:tr2bl w:val="nil"/>
                  </w:tcBorders>
                  <w:vAlign w:val="center"/>
                </w:tcPr>
                <w:p w14:paraId="297CA3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六价铬</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460FB9A8">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0.004L</w:t>
                  </w:r>
                </w:p>
              </w:tc>
              <w:tc>
                <w:tcPr>
                  <w:tcW w:w="1994" w:type="dxa"/>
                  <w:tcBorders>
                    <w:tl2br w:val="nil"/>
                    <w:tr2bl w:val="nil"/>
                  </w:tcBorders>
                  <w:vAlign w:val="center"/>
                </w:tcPr>
                <w:p w14:paraId="713AF9F6">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r w14:paraId="780CB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421F04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19</w:t>
                  </w:r>
                </w:p>
              </w:tc>
              <w:tc>
                <w:tcPr>
                  <w:tcW w:w="2800" w:type="dxa"/>
                  <w:tcBorders>
                    <w:tl2br w:val="nil"/>
                    <w:tr2bl w:val="nil"/>
                  </w:tcBorders>
                  <w:vAlign w:val="center"/>
                </w:tcPr>
                <w:p w14:paraId="7891DB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氰化物</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6ECE7ED1">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0.004L</w:t>
                  </w:r>
                </w:p>
              </w:tc>
              <w:tc>
                <w:tcPr>
                  <w:tcW w:w="1994" w:type="dxa"/>
                  <w:tcBorders>
                    <w:tl2br w:val="nil"/>
                    <w:tr2bl w:val="nil"/>
                  </w:tcBorders>
                  <w:vAlign w:val="center"/>
                </w:tcPr>
                <w:p w14:paraId="030C46CF">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r w14:paraId="67C88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24A9D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20</w:t>
                  </w:r>
                </w:p>
              </w:tc>
              <w:tc>
                <w:tcPr>
                  <w:tcW w:w="2800" w:type="dxa"/>
                  <w:tcBorders>
                    <w:tl2br w:val="nil"/>
                    <w:tr2bl w:val="nil"/>
                  </w:tcBorders>
                  <w:vAlign w:val="center"/>
                </w:tcPr>
                <w:p w14:paraId="7644B7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阴离子表面活性剂</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0DD53AF1">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0.05L</w:t>
                  </w:r>
                </w:p>
              </w:tc>
              <w:tc>
                <w:tcPr>
                  <w:tcW w:w="1994" w:type="dxa"/>
                  <w:tcBorders>
                    <w:tl2br w:val="nil"/>
                    <w:tr2bl w:val="nil"/>
                  </w:tcBorders>
                  <w:vAlign w:val="center"/>
                </w:tcPr>
                <w:p w14:paraId="2CE8BCF6">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r w14:paraId="03138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6" w:type="dxa"/>
                  <w:tcBorders>
                    <w:tl2br w:val="nil"/>
                    <w:tr2bl w:val="nil"/>
                  </w:tcBorders>
                  <w:vAlign w:val="center"/>
                </w:tcPr>
                <w:p w14:paraId="239A8A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bCs/>
                      <w:color w:val="000000" w:themeColor="text1"/>
                      <w:sz w:val="21"/>
                      <w:szCs w:val="21"/>
                      <w:lang w:bidi="ar-SA"/>
                      <w14:textFill>
                        <w14:solidFill>
                          <w14:schemeClr w14:val="tx1"/>
                        </w14:solidFill>
                      </w14:textFill>
                    </w:rPr>
                    <w:t>21</w:t>
                  </w:r>
                </w:p>
              </w:tc>
              <w:tc>
                <w:tcPr>
                  <w:tcW w:w="2800" w:type="dxa"/>
                  <w:tcBorders>
                    <w:tl2br w:val="nil"/>
                    <w:tr2bl w:val="nil"/>
                  </w:tcBorders>
                  <w:vAlign w:val="center"/>
                </w:tcPr>
                <w:p w14:paraId="635A12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lang w:bidi="ar-SA"/>
                      <w14:textFill>
                        <w14:solidFill>
                          <w14:schemeClr w14:val="tx1"/>
                        </w14:solidFill>
                      </w14:textFill>
                    </w:rPr>
                    <w:t>硫化物</w:t>
                  </w:r>
                  <w:r>
                    <w:rPr>
                      <w:rFonts w:hint="eastAsia" w:ascii="Times New Roman" w:hAnsi="Times New Roman" w:cs="Times New Roman"/>
                      <w:color w:val="000000" w:themeColor="text1"/>
                      <w:sz w:val="21"/>
                      <w:szCs w:val="21"/>
                      <w:lang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bidi="ar-SA"/>
                      <w14:textFill>
                        <w14:solidFill>
                          <w14:schemeClr w14:val="tx1"/>
                        </w14:solidFill>
                      </w14:textFill>
                    </w:rPr>
                    <w:t>mg/L</w:t>
                  </w:r>
                  <w:r>
                    <w:rPr>
                      <w:rFonts w:hint="eastAsia" w:ascii="Times New Roman" w:hAnsi="Times New Roman" w:cs="Times New Roman"/>
                      <w:color w:val="000000" w:themeColor="text1"/>
                      <w:sz w:val="21"/>
                      <w:szCs w:val="21"/>
                      <w:lang w:eastAsia="zh-CN" w:bidi="ar-SA"/>
                      <w14:textFill>
                        <w14:solidFill>
                          <w14:schemeClr w14:val="tx1"/>
                        </w14:solidFill>
                      </w14:textFill>
                    </w:rPr>
                    <w:t>）</w:t>
                  </w:r>
                </w:p>
              </w:tc>
              <w:tc>
                <w:tcPr>
                  <w:tcW w:w="1994" w:type="dxa"/>
                  <w:tcBorders>
                    <w:tl2br w:val="nil"/>
                    <w:tr2bl w:val="nil"/>
                  </w:tcBorders>
                  <w:vAlign w:val="center"/>
                </w:tcPr>
                <w:p w14:paraId="2629D2F2">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0.004</w:t>
                  </w:r>
                </w:p>
              </w:tc>
              <w:tc>
                <w:tcPr>
                  <w:tcW w:w="1994" w:type="dxa"/>
                  <w:tcBorders>
                    <w:tl2br w:val="nil"/>
                    <w:tr2bl w:val="nil"/>
                  </w:tcBorders>
                  <w:vAlign w:val="center"/>
                </w:tcPr>
                <w:p w14:paraId="533ECEA2">
                  <w:pPr>
                    <w:jc w:val="center"/>
                    <w:rPr>
                      <w:rFonts w:hint="default" w:ascii="Times New Roman" w:hAnsi="Times New Roman" w:cs="Times New Roman"/>
                      <w:b w:val="0"/>
                      <w:bCs w:val="0"/>
                      <w:color w:val="000000" w:themeColor="text1"/>
                      <w:highlight w:val="none"/>
                      <w:u w:val="none"/>
                      <w:vertAlign w:val="baseli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Ⅰ</w:t>
                  </w:r>
                </w:p>
              </w:tc>
            </w:tr>
          </w:tbl>
          <w:p w14:paraId="6A133B98">
            <w:pPr>
              <w:pStyle w:val="271"/>
              <w:keepNext w:val="0"/>
              <w:keepLines w:val="0"/>
              <w:pageBreakBefore w:val="0"/>
              <w:widowControl w:val="0"/>
              <w:kinsoku/>
              <w:wordWrap/>
              <w:overflowPunct/>
              <w:topLinePunct w:val="0"/>
              <w:autoSpaceDE/>
              <w:autoSpaceDN/>
              <w:bidi w:val="0"/>
              <w:snapToGrid/>
              <w:spacing w:line="520" w:lineRule="exact"/>
              <w:ind w:firstLine="480"/>
              <w:textAlignment w:val="auto"/>
              <w:rPr>
                <w:rFonts w:hint="default" w:ascii="Times New Roman" w:hAnsi="Times New Roman" w:cs="Times New Roman"/>
                <w:caps w:val="0"/>
                <w:color w:val="000000" w:themeColor="text1"/>
                <w:sz w:val="24"/>
                <w:szCs w:val="24"/>
                <w14:textFill>
                  <w14:solidFill>
                    <w14:schemeClr w14:val="tx1"/>
                  </w14:solidFill>
                </w14:textFill>
              </w:rPr>
            </w:pPr>
            <w:r>
              <w:rPr>
                <w:rFonts w:hint="default" w:ascii="Times New Roman" w:hAnsi="Times New Roman" w:cs="Times New Roman"/>
                <w:caps w:val="0"/>
                <w:color w:val="000000" w:themeColor="text1"/>
                <w:sz w:val="24"/>
                <w:szCs w:val="24"/>
                <w14:textFill>
                  <w14:solidFill>
                    <w14:schemeClr w14:val="tx1"/>
                  </w14:solidFill>
                </w14:textFill>
              </w:rPr>
              <w:t>根据监测结果，涧河塔尼断面符合Ⅲ类水质，水质状况“良好”，与上年度的Ⅳ类水质相比，水质状况有所好转。</w:t>
            </w:r>
          </w:p>
          <w:p w14:paraId="2E127D71">
            <w:pPr>
              <w:pStyle w:val="271"/>
              <w:keepNext w:val="0"/>
              <w:keepLines w:val="0"/>
              <w:pageBreakBefore w:val="0"/>
              <w:widowControl w:val="0"/>
              <w:kinsoku/>
              <w:wordWrap/>
              <w:overflowPunct/>
              <w:topLinePunct w:val="0"/>
              <w:autoSpaceDE/>
              <w:autoSpaceDN/>
              <w:bidi w:val="0"/>
              <w:snapToGrid/>
              <w:spacing w:line="520" w:lineRule="exact"/>
              <w:ind w:firstLine="480"/>
              <w:textAlignment w:val="auto"/>
              <w:rPr>
                <w:rFonts w:hint="default" w:ascii="Times New Roman" w:hAnsi="Times New Roman" w:cs="Times New Roman"/>
                <w:b w:val="0"/>
                <w:bCs/>
                <w:color w:val="000000" w:themeColor="text1"/>
                <w:sz w:val="24"/>
                <w:highlight w:val="none"/>
                <w:u w:val="none"/>
                <w14:textFill>
                  <w14:solidFill>
                    <w14:schemeClr w14:val="tx1"/>
                  </w14:solidFill>
                </w14:textFill>
              </w:rPr>
            </w:pPr>
            <w:r>
              <w:rPr>
                <w:rFonts w:hint="default" w:ascii="Times New Roman" w:hAnsi="Times New Roman" w:cs="Times New Roman"/>
                <w:caps w:val="0"/>
                <w:color w:val="000000" w:themeColor="text1"/>
                <w:sz w:val="24"/>
                <w:szCs w:val="24"/>
                <w14:textFill>
                  <w14:solidFill>
                    <w14:schemeClr w14:val="tx1"/>
                  </w14:solidFill>
                </w14:textFill>
              </w:rPr>
              <w:t>结合《渑池县2022年水污染防治攻坚战实施方案》，渑池县提出</w:t>
            </w:r>
            <w:r>
              <w:rPr>
                <w:rFonts w:hint="eastAsia" w:ascii="宋体" w:hAnsi="宋体" w:eastAsia="宋体" w:cs="宋体"/>
                <w:caps w:val="0"/>
                <w:color w:val="000000" w:themeColor="text1"/>
                <w:sz w:val="24"/>
                <w:szCs w:val="24"/>
                <w14:textFill>
                  <w14:solidFill>
                    <w14:schemeClr w14:val="tx1"/>
                  </w14:solidFill>
                </w14:textFill>
              </w:rPr>
              <w:t>了“深入打好水源地保护攻坚战役”、“深入打好城市黑臭水体治理攻坚战役”、“深入打好河湖水生态环境治理与修复攻坚战役”、“强力推动黄河流域水生态环境保护”、“统筹做好其它水污染防治攻坚工作”等主</w:t>
            </w:r>
            <w:r>
              <w:rPr>
                <w:rFonts w:hint="default" w:ascii="Times New Roman" w:hAnsi="Times New Roman" w:cs="Times New Roman"/>
                <w:caps w:val="0"/>
                <w:color w:val="000000" w:themeColor="text1"/>
                <w:sz w:val="24"/>
                <w:szCs w:val="24"/>
                <w14:textFill>
                  <w14:solidFill>
                    <w14:schemeClr w14:val="tx1"/>
                  </w14:solidFill>
                </w14:textFill>
              </w:rPr>
              <w:t>要工作任务，方案的实施将持续改善区域地表水环境。</w:t>
            </w:r>
          </w:p>
          <w:p w14:paraId="682DA2BE">
            <w:pPr>
              <w:keepNext w:val="0"/>
              <w:keepLines w:val="0"/>
              <w:pageBreakBefore w:val="0"/>
              <w:widowControl w:val="0"/>
              <w:numPr>
                <w:ilvl w:val="0"/>
                <w:numId w:val="0"/>
              </w:numPr>
              <w:tabs>
                <w:tab w:val="left" w:pos="1665"/>
                <w:tab w:val="left" w:pos="6845"/>
                <w:tab w:val="left" w:pos="7445"/>
              </w:tabs>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cs="Times New Roman"/>
                <w:b/>
                <w:color w:val="000000" w:themeColor="text1"/>
                <w:sz w:val="24"/>
                <w:highlight w:val="none"/>
                <w:lang w:val="en-US" w:eastAsia="zh-CN"/>
                <w14:textFill>
                  <w14:solidFill>
                    <w14:schemeClr w14:val="tx1"/>
                  </w14:solidFill>
                </w14:textFill>
              </w:rPr>
            </w:pPr>
            <w:r>
              <w:rPr>
                <w:rFonts w:hint="eastAsia" w:ascii="Times New Roman" w:hAnsi="Times New Roman" w:cs="Times New Roman"/>
                <w:b/>
                <w:color w:val="000000" w:themeColor="text1"/>
                <w:sz w:val="24"/>
                <w:highlight w:val="none"/>
                <w:lang w:val="en-US" w:eastAsia="zh-CN"/>
                <w14:textFill>
                  <w14:solidFill>
                    <w14:schemeClr w14:val="tx1"/>
                  </w14:solidFill>
                </w14:textFill>
              </w:rPr>
              <w:t>3、声环境质量现状</w:t>
            </w:r>
          </w:p>
          <w:p w14:paraId="614B78FE">
            <w:pPr>
              <w:pStyle w:val="271"/>
              <w:keepNext w:val="0"/>
              <w:keepLines w:val="0"/>
              <w:pageBreakBefore w:val="0"/>
              <w:widowControl w:val="0"/>
              <w:kinsoku/>
              <w:wordWrap/>
              <w:overflowPunct/>
              <w:topLinePunct w:val="0"/>
              <w:autoSpaceDE/>
              <w:autoSpaceDN/>
              <w:bidi w:val="0"/>
              <w:snapToGrid/>
              <w:spacing w:line="520" w:lineRule="exact"/>
              <w:ind w:firstLine="48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扩建项目所在</w:t>
            </w:r>
            <w:r>
              <w:rPr>
                <w:rFonts w:hint="eastAsia" w:ascii="Times New Roman" w:hAnsi="Times New Roman" w:cs="Times New Roman"/>
                <w:color w:val="000000" w:themeColor="text1"/>
                <w:kern w:val="24"/>
                <w:sz w:val="24"/>
                <w:highlight w:val="none"/>
                <w:lang w:val="en-US" w:eastAsia="zh-CN"/>
                <w14:textFill>
                  <w14:solidFill>
                    <w14:schemeClr w14:val="tx1"/>
                  </w14:solidFill>
                </w14:textFill>
              </w:rPr>
              <w:t>院区东侧为绿化树林及农田，南侧为空地，西侧为荒沟，北侧为韶州路</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bCs/>
                <w:color w:val="000000" w:themeColor="text1"/>
                <w:kern w:val="28"/>
                <w:sz w:val="24"/>
                <w:highlight w:val="none"/>
                <w:lang w:val="en-US" w:eastAsia="zh-CN"/>
                <w14:textFill>
                  <w14:solidFill>
                    <w14:schemeClr w14:val="tx1"/>
                  </w14:solidFill>
                </w14:textFill>
              </w:rPr>
              <w:t>且厂界50m</w:t>
            </w:r>
            <w:r>
              <w:rPr>
                <w:rFonts w:hint="eastAsia"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范围</w:t>
            </w:r>
            <w:r>
              <w:rPr>
                <w:rFonts w:hint="eastAsia" w:ascii="Times New Roman" w:hAnsi="Times New Roman" w:cs="Times New Roman"/>
                <w:bCs/>
                <w:color w:val="000000" w:themeColor="text1"/>
                <w:kern w:val="28"/>
                <w:sz w:val="24"/>
                <w:highlight w:val="none"/>
                <w:lang w:val="en-US" w:eastAsia="zh-CN"/>
                <w14:textFill>
                  <w14:solidFill>
                    <w14:schemeClr w14:val="tx1"/>
                  </w14:solidFill>
                </w14:textFill>
              </w:rPr>
              <w:t>内无敏感点，本次评价不作声环境质量现状监测</w:t>
            </w:r>
            <w:r>
              <w:rPr>
                <w:rFonts w:hint="default" w:ascii="Times New Roman" w:hAnsi="Times New Roman" w:cs="Times New Roman"/>
                <w:color w:val="000000" w:themeColor="text1"/>
                <w:sz w:val="24"/>
                <w:highlight w:val="none"/>
                <w14:textFill>
                  <w14:solidFill>
                    <w14:schemeClr w14:val="tx1"/>
                  </w14:solidFill>
                </w14:textFill>
              </w:rPr>
              <w:t>。</w:t>
            </w:r>
          </w:p>
          <w:p w14:paraId="1D58645F">
            <w:pPr>
              <w:keepNext w:val="0"/>
              <w:keepLines w:val="0"/>
              <w:pageBreakBefore w:val="0"/>
              <w:widowControl w:val="0"/>
              <w:numPr>
                <w:ilvl w:val="0"/>
                <w:numId w:val="0"/>
              </w:numPr>
              <w:tabs>
                <w:tab w:val="left" w:pos="1665"/>
                <w:tab w:val="left" w:pos="6845"/>
                <w:tab w:val="left" w:pos="7445"/>
              </w:tabs>
              <w:kinsoku/>
              <w:wordWrap/>
              <w:overflowPunct/>
              <w:topLinePunct w:val="0"/>
              <w:autoSpaceDE/>
              <w:autoSpaceDN/>
              <w:bidi w:val="0"/>
              <w:adjustRightInd w:val="0"/>
              <w:snapToGrid w:val="0"/>
              <w:spacing w:line="500" w:lineRule="exact"/>
              <w:ind w:firstLine="482" w:firstLineChars="200"/>
              <w:textAlignment w:val="auto"/>
              <w:outlineLvl w:val="9"/>
              <w:rPr>
                <w:rFonts w:hint="default" w:ascii="Times New Roman" w:hAnsi="Times New Roman" w:cs="Times New Roman"/>
                <w:b/>
                <w:color w:val="000000" w:themeColor="text1"/>
                <w:sz w:val="24"/>
                <w:highlight w:val="none"/>
                <w:lang w:val="en-US" w:eastAsia="zh-CN"/>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4、生态环境现状</w:t>
            </w:r>
          </w:p>
          <w:p w14:paraId="1283FAD9">
            <w:pPr>
              <w:pStyle w:val="20"/>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所在区域</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已被</w:t>
            </w:r>
            <w:r>
              <w:rPr>
                <w:rFonts w:hint="default" w:ascii="Times New Roman" w:hAnsi="Times New Roman" w:cs="Times New Roman"/>
                <w:bCs/>
                <w:color w:val="000000" w:themeColor="text1"/>
                <w:kern w:val="28"/>
                <w:sz w:val="24"/>
                <w:szCs w:val="24"/>
                <w:highlight w:val="none"/>
                <w:lang w:val="en-US" w:eastAsia="zh-CN" w:bidi="ar-SA"/>
                <w14:textFill>
                  <w14:solidFill>
                    <w14:schemeClr w14:val="tx1"/>
                  </w14:solidFill>
                </w14:textFill>
              </w:rPr>
              <w:t>开发，无受保护的野生植物分布，所在区域出没的野生动物主要是爬行类、昆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虫等，无珍惜野生动物出没</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本次</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评价不作</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生态现状调查。</w:t>
            </w:r>
          </w:p>
          <w:p w14:paraId="3AB532B0">
            <w:pPr>
              <w:pStyle w:val="20"/>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both"/>
              <w:textAlignment w:val="auto"/>
              <w:outlineLvl w:val="9"/>
              <w:rPr>
                <w:rFonts w:hint="default" w:ascii="Times New Roman" w:hAnsi="Times New Roman" w:cs="Times New Roman"/>
                <w:b/>
                <w:color w:val="000000" w:themeColor="text1"/>
                <w:sz w:val="24"/>
                <w:highlight w:val="none"/>
                <w:lang w:val="en-US" w:eastAsia="zh-CN"/>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5、电磁辐射环境质量现状</w:t>
            </w:r>
          </w:p>
          <w:p w14:paraId="4B8460E2">
            <w:pPr>
              <w:pStyle w:val="20"/>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outlineLvl w:val="9"/>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项目不属于电磁辐射类</w:t>
            </w:r>
            <w:r>
              <w:rPr>
                <w:rFonts w:hint="default" w:ascii="Times New Roman" w:hAnsi="Times New Roman" w:cs="Times New Roman"/>
                <w:bCs/>
                <w:color w:val="000000" w:themeColor="text1"/>
                <w:kern w:val="28"/>
                <w:sz w:val="24"/>
                <w:szCs w:val="24"/>
                <w:highlight w:val="none"/>
                <w:lang w:val="en-US" w:eastAsia="zh-CN" w:bidi="ar-SA"/>
                <w14:textFill>
                  <w14:solidFill>
                    <w14:schemeClr w14:val="tx1"/>
                  </w14:solidFill>
                </w14:textFill>
              </w:rPr>
              <w:t>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，本次评价不作电磁辐射现状监测与评价。</w:t>
            </w:r>
          </w:p>
          <w:p w14:paraId="538ED8FD">
            <w:pPr>
              <w:keepNext w:val="0"/>
              <w:keepLines w:val="0"/>
              <w:pageBreakBefore w:val="0"/>
              <w:widowControl w:val="0"/>
              <w:numPr>
                <w:ilvl w:val="0"/>
                <w:numId w:val="0"/>
              </w:numPr>
              <w:tabs>
                <w:tab w:val="left" w:pos="1665"/>
                <w:tab w:val="left" w:pos="6845"/>
                <w:tab w:val="left" w:pos="7445"/>
              </w:tabs>
              <w:kinsoku/>
              <w:wordWrap/>
              <w:overflowPunct/>
              <w:topLinePunct w:val="0"/>
              <w:autoSpaceDE/>
              <w:autoSpaceDN/>
              <w:bidi w:val="0"/>
              <w:adjustRightInd w:val="0"/>
              <w:snapToGrid w:val="0"/>
              <w:spacing w:line="500" w:lineRule="exact"/>
              <w:ind w:firstLine="482" w:firstLineChars="200"/>
              <w:textAlignment w:val="auto"/>
              <w:outlineLvl w:val="9"/>
              <w:rPr>
                <w:rFonts w:hint="eastAsia" w:ascii="Times New Roman" w:hAnsi="Times New Roman" w:cs="Times New Roman"/>
                <w:b/>
                <w:color w:val="000000" w:themeColor="text1"/>
                <w:sz w:val="24"/>
                <w:highlight w:val="none"/>
                <w:lang w:val="en-US" w:eastAsia="zh-CN"/>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6、地下水</w:t>
            </w:r>
            <w:r>
              <w:rPr>
                <w:rFonts w:hint="eastAsia" w:ascii="Times New Roman" w:hAnsi="Times New Roman" w:cs="Times New Roman"/>
                <w:b/>
                <w:color w:val="000000" w:themeColor="text1"/>
                <w:sz w:val="24"/>
                <w:highlight w:val="none"/>
                <w:lang w:val="en-US" w:eastAsia="zh-CN"/>
                <w14:textFill>
                  <w14:solidFill>
                    <w14:schemeClr w14:val="tx1"/>
                  </w14:solidFill>
                </w14:textFill>
              </w:rPr>
              <w:t>、土壤环境质量现状</w:t>
            </w:r>
          </w:p>
          <w:p w14:paraId="4C08CD58">
            <w:pPr>
              <w:keepNext w:val="0"/>
              <w:keepLines w:val="0"/>
              <w:pageBreakBefore w:val="0"/>
              <w:widowControl w:val="0"/>
              <w:kinsoku/>
              <w:wordWrap/>
              <w:overflowPunct/>
              <w:topLinePunct w:val="0"/>
              <w:autoSpaceDE/>
              <w:autoSpaceDN/>
              <w:bidi w:val="0"/>
              <w:spacing w:line="500" w:lineRule="exact"/>
              <w:ind w:firstLine="480" w:firstLineChars="200"/>
              <w:textAlignment w:val="auto"/>
              <w:outlineLvl w:val="9"/>
              <w:rPr>
                <w:rFonts w:hint="default" w:ascii="Times New Roman" w:hAnsi="Times New Roman" w:cs="Times New Roman"/>
                <w:b w:val="0"/>
                <w:bCs/>
                <w:color w:val="000000" w:themeColor="text1"/>
                <w:sz w:val="24"/>
                <w:highlight w:val="none"/>
                <w:u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项目建成后院内全部硬化</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、绿化</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处理，不存在土壤、地下水环境污染途径，本次评价不作地下水、土壤环境质量现状调查。</w:t>
            </w:r>
          </w:p>
        </w:tc>
      </w:tr>
      <w:tr w14:paraId="3F586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42" w:hRule="atLeast"/>
          <w:jc w:val="center"/>
        </w:trPr>
        <w:tc>
          <w:tcPr>
            <w:tcW w:w="800" w:type="dxa"/>
            <w:noWrap w:val="0"/>
            <w:vAlign w:val="center"/>
          </w:tcPr>
          <w:p w14:paraId="09015CB5">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环境</w:t>
            </w:r>
          </w:p>
          <w:p w14:paraId="39B81B6E">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保护</w:t>
            </w:r>
          </w:p>
          <w:p w14:paraId="674E8E65">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目标</w:t>
            </w:r>
          </w:p>
        </w:tc>
        <w:tc>
          <w:tcPr>
            <w:tcW w:w="8190" w:type="dxa"/>
            <w:noWrap w:val="0"/>
            <w:vAlign w:val="center"/>
          </w:tcPr>
          <w:p w14:paraId="168F6065">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1、大气环境</w:t>
            </w:r>
          </w:p>
          <w:p w14:paraId="5154E8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kern w:val="28"/>
                <w:sz w:val="24"/>
                <w:highlight w:val="none"/>
                <w:u w:val="none"/>
                <w:lang w:eastAsia="zh-CN"/>
                <w14:textFill>
                  <w14:solidFill>
                    <w14:schemeClr w14:val="tx1"/>
                  </w14:solidFill>
                </w14:textFill>
              </w:rPr>
              <w:t>项目</w:t>
            </w:r>
            <w:r>
              <w:rPr>
                <w:rFonts w:hint="default" w:ascii="Times New Roman" w:hAnsi="Times New Roman" w:cs="Times New Roman"/>
                <w:b w:val="0"/>
                <w:bCs w:val="0"/>
                <w:color w:val="000000" w:themeColor="text1"/>
                <w:sz w:val="24"/>
                <w:highlight w:val="none"/>
                <w:u w:val="none"/>
                <w14:textFill>
                  <w14:solidFill>
                    <w14:schemeClr w14:val="tx1"/>
                  </w14:solidFill>
                </w14:textFill>
              </w:rPr>
              <w:t>位于</w:t>
            </w:r>
            <w:r>
              <w:rPr>
                <w:rFonts w:hint="eastAsia" w:ascii="Times New Roman" w:hAnsi="Times New Roman" w:cs="Times New Roman"/>
                <w:b w:val="0"/>
                <w:bCs w:val="0"/>
                <w:color w:val="000000" w:themeColor="text1"/>
                <w:sz w:val="24"/>
                <w:highlight w:val="none"/>
                <w:u w:val="none"/>
                <w:lang w:eastAsia="zh-CN"/>
                <w14:textFill>
                  <w14:solidFill>
                    <w14:schemeClr w14:val="tx1"/>
                  </w14:solidFill>
                </w14:textFill>
              </w:rPr>
              <w:t>渑池县城关镇孟岭村韶州路东段、县中医院东侧感染病房楼院内</w:t>
            </w:r>
            <w:r>
              <w:rPr>
                <w:rFonts w:hint="default" w:ascii="Times New Roman" w:hAnsi="Times New Roman" w:cs="Times New Roman"/>
                <w:b w:val="0"/>
                <w:bCs w:val="0"/>
                <w:color w:val="000000" w:themeColor="text1"/>
                <w:sz w:val="24"/>
                <w:highlight w:val="none"/>
                <w:u w:val="none"/>
                <w14:textFill>
                  <w14:solidFill>
                    <w14:schemeClr w14:val="tx1"/>
                  </w14:solidFill>
                </w14:textFill>
              </w:rPr>
              <w:t>。根据现场调查，项目</w:t>
            </w:r>
            <w:r>
              <w:rPr>
                <w:rFonts w:hint="eastAsia" w:ascii="Times New Roman" w:hAnsi="Times New Roman" w:cs="Times New Roman"/>
                <w:b w:val="0"/>
                <w:bCs w:val="0"/>
                <w:color w:val="000000" w:themeColor="text1"/>
                <w:sz w:val="24"/>
                <w:highlight w:val="none"/>
                <w:u w:val="none"/>
                <w:lang w:val="en-US" w:eastAsia="zh-CN"/>
                <w14:textFill>
                  <w14:solidFill>
                    <w14:schemeClr w14:val="tx1"/>
                  </w14:solidFill>
                </w14:textFill>
              </w:rPr>
              <w:t>院</w:t>
            </w:r>
            <w:r>
              <w:rPr>
                <w:rFonts w:hint="default" w:ascii="Times New Roman" w:hAnsi="Times New Roman" w:cs="Times New Roman"/>
                <w:b w:val="0"/>
                <w:bCs w:val="0"/>
                <w:color w:val="000000" w:themeColor="text1"/>
                <w:sz w:val="24"/>
                <w:highlight w:val="none"/>
                <w:u w:val="none"/>
                <w14:textFill>
                  <w14:solidFill>
                    <w14:schemeClr w14:val="tx1"/>
                  </w14:solidFill>
                </w14:textFill>
              </w:rPr>
              <w:t>外500m范围内的大气环境保护目标详见下表</w:t>
            </w:r>
            <w:r>
              <w:rPr>
                <w:rFonts w:hint="eastAsia" w:ascii="Times New Roman" w:hAnsi="Times New Roman" w:cs="Times New Roman"/>
                <w:b w:val="0"/>
                <w:bCs w:val="0"/>
                <w:color w:val="000000" w:themeColor="text1"/>
                <w:sz w:val="24"/>
                <w:highlight w:val="none"/>
                <w:u w:val="none"/>
                <w:lang w:eastAsia="zh-CN"/>
                <w14:textFill>
                  <w14:solidFill>
                    <w14:schemeClr w14:val="tx1"/>
                  </w14:solidFill>
                </w14:textFill>
              </w:rPr>
              <w:t>。</w:t>
            </w:r>
          </w:p>
          <w:p w14:paraId="395B614A">
            <w:pPr>
              <w:pStyle w:val="104"/>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0"/>
              <w:textAlignment w:val="auto"/>
              <w:rPr>
                <w:rStyle w:val="132"/>
                <w:rFonts w:hint="default" w:ascii="Times New Roman" w:hAnsi="Times New Roman" w:cs="Times New Roman"/>
                <w:b w:val="0"/>
                <w:bCs w:val="0"/>
                <w:color w:val="000000" w:themeColor="text1"/>
                <w:highlight w:val="none"/>
                <w:u w:val="none"/>
                <w14:textFill>
                  <w14:solidFill>
                    <w14:schemeClr w14:val="tx1"/>
                  </w14:solidFill>
                </w14:textFill>
              </w:rPr>
            </w:pPr>
            <w:r>
              <w:rPr>
                <w:rStyle w:val="132"/>
                <w:rFonts w:hint="default" w:ascii="Times New Roman" w:hAnsi="Times New Roman" w:cs="Times New Roman"/>
                <w:b w:val="0"/>
                <w:bCs w:val="0"/>
                <w:color w:val="000000" w:themeColor="text1"/>
                <w:highlight w:val="none"/>
                <w:u w:val="none"/>
                <w14:textFill>
                  <w14:solidFill>
                    <w14:schemeClr w14:val="tx1"/>
                  </w14:solidFill>
                </w14:textFill>
              </w:rPr>
              <w:t xml:space="preserve">   </w:t>
            </w:r>
            <w:r>
              <w:rPr>
                <w:rFonts w:hint="default" w:ascii="Times New Roman" w:hAnsi="Times New Roman" w:cs="Times New Roman"/>
                <w:b w:val="0"/>
                <w:bCs w:val="0"/>
                <w:color w:val="000000" w:themeColor="text1"/>
                <w:highlight w:val="none"/>
                <w:u w:val="none"/>
                <w:lang w:eastAsia="zh-CN"/>
                <w14:textFill>
                  <w14:solidFill>
                    <w14:schemeClr w14:val="tx1"/>
                  </w14:solidFill>
                </w14:textFill>
              </w:rPr>
              <w:t>项目</w:t>
            </w:r>
            <w:r>
              <w:rPr>
                <w:rFonts w:hint="eastAsia" w:cs="Times New Roman"/>
                <w:b w:val="0"/>
                <w:bCs w:val="0"/>
                <w:color w:val="000000" w:themeColor="text1"/>
                <w:highlight w:val="none"/>
                <w:u w:val="none"/>
                <w:lang w:val="en-US" w:eastAsia="zh-CN"/>
                <w14:textFill>
                  <w14:solidFill>
                    <w14:schemeClr w14:val="tx1"/>
                  </w14:solidFill>
                </w14:textFill>
              </w:rPr>
              <w:t>大气</w:t>
            </w:r>
            <w:r>
              <w:rPr>
                <w:rFonts w:hint="default" w:ascii="Times New Roman" w:hAnsi="Times New Roman" w:cs="Times New Roman"/>
                <w:b w:val="0"/>
                <w:bCs w:val="0"/>
                <w:color w:val="000000" w:themeColor="text1"/>
                <w:highlight w:val="none"/>
                <w:u w:val="none"/>
                <w:lang w:eastAsia="zh-CN"/>
                <w14:textFill>
                  <w14:solidFill>
                    <w14:schemeClr w14:val="tx1"/>
                  </w14:solidFill>
                </w14:textFill>
              </w:rPr>
              <w:t>环境保护目标一览表</w:t>
            </w:r>
          </w:p>
          <w:tbl>
            <w:tblPr>
              <w:tblStyle w:val="34"/>
              <w:tblW w:w="80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51"/>
              <w:gridCol w:w="637"/>
              <w:gridCol w:w="663"/>
              <w:gridCol w:w="981"/>
              <w:gridCol w:w="894"/>
              <w:gridCol w:w="1200"/>
              <w:gridCol w:w="1312"/>
              <w:gridCol w:w="1362"/>
            </w:tblGrid>
            <w:tr w14:paraId="00615F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51" w:type="dxa"/>
                  <w:vMerge w:val="restart"/>
                  <w:noWrap w:val="0"/>
                  <w:vAlign w:val="center"/>
                </w:tcPr>
                <w:p w14:paraId="5DDC680C">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名称</w:t>
                  </w:r>
                </w:p>
              </w:tc>
              <w:tc>
                <w:tcPr>
                  <w:tcW w:w="1300" w:type="dxa"/>
                  <w:gridSpan w:val="2"/>
                  <w:noWrap w:val="0"/>
                  <w:vAlign w:val="center"/>
                </w:tcPr>
                <w:p w14:paraId="28499554">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坐标</w:t>
                  </w:r>
                </w:p>
              </w:tc>
              <w:tc>
                <w:tcPr>
                  <w:tcW w:w="981" w:type="dxa"/>
                  <w:vMerge w:val="restart"/>
                  <w:noWrap w:val="0"/>
                  <w:vAlign w:val="center"/>
                </w:tcPr>
                <w:p w14:paraId="754C5EF4">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保护对象</w:t>
                  </w:r>
                </w:p>
              </w:tc>
              <w:tc>
                <w:tcPr>
                  <w:tcW w:w="894" w:type="dxa"/>
                  <w:vMerge w:val="restart"/>
                  <w:noWrap w:val="0"/>
                  <w:vAlign w:val="center"/>
                </w:tcPr>
                <w:p w14:paraId="107F292D">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保护内容</w:t>
                  </w:r>
                </w:p>
              </w:tc>
              <w:tc>
                <w:tcPr>
                  <w:tcW w:w="1200" w:type="dxa"/>
                  <w:vMerge w:val="restart"/>
                  <w:noWrap w:val="0"/>
                  <w:vAlign w:val="center"/>
                </w:tcPr>
                <w:p w14:paraId="34C78CA1">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环境功能区</w:t>
                  </w:r>
                </w:p>
              </w:tc>
              <w:tc>
                <w:tcPr>
                  <w:tcW w:w="1312" w:type="dxa"/>
                  <w:vMerge w:val="restart"/>
                  <w:noWrap w:val="0"/>
                  <w:vAlign w:val="center"/>
                </w:tcPr>
                <w:p w14:paraId="4215C223">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相对厂址方位</w:t>
                  </w:r>
                </w:p>
              </w:tc>
              <w:tc>
                <w:tcPr>
                  <w:tcW w:w="1362" w:type="dxa"/>
                  <w:vMerge w:val="restart"/>
                  <w:noWrap w:val="0"/>
                  <w:vAlign w:val="center"/>
                </w:tcPr>
                <w:p w14:paraId="78286C43">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相对厂界距离</w:t>
                  </w: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（m）</w:t>
                  </w:r>
                </w:p>
              </w:tc>
            </w:tr>
            <w:tr w14:paraId="323158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51" w:type="dxa"/>
                  <w:vMerge w:val="continue"/>
                  <w:noWrap w:val="0"/>
                  <w:vAlign w:val="center"/>
                </w:tcPr>
                <w:p w14:paraId="73B84160">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p>
              </w:tc>
              <w:tc>
                <w:tcPr>
                  <w:tcW w:w="637" w:type="dxa"/>
                  <w:noWrap w:val="0"/>
                  <w:vAlign w:val="center"/>
                </w:tcPr>
                <w:p w14:paraId="26E9DAA1">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X</w:t>
                  </w:r>
                </w:p>
              </w:tc>
              <w:tc>
                <w:tcPr>
                  <w:tcW w:w="663" w:type="dxa"/>
                  <w:noWrap w:val="0"/>
                  <w:vAlign w:val="center"/>
                </w:tcPr>
                <w:p w14:paraId="003D9049">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Y</w:t>
                  </w:r>
                </w:p>
              </w:tc>
              <w:tc>
                <w:tcPr>
                  <w:tcW w:w="981" w:type="dxa"/>
                  <w:vMerge w:val="continue"/>
                  <w:noWrap w:val="0"/>
                  <w:vAlign w:val="center"/>
                </w:tcPr>
                <w:p w14:paraId="3634AF68">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p>
              </w:tc>
              <w:tc>
                <w:tcPr>
                  <w:tcW w:w="894" w:type="dxa"/>
                  <w:vMerge w:val="continue"/>
                  <w:noWrap w:val="0"/>
                  <w:vAlign w:val="center"/>
                </w:tcPr>
                <w:p w14:paraId="5191A720">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p>
              </w:tc>
              <w:tc>
                <w:tcPr>
                  <w:tcW w:w="1200" w:type="dxa"/>
                  <w:vMerge w:val="continue"/>
                  <w:noWrap w:val="0"/>
                  <w:vAlign w:val="center"/>
                </w:tcPr>
                <w:p w14:paraId="117D4449">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p>
              </w:tc>
              <w:tc>
                <w:tcPr>
                  <w:tcW w:w="1312" w:type="dxa"/>
                  <w:vMerge w:val="continue"/>
                  <w:noWrap w:val="0"/>
                  <w:vAlign w:val="center"/>
                </w:tcPr>
                <w:p w14:paraId="202BA9A9">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p>
              </w:tc>
              <w:tc>
                <w:tcPr>
                  <w:tcW w:w="1362" w:type="dxa"/>
                  <w:vMerge w:val="continue"/>
                  <w:noWrap w:val="0"/>
                  <w:vAlign w:val="center"/>
                </w:tcPr>
                <w:p w14:paraId="67AF0188">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p>
              </w:tc>
            </w:tr>
            <w:tr w14:paraId="3E92EB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51" w:type="dxa"/>
                  <w:noWrap w:val="0"/>
                  <w:vAlign w:val="center"/>
                </w:tcPr>
                <w:p w14:paraId="4E8327B8">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翰林实验学校</w:t>
                  </w:r>
                </w:p>
              </w:tc>
              <w:tc>
                <w:tcPr>
                  <w:tcW w:w="637" w:type="dxa"/>
                  <w:noWrap w:val="0"/>
                  <w:vAlign w:val="center"/>
                </w:tcPr>
                <w:p w14:paraId="3596BF42">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-160</w:t>
                  </w:r>
                </w:p>
              </w:tc>
              <w:tc>
                <w:tcPr>
                  <w:tcW w:w="663" w:type="dxa"/>
                  <w:noWrap w:val="0"/>
                  <w:vAlign w:val="center"/>
                </w:tcPr>
                <w:p w14:paraId="22E52E96">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-98</w:t>
                  </w:r>
                </w:p>
              </w:tc>
              <w:tc>
                <w:tcPr>
                  <w:tcW w:w="981" w:type="dxa"/>
                  <w:noWrap w:val="0"/>
                  <w:vAlign w:val="center"/>
                </w:tcPr>
                <w:p w14:paraId="0FACFD05">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学校</w:t>
                  </w:r>
                </w:p>
              </w:tc>
              <w:tc>
                <w:tcPr>
                  <w:tcW w:w="894" w:type="dxa"/>
                  <w:noWrap w:val="0"/>
                  <w:vAlign w:val="center"/>
                </w:tcPr>
                <w:p w14:paraId="39364822">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师生</w:t>
                  </w:r>
                </w:p>
              </w:tc>
              <w:tc>
                <w:tcPr>
                  <w:tcW w:w="1200" w:type="dxa"/>
                  <w:vMerge w:val="restart"/>
                  <w:noWrap w:val="0"/>
                  <w:vAlign w:val="center"/>
                </w:tcPr>
                <w:p w14:paraId="2C88D71A">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二类区</w:t>
                  </w:r>
                </w:p>
              </w:tc>
              <w:tc>
                <w:tcPr>
                  <w:tcW w:w="1312" w:type="dxa"/>
                  <w:noWrap w:val="0"/>
                  <w:vAlign w:val="center"/>
                </w:tcPr>
                <w:p w14:paraId="105D6120">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SW</w:t>
                  </w:r>
                </w:p>
              </w:tc>
              <w:tc>
                <w:tcPr>
                  <w:tcW w:w="1362" w:type="dxa"/>
                  <w:noWrap w:val="0"/>
                  <w:vAlign w:val="center"/>
                </w:tcPr>
                <w:p w14:paraId="55F81614">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120</w:t>
                  </w:r>
                </w:p>
              </w:tc>
            </w:tr>
            <w:tr w14:paraId="3DF0B2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51" w:type="dxa"/>
                  <w:noWrap w:val="0"/>
                  <w:vAlign w:val="center"/>
                </w:tcPr>
                <w:p w14:paraId="15276D21">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乔岭村</w:t>
                  </w:r>
                </w:p>
              </w:tc>
              <w:tc>
                <w:tcPr>
                  <w:tcW w:w="637" w:type="dxa"/>
                  <w:noWrap w:val="0"/>
                  <w:vAlign w:val="center"/>
                </w:tcPr>
                <w:p w14:paraId="29D4989C">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-223</w:t>
                  </w:r>
                </w:p>
              </w:tc>
              <w:tc>
                <w:tcPr>
                  <w:tcW w:w="663" w:type="dxa"/>
                  <w:noWrap w:val="0"/>
                  <w:vAlign w:val="center"/>
                </w:tcPr>
                <w:p w14:paraId="6364F9F4">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227</w:t>
                  </w:r>
                </w:p>
              </w:tc>
              <w:tc>
                <w:tcPr>
                  <w:tcW w:w="981" w:type="dxa"/>
                  <w:noWrap w:val="0"/>
                  <w:vAlign w:val="center"/>
                </w:tcPr>
                <w:p w14:paraId="585A2582">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居住区</w:t>
                  </w:r>
                </w:p>
              </w:tc>
              <w:tc>
                <w:tcPr>
                  <w:tcW w:w="894" w:type="dxa"/>
                  <w:noWrap w:val="0"/>
                  <w:vAlign w:val="center"/>
                </w:tcPr>
                <w:p w14:paraId="26062F61">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居民</w:t>
                  </w:r>
                </w:p>
              </w:tc>
              <w:tc>
                <w:tcPr>
                  <w:tcW w:w="1200" w:type="dxa"/>
                  <w:vMerge w:val="continue"/>
                  <w:noWrap w:val="0"/>
                  <w:vAlign w:val="center"/>
                </w:tcPr>
                <w:p w14:paraId="48C006D1">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p>
              </w:tc>
              <w:tc>
                <w:tcPr>
                  <w:tcW w:w="1312" w:type="dxa"/>
                  <w:noWrap w:val="0"/>
                  <w:vAlign w:val="center"/>
                </w:tcPr>
                <w:p w14:paraId="1E70EAF4">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NW</w:t>
                  </w:r>
                </w:p>
              </w:tc>
              <w:tc>
                <w:tcPr>
                  <w:tcW w:w="1362" w:type="dxa"/>
                  <w:noWrap w:val="0"/>
                  <w:vAlign w:val="center"/>
                </w:tcPr>
                <w:p w14:paraId="11A4C2B3">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260</w:t>
                  </w:r>
                </w:p>
              </w:tc>
            </w:tr>
            <w:tr w14:paraId="012B1A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51" w:type="dxa"/>
                  <w:noWrap w:val="0"/>
                  <w:vAlign w:val="center"/>
                </w:tcPr>
                <w:p w14:paraId="66C30497">
                  <w:pPr>
                    <w:pStyle w:val="19"/>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后窑</w:t>
                  </w:r>
                </w:p>
              </w:tc>
              <w:tc>
                <w:tcPr>
                  <w:tcW w:w="637" w:type="dxa"/>
                  <w:noWrap w:val="0"/>
                  <w:vAlign w:val="center"/>
                </w:tcPr>
                <w:p w14:paraId="1C2940D8">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-285</w:t>
                  </w:r>
                </w:p>
              </w:tc>
              <w:tc>
                <w:tcPr>
                  <w:tcW w:w="663" w:type="dxa"/>
                  <w:noWrap w:val="0"/>
                  <w:vAlign w:val="center"/>
                </w:tcPr>
                <w:p w14:paraId="3FA489F9">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-222</w:t>
                  </w:r>
                </w:p>
              </w:tc>
              <w:tc>
                <w:tcPr>
                  <w:tcW w:w="981" w:type="dxa"/>
                  <w:noWrap w:val="0"/>
                  <w:vAlign w:val="center"/>
                </w:tcPr>
                <w:p w14:paraId="56E94098">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居住区</w:t>
                  </w:r>
                </w:p>
              </w:tc>
              <w:tc>
                <w:tcPr>
                  <w:tcW w:w="894" w:type="dxa"/>
                  <w:noWrap w:val="0"/>
                  <w:vAlign w:val="center"/>
                </w:tcPr>
                <w:p w14:paraId="6BDC6045">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居民</w:t>
                  </w:r>
                </w:p>
              </w:tc>
              <w:tc>
                <w:tcPr>
                  <w:tcW w:w="1200" w:type="dxa"/>
                  <w:vMerge w:val="continue"/>
                  <w:noWrap w:val="0"/>
                  <w:vAlign w:val="center"/>
                </w:tcPr>
                <w:p w14:paraId="3EE255C5">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p>
              </w:tc>
              <w:tc>
                <w:tcPr>
                  <w:tcW w:w="1312" w:type="dxa"/>
                  <w:noWrap w:val="0"/>
                  <w:vAlign w:val="center"/>
                </w:tcPr>
                <w:p w14:paraId="2BA2D6DF">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SW</w:t>
                  </w:r>
                </w:p>
              </w:tc>
              <w:tc>
                <w:tcPr>
                  <w:tcW w:w="1362" w:type="dxa"/>
                  <w:noWrap w:val="0"/>
                  <w:vAlign w:val="center"/>
                </w:tcPr>
                <w:p w14:paraId="2B19BCCE">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290</w:t>
                  </w:r>
                </w:p>
              </w:tc>
            </w:tr>
            <w:tr w14:paraId="710A8E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51" w:type="dxa"/>
                  <w:noWrap w:val="0"/>
                  <w:vAlign w:val="center"/>
                </w:tcPr>
                <w:p w14:paraId="1C804957">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张家</w:t>
                  </w:r>
                </w:p>
              </w:tc>
              <w:tc>
                <w:tcPr>
                  <w:tcW w:w="637" w:type="dxa"/>
                  <w:noWrap w:val="0"/>
                  <w:vAlign w:val="center"/>
                </w:tcPr>
                <w:p w14:paraId="4915E4AD">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105</w:t>
                  </w:r>
                </w:p>
              </w:tc>
              <w:tc>
                <w:tcPr>
                  <w:tcW w:w="663" w:type="dxa"/>
                  <w:noWrap w:val="0"/>
                  <w:vAlign w:val="center"/>
                </w:tcPr>
                <w:p w14:paraId="12A4DEE7">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-370</w:t>
                  </w:r>
                </w:p>
              </w:tc>
              <w:tc>
                <w:tcPr>
                  <w:tcW w:w="981" w:type="dxa"/>
                  <w:noWrap w:val="0"/>
                  <w:vAlign w:val="center"/>
                </w:tcPr>
                <w:p w14:paraId="092CB2D0">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居住区</w:t>
                  </w:r>
                </w:p>
              </w:tc>
              <w:tc>
                <w:tcPr>
                  <w:tcW w:w="894" w:type="dxa"/>
                  <w:noWrap w:val="0"/>
                  <w:vAlign w:val="center"/>
                </w:tcPr>
                <w:p w14:paraId="04210767">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居民</w:t>
                  </w:r>
                </w:p>
              </w:tc>
              <w:tc>
                <w:tcPr>
                  <w:tcW w:w="1200" w:type="dxa"/>
                  <w:vMerge w:val="continue"/>
                  <w:noWrap w:val="0"/>
                  <w:vAlign w:val="center"/>
                </w:tcPr>
                <w:p w14:paraId="3B1A85BD">
                  <w:pPr>
                    <w:ind w:left="-105" w:leftChars="-50" w:right="-105" w:rightChars="-5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p>
              </w:tc>
              <w:tc>
                <w:tcPr>
                  <w:tcW w:w="1312" w:type="dxa"/>
                  <w:noWrap w:val="0"/>
                  <w:vAlign w:val="center"/>
                </w:tcPr>
                <w:p w14:paraId="1339561B">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SE</w:t>
                  </w:r>
                </w:p>
              </w:tc>
              <w:tc>
                <w:tcPr>
                  <w:tcW w:w="1362" w:type="dxa"/>
                  <w:noWrap w:val="0"/>
                  <w:vAlign w:val="center"/>
                </w:tcPr>
                <w:p w14:paraId="7AE79689">
                  <w:pPr>
                    <w:ind w:left="-105" w:leftChars="-50" w:right="-105" w:rightChars="-50"/>
                    <w:jc w:val="center"/>
                    <w:rPr>
                      <w:rFonts w:hint="default" w:ascii="Times New Roman" w:hAnsi="Times New Roman" w:eastAsia="宋体" w:cs="Times New Roman"/>
                      <w:b w:val="0"/>
                      <w:bCs w:val="0"/>
                      <w:color w:val="000000" w:themeColor="text1"/>
                      <w:kern w:val="0"/>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Cs w:val="21"/>
                      <w:highlight w:val="none"/>
                      <w:u w:val="none"/>
                      <w:lang w:val="en-US" w:eastAsia="zh-CN"/>
                      <w14:textFill>
                        <w14:solidFill>
                          <w14:schemeClr w14:val="tx1"/>
                        </w14:solidFill>
                      </w14:textFill>
                    </w:rPr>
                    <w:t>310</w:t>
                  </w:r>
                </w:p>
              </w:tc>
            </w:tr>
            <w:tr w14:paraId="5315B9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51" w:type="dxa"/>
                  <w:noWrap w:val="0"/>
                  <w:vAlign w:val="center"/>
                </w:tcPr>
                <w:p w14:paraId="10478DB3">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韶泉社区</w:t>
                  </w:r>
                </w:p>
              </w:tc>
              <w:tc>
                <w:tcPr>
                  <w:tcW w:w="637" w:type="dxa"/>
                  <w:noWrap w:val="0"/>
                  <w:vAlign w:val="center"/>
                </w:tcPr>
                <w:p w14:paraId="2498141A">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-463</w:t>
                  </w:r>
                </w:p>
              </w:tc>
              <w:tc>
                <w:tcPr>
                  <w:tcW w:w="663" w:type="dxa"/>
                  <w:noWrap w:val="0"/>
                  <w:vAlign w:val="center"/>
                </w:tcPr>
                <w:p w14:paraId="67CFFF97">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-8</w:t>
                  </w:r>
                </w:p>
              </w:tc>
              <w:tc>
                <w:tcPr>
                  <w:tcW w:w="981" w:type="dxa"/>
                  <w:noWrap w:val="0"/>
                  <w:vAlign w:val="center"/>
                </w:tcPr>
                <w:p w14:paraId="10721210">
                  <w:pPr>
                    <w:ind w:left="-105" w:leftChars="-50" w:right="-105" w:rightChars="-50"/>
                    <w:jc w:val="cente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居住区</w:t>
                  </w:r>
                </w:p>
              </w:tc>
              <w:tc>
                <w:tcPr>
                  <w:tcW w:w="894" w:type="dxa"/>
                  <w:noWrap w:val="0"/>
                  <w:vAlign w:val="center"/>
                </w:tcPr>
                <w:p w14:paraId="504E33ED">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居民</w:t>
                  </w:r>
                </w:p>
              </w:tc>
              <w:tc>
                <w:tcPr>
                  <w:tcW w:w="1200" w:type="dxa"/>
                  <w:vMerge w:val="continue"/>
                  <w:noWrap w:val="0"/>
                  <w:vAlign w:val="center"/>
                </w:tcPr>
                <w:p w14:paraId="01CFF2B0">
                  <w:pPr>
                    <w:ind w:left="-105" w:leftChars="-50" w:right="-105" w:rightChars="-50"/>
                    <w:jc w:val="cente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pPr>
                </w:p>
              </w:tc>
              <w:tc>
                <w:tcPr>
                  <w:tcW w:w="1312" w:type="dxa"/>
                  <w:noWrap w:val="0"/>
                  <w:vAlign w:val="center"/>
                </w:tcPr>
                <w:p w14:paraId="78B6A9B7">
                  <w:pPr>
                    <w:ind w:left="-105" w:leftChars="-50" w:right="-105" w:rightChars="-50"/>
                    <w:jc w:val="cente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SW</w:t>
                  </w:r>
                </w:p>
              </w:tc>
              <w:tc>
                <w:tcPr>
                  <w:tcW w:w="1362" w:type="dxa"/>
                  <w:noWrap w:val="0"/>
                  <w:vAlign w:val="center"/>
                </w:tcPr>
                <w:p w14:paraId="7DB066F2">
                  <w:pPr>
                    <w:ind w:left="-105" w:leftChars="-50" w:right="-105" w:rightChars="-50"/>
                    <w:jc w:val="center"/>
                    <w:rPr>
                      <w:rFonts w:hint="default" w:ascii="Times New Roman" w:hAnsi="Times New Roman" w:cs="Times New Roman"/>
                      <w:b w:val="0"/>
                      <w:bCs w:val="0"/>
                      <w:color w:val="000000" w:themeColor="text1"/>
                      <w:kern w:val="0"/>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Cs w:val="21"/>
                      <w:highlight w:val="none"/>
                      <w:u w:val="none"/>
                      <w:lang w:val="en-US" w:eastAsia="zh-CN"/>
                      <w14:textFill>
                        <w14:solidFill>
                          <w14:schemeClr w14:val="tx1"/>
                        </w14:solidFill>
                      </w14:textFill>
                    </w:rPr>
                    <w:t>410</w:t>
                  </w:r>
                </w:p>
              </w:tc>
            </w:tr>
            <w:tr w14:paraId="6508EF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000" w:type="dxa"/>
                  <w:gridSpan w:val="8"/>
                  <w:noWrap w:val="0"/>
                  <w:vAlign w:val="center"/>
                </w:tcPr>
                <w:p w14:paraId="4C7BB48D">
                  <w:pPr>
                    <w:ind w:left="-105" w:leftChars="-50" w:right="-105" w:rightChars="-50"/>
                    <w:jc w:val="left"/>
                    <w:rPr>
                      <w:rFonts w:hint="default" w:ascii="Times New Roman" w:hAnsi="Times New Roman" w:cs="Times New Roman"/>
                      <w:b w:val="0"/>
                      <w:bCs w:val="0"/>
                      <w:color w:val="000000" w:themeColor="text1"/>
                      <w:kern w:val="0"/>
                      <w:szCs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注：环境保护目标坐标取距离项目院区中心点的最近点位置，相对边界距离取距离项目院区边界最近点的位置。</w:t>
                  </w:r>
                </w:p>
              </w:tc>
            </w:tr>
          </w:tbl>
          <w:p w14:paraId="71743BF3">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2、声环境</w:t>
            </w:r>
          </w:p>
          <w:p w14:paraId="1FC96D7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b w:val="0"/>
                <w:bCs w:val="0"/>
                <w:color w:val="000000" w:themeColor="text1"/>
                <w:sz w:val="24"/>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根据现场调查，项目</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厂区厂界外</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50m范围内无声环境敏感保护目标</w:t>
            </w:r>
            <w:r>
              <w:rPr>
                <w:rFonts w:hint="default" w:ascii="Times New Roman" w:hAnsi="Times New Roman" w:cs="Times New Roman"/>
                <w:b w:val="0"/>
                <w:bCs w:val="0"/>
                <w:color w:val="000000" w:themeColor="text1"/>
                <w:sz w:val="24"/>
                <w:highlight w:val="none"/>
                <w:u w:val="none"/>
                <w14:textFill>
                  <w14:solidFill>
                    <w14:schemeClr w14:val="tx1"/>
                  </w14:solidFill>
                </w14:textFill>
              </w:rPr>
              <w:t>。</w:t>
            </w:r>
          </w:p>
          <w:p w14:paraId="25D183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3、地水环境</w:t>
            </w:r>
          </w:p>
          <w:p w14:paraId="518FAF6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leftChars="0" w:right="0" w:firstLine="480" w:firstLineChars="200"/>
              <w:textAlignment w:val="auto"/>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根据现场调查，</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项目厂区厂界外</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500米范围内</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无</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地下水集中式饮用水水源和热水、矿泉水、温泉等特殊地下水资源</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w:t>
            </w:r>
          </w:p>
          <w:p w14:paraId="3BA09CE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4、生态环境</w:t>
            </w:r>
          </w:p>
          <w:p w14:paraId="177115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根据现场调查，项目</w:t>
            </w:r>
            <w:r>
              <w:rPr>
                <w:rFonts w:hint="eastAsia"/>
                <w:b w:val="0"/>
                <w:bCs w:val="0"/>
                <w:color w:val="000000" w:themeColor="text1"/>
                <w:sz w:val="24"/>
                <w:szCs w:val="24"/>
                <w:highlight w:val="none"/>
                <w:u w:val="none"/>
                <w14:textFill>
                  <w14:solidFill>
                    <w14:schemeClr w14:val="tx1"/>
                  </w14:solidFill>
                </w14:textFill>
              </w:rPr>
              <w:t>用地范围内</w:t>
            </w:r>
            <w:r>
              <w:rPr>
                <w:rFonts w:hint="eastAsia"/>
                <w:b w:val="0"/>
                <w:bCs w:val="0"/>
                <w:color w:val="000000" w:themeColor="text1"/>
                <w:sz w:val="24"/>
                <w:szCs w:val="24"/>
                <w:highlight w:val="none"/>
                <w:u w:val="none"/>
                <w:lang w:val="en-US" w:eastAsia="zh-CN"/>
                <w14:textFill>
                  <w14:solidFill>
                    <w14:schemeClr w14:val="tx1"/>
                  </w14:solidFill>
                </w14:textFill>
              </w:rPr>
              <w:t>无</w:t>
            </w:r>
            <w:r>
              <w:rPr>
                <w:rFonts w:hint="eastAsia"/>
                <w:b w:val="0"/>
                <w:bCs w:val="0"/>
                <w:color w:val="000000" w:themeColor="text1"/>
                <w:sz w:val="24"/>
                <w:szCs w:val="24"/>
                <w:highlight w:val="none"/>
                <w:u w:val="none"/>
                <w14:textFill>
                  <w14:solidFill>
                    <w14:schemeClr w14:val="tx1"/>
                  </w14:solidFill>
                </w14:textFill>
              </w:rPr>
              <w:t>生态环境保护目标</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w:t>
            </w:r>
          </w:p>
        </w:tc>
      </w:tr>
      <w:tr w14:paraId="77404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15" w:hRule="atLeast"/>
          <w:jc w:val="center"/>
        </w:trPr>
        <w:tc>
          <w:tcPr>
            <w:tcW w:w="800" w:type="dxa"/>
            <w:noWrap w:val="0"/>
            <w:vAlign w:val="center"/>
          </w:tcPr>
          <w:p w14:paraId="47ADC017">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污染</w:t>
            </w:r>
          </w:p>
          <w:p w14:paraId="779D5408">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物排</w:t>
            </w:r>
          </w:p>
          <w:p w14:paraId="7FDE67FE">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放控</w:t>
            </w:r>
          </w:p>
          <w:p w14:paraId="5B5E36F7">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制标</w:t>
            </w:r>
          </w:p>
          <w:p w14:paraId="1B48C781">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准</w:t>
            </w:r>
          </w:p>
        </w:tc>
        <w:tc>
          <w:tcPr>
            <w:tcW w:w="8190" w:type="dxa"/>
            <w:noWrap w:val="0"/>
            <w:vAlign w:val="center"/>
          </w:tcPr>
          <w:p w14:paraId="4B4F7896">
            <w:pPr>
              <w:keepNext w:val="0"/>
              <w:keepLines w:val="0"/>
              <w:pageBreakBefore w:val="0"/>
              <w:widowControl w:val="0"/>
              <w:kinsoku/>
              <w:wordWrap/>
              <w:overflowPunct/>
              <w:topLinePunct w:val="0"/>
              <w:autoSpaceDE/>
              <w:autoSpaceDN/>
              <w:bidi w:val="0"/>
              <w:adjustRightInd w:val="0"/>
              <w:snapToGrid/>
              <w:spacing w:before="157" w:beforeLines="50"/>
              <w:textAlignment w:val="auto"/>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1、《恶臭污染物排放标准》（GB 14554-93）表2 标准</w:t>
            </w:r>
          </w:p>
          <w:tbl>
            <w:tblPr>
              <w:tblStyle w:val="34"/>
              <w:tblW w:w="796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377"/>
              <w:gridCol w:w="2585"/>
              <w:gridCol w:w="2998"/>
            </w:tblGrid>
            <w:tr w14:paraId="2F3F400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2377" w:type="dxa"/>
                  <w:noWrap w:val="0"/>
                  <w:vAlign w:val="center"/>
                </w:tcPr>
                <w:p w14:paraId="127207C5">
                  <w:pPr>
                    <w:spacing w:line="0" w:lineRule="atLeast"/>
                    <w:jc w:val="center"/>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t>污染物</w:t>
                  </w:r>
                </w:p>
              </w:tc>
              <w:tc>
                <w:tcPr>
                  <w:tcW w:w="2585" w:type="dxa"/>
                  <w:noWrap w:val="0"/>
                  <w:vAlign w:val="center"/>
                </w:tcPr>
                <w:p w14:paraId="60954D79">
                  <w:pPr>
                    <w:adjustRightInd w:val="0"/>
                    <w:snapToGrid w:val="0"/>
                    <w:jc w:val="center"/>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kern w:val="0"/>
                      <w:sz w:val="21"/>
                      <w:szCs w:val="21"/>
                      <w:highlight w:val="none"/>
                      <w:lang w:val="en-US" w:eastAsia="zh-CN"/>
                      <w14:textFill>
                        <w14:solidFill>
                          <w14:schemeClr w14:val="tx1"/>
                        </w14:solidFill>
                      </w14:textFill>
                    </w:rPr>
                    <w:t>排气筒高度</w:t>
                  </w:r>
                </w:p>
              </w:tc>
              <w:tc>
                <w:tcPr>
                  <w:tcW w:w="2998" w:type="dxa"/>
                  <w:noWrap w:val="0"/>
                  <w:vAlign w:val="center"/>
                </w:tcPr>
                <w:p w14:paraId="142FADD4">
                  <w:pPr>
                    <w:adjustRightInd w:val="0"/>
                    <w:snapToGrid w:val="0"/>
                    <w:jc w:val="center"/>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kern w:val="0"/>
                      <w:sz w:val="21"/>
                      <w:szCs w:val="21"/>
                      <w:highlight w:val="none"/>
                      <w:lang w:val="en-US" w:eastAsia="zh-CN"/>
                      <w14:textFill>
                        <w14:solidFill>
                          <w14:schemeClr w14:val="tx1"/>
                        </w14:solidFill>
                      </w14:textFill>
                    </w:rPr>
                    <w:t>排放速率（kg/h）</w:t>
                  </w:r>
                </w:p>
              </w:tc>
            </w:tr>
            <w:tr w14:paraId="2B076E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77" w:type="dxa"/>
                  <w:noWrap w:val="0"/>
                  <w:vAlign w:val="center"/>
                </w:tcPr>
                <w:p w14:paraId="7DED4895">
                  <w:pPr>
                    <w:spacing w:line="0" w:lineRule="atLeast"/>
                    <w:jc w:val="center"/>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t>NH</w:t>
                  </w:r>
                  <w:r>
                    <w:rPr>
                      <w:rFonts w:hint="default" w:ascii="Times New Roman" w:hAnsi="Times New Roman" w:cs="Times New Roman"/>
                      <w:b w:val="0"/>
                      <w:bCs/>
                      <w:color w:val="000000" w:themeColor="text1"/>
                      <w:szCs w:val="21"/>
                      <w:highlight w:val="none"/>
                      <w:u w:val="none"/>
                      <w:vertAlign w:val="subscript"/>
                      <w:lang w:val="en-US" w:eastAsia="zh-CN"/>
                      <w14:textFill>
                        <w14:solidFill>
                          <w14:schemeClr w14:val="tx1"/>
                        </w14:solidFill>
                      </w14:textFill>
                    </w:rPr>
                    <w:t>3</w:t>
                  </w:r>
                </w:p>
              </w:tc>
              <w:tc>
                <w:tcPr>
                  <w:tcW w:w="2585" w:type="dxa"/>
                  <w:vMerge w:val="restart"/>
                  <w:noWrap w:val="0"/>
                  <w:vAlign w:val="center"/>
                </w:tcPr>
                <w:p w14:paraId="4274A932">
                  <w:pPr>
                    <w:spacing w:line="0" w:lineRule="atLeast"/>
                    <w:jc w:val="center"/>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20m</w:t>
                  </w:r>
                </w:p>
              </w:tc>
              <w:tc>
                <w:tcPr>
                  <w:tcW w:w="2998" w:type="dxa"/>
                  <w:noWrap w:val="0"/>
                  <w:vAlign w:val="center"/>
                </w:tcPr>
                <w:p w14:paraId="48EFF4D6">
                  <w:pPr>
                    <w:spacing w:line="0" w:lineRule="atLeast"/>
                    <w:jc w:val="center"/>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8.7</w:t>
                  </w:r>
                </w:p>
              </w:tc>
            </w:tr>
            <w:tr w14:paraId="0FF491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77" w:type="dxa"/>
                  <w:noWrap w:val="0"/>
                  <w:vAlign w:val="center"/>
                </w:tcPr>
                <w:p w14:paraId="6337A989">
                  <w:pPr>
                    <w:spacing w:line="0" w:lineRule="atLeast"/>
                    <w:jc w:val="center"/>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t>H</w:t>
                  </w:r>
                  <w:r>
                    <w:rPr>
                      <w:rFonts w:hint="default" w:ascii="Times New Roman" w:hAnsi="Times New Roman" w:cs="Times New Roman"/>
                      <w:b w:val="0"/>
                      <w:bCs/>
                      <w:color w:val="000000" w:themeColor="text1"/>
                      <w:szCs w:val="21"/>
                      <w:highlight w:val="none"/>
                      <w:u w:val="none"/>
                      <w:vertAlign w:val="subscript"/>
                      <w:lang w:val="en-US" w:eastAsia="zh-CN"/>
                      <w14:textFill>
                        <w14:solidFill>
                          <w14:schemeClr w14:val="tx1"/>
                        </w14:solidFill>
                      </w14:textFill>
                    </w:rPr>
                    <w:t>2</w:t>
                  </w:r>
                  <w:r>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t>S</w:t>
                  </w:r>
                </w:p>
              </w:tc>
              <w:tc>
                <w:tcPr>
                  <w:tcW w:w="2585" w:type="dxa"/>
                  <w:vMerge w:val="continue"/>
                  <w:noWrap w:val="0"/>
                  <w:vAlign w:val="center"/>
                </w:tcPr>
                <w:p w14:paraId="34611C05">
                  <w:pPr>
                    <w:spacing w:line="0" w:lineRule="atLeast"/>
                    <w:jc w:val="center"/>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p>
              </w:tc>
              <w:tc>
                <w:tcPr>
                  <w:tcW w:w="2998" w:type="dxa"/>
                  <w:noWrap w:val="0"/>
                  <w:vAlign w:val="center"/>
                </w:tcPr>
                <w:p w14:paraId="10D6AC4C">
                  <w:pPr>
                    <w:spacing w:line="0" w:lineRule="atLeast"/>
                    <w:jc w:val="center"/>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0.58</w:t>
                  </w:r>
                </w:p>
              </w:tc>
            </w:tr>
          </w:tbl>
          <w:p w14:paraId="691A1FB9">
            <w:pPr>
              <w:keepNext w:val="0"/>
              <w:keepLines w:val="0"/>
              <w:pageBreakBefore w:val="0"/>
              <w:widowControl w:val="0"/>
              <w:kinsoku/>
              <w:wordWrap/>
              <w:overflowPunct/>
              <w:topLinePunct w:val="0"/>
              <w:autoSpaceDE/>
              <w:autoSpaceDN/>
              <w:bidi w:val="0"/>
              <w:adjustRightInd w:val="0"/>
              <w:snapToGrid/>
              <w:spacing w:before="157" w:beforeLines="50"/>
              <w:textAlignment w:val="auto"/>
              <w:rPr>
                <w:rFonts w:hint="default" w:ascii="Times New Roman" w:hAnsi="Times New Roman" w:eastAsia="黑体" w:cs="Times New Roman"/>
                <w:color w:val="000000" w:themeColor="text1"/>
                <w:sz w:val="24"/>
                <w:highlight w:val="none"/>
                <w:u w:val="none"/>
                <w14:textFill>
                  <w14:solidFill>
                    <w14:schemeClr w14:val="tx1"/>
                  </w14:solidFill>
                </w14:textFill>
              </w:rPr>
            </w:pP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2、《医疗机构水污染物排放标准》</w:t>
            </w:r>
            <w:r>
              <w:rPr>
                <w:rFonts w:hint="eastAsia" w:ascii="Times New Roman" w:hAnsi="Times New Roman" w:eastAsia="黑体" w:cs="Times New Roman"/>
                <w:color w:val="000000" w:themeColor="text1"/>
                <w:sz w:val="24"/>
                <w:highlight w:val="none"/>
                <w:lang w:eastAsia="zh-CN"/>
                <w14:textFill>
                  <w14:solidFill>
                    <w14:schemeClr w14:val="tx1"/>
                  </w14:solidFill>
                </w14:textFill>
              </w:rPr>
              <w:t>（</w:t>
            </w: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GB18466-2005</w:t>
            </w:r>
            <w:r>
              <w:rPr>
                <w:rFonts w:hint="eastAsia" w:ascii="Times New Roman" w:hAnsi="Times New Roman" w:eastAsia="黑体" w:cs="Times New Roman"/>
                <w:color w:val="000000" w:themeColor="text1"/>
                <w:sz w:val="24"/>
                <w:highlight w:val="none"/>
                <w:lang w:eastAsia="zh-CN"/>
                <w14:textFill>
                  <w14:solidFill>
                    <w14:schemeClr w14:val="tx1"/>
                  </w14:solidFill>
                </w14:textFill>
              </w:rPr>
              <w:t>）</w:t>
            </w: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表3标准</w:t>
            </w:r>
          </w:p>
          <w:tbl>
            <w:tblPr>
              <w:tblStyle w:val="34"/>
              <w:tblW w:w="794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960"/>
              <w:gridCol w:w="5980"/>
            </w:tblGrid>
            <w:tr w14:paraId="6F22200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960" w:type="dxa"/>
                  <w:noWrap w:val="0"/>
                  <w:vAlign w:val="center"/>
                </w:tcPr>
                <w:p w14:paraId="6F4A9EAB">
                  <w:pPr>
                    <w:spacing w:line="0" w:lineRule="atLeast"/>
                    <w:jc w:val="center"/>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t>污染物</w:t>
                  </w:r>
                </w:p>
              </w:tc>
              <w:tc>
                <w:tcPr>
                  <w:tcW w:w="5980" w:type="dxa"/>
                  <w:noWrap w:val="0"/>
                  <w:vAlign w:val="center"/>
                </w:tcPr>
                <w:p w14:paraId="0A8D1260">
                  <w:pPr>
                    <w:adjustRightInd w:val="0"/>
                    <w:snapToGrid w:val="0"/>
                    <w:jc w:val="center"/>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kern w:val="0"/>
                      <w:sz w:val="21"/>
                      <w:szCs w:val="21"/>
                      <w:highlight w:val="none"/>
                      <w:lang w:val="en-US" w:eastAsia="zh-CN"/>
                      <w14:textFill>
                        <w14:solidFill>
                          <w14:schemeClr w14:val="tx1"/>
                        </w14:solidFill>
                      </w14:textFill>
                    </w:rPr>
                    <w:t>污水处理站周边大气污染物最高允许浓度标准</w:t>
                  </w:r>
                  <w:r>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t>（mg/m</w:t>
                  </w:r>
                  <w:r>
                    <w:rPr>
                      <w:rFonts w:hint="default" w:ascii="Times New Roman" w:hAnsi="Times New Roman" w:cs="Times New Roman"/>
                      <w:b w:val="0"/>
                      <w:bCs/>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kern w:val="0"/>
                      <w:sz w:val="21"/>
                      <w:szCs w:val="21"/>
                      <w:highlight w:val="none"/>
                      <w:lang w:val="en-US" w:eastAsia="zh-CN"/>
                      <w14:textFill>
                        <w14:solidFill>
                          <w14:schemeClr w14:val="tx1"/>
                        </w14:solidFill>
                      </w14:textFill>
                    </w:rPr>
                    <w:t>）</w:t>
                  </w:r>
                </w:p>
              </w:tc>
            </w:tr>
            <w:tr w14:paraId="1AA55FA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960" w:type="dxa"/>
                  <w:noWrap w:val="0"/>
                  <w:vAlign w:val="center"/>
                </w:tcPr>
                <w:p w14:paraId="539F8B41">
                  <w:pPr>
                    <w:spacing w:line="0" w:lineRule="atLeast"/>
                    <w:jc w:val="center"/>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t>NH</w:t>
                  </w:r>
                  <w:r>
                    <w:rPr>
                      <w:rFonts w:hint="default" w:ascii="Times New Roman" w:hAnsi="Times New Roman" w:cs="Times New Roman"/>
                      <w:b w:val="0"/>
                      <w:bCs/>
                      <w:color w:val="000000" w:themeColor="text1"/>
                      <w:szCs w:val="21"/>
                      <w:highlight w:val="none"/>
                      <w:u w:val="none"/>
                      <w:vertAlign w:val="subscript"/>
                      <w:lang w:val="en-US" w:eastAsia="zh-CN"/>
                      <w14:textFill>
                        <w14:solidFill>
                          <w14:schemeClr w14:val="tx1"/>
                        </w14:solidFill>
                      </w14:textFill>
                    </w:rPr>
                    <w:t>3</w:t>
                  </w:r>
                </w:p>
              </w:tc>
              <w:tc>
                <w:tcPr>
                  <w:tcW w:w="5980" w:type="dxa"/>
                  <w:noWrap w:val="0"/>
                  <w:vAlign w:val="center"/>
                </w:tcPr>
                <w:p w14:paraId="7704C33B">
                  <w:pPr>
                    <w:spacing w:line="0" w:lineRule="atLeast"/>
                    <w:jc w:val="center"/>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1.0</w:t>
                  </w:r>
                </w:p>
              </w:tc>
            </w:tr>
            <w:tr w14:paraId="626D396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960" w:type="dxa"/>
                  <w:noWrap w:val="0"/>
                  <w:vAlign w:val="center"/>
                </w:tcPr>
                <w:p w14:paraId="123A4E0D">
                  <w:pPr>
                    <w:spacing w:line="0" w:lineRule="atLeast"/>
                    <w:jc w:val="center"/>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t>H</w:t>
                  </w:r>
                  <w:r>
                    <w:rPr>
                      <w:rFonts w:hint="default" w:ascii="Times New Roman" w:hAnsi="Times New Roman" w:cs="Times New Roman"/>
                      <w:b w:val="0"/>
                      <w:bCs/>
                      <w:color w:val="000000" w:themeColor="text1"/>
                      <w:szCs w:val="21"/>
                      <w:highlight w:val="none"/>
                      <w:u w:val="none"/>
                      <w:vertAlign w:val="subscript"/>
                      <w:lang w:val="en-US" w:eastAsia="zh-CN"/>
                      <w14:textFill>
                        <w14:solidFill>
                          <w14:schemeClr w14:val="tx1"/>
                        </w14:solidFill>
                      </w14:textFill>
                    </w:rPr>
                    <w:t>2</w:t>
                  </w:r>
                  <w:r>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t>S</w:t>
                  </w:r>
                </w:p>
              </w:tc>
              <w:tc>
                <w:tcPr>
                  <w:tcW w:w="5980" w:type="dxa"/>
                  <w:noWrap w:val="0"/>
                  <w:vAlign w:val="center"/>
                </w:tcPr>
                <w:p w14:paraId="4D82728D">
                  <w:pPr>
                    <w:spacing w:line="0" w:lineRule="atLeast"/>
                    <w:jc w:val="center"/>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0.03</w:t>
                  </w:r>
                </w:p>
              </w:tc>
            </w:tr>
            <w:tr w14:paraId="4FEEDBA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960" w:type="dxa"/>
                  <w:noWrap w:val="0"/>
                  <w:vAlign w:val="center"/>
                </w:tcPr>
                <w:p w14:paraId="6405488A">
                  <w:pPr>
                    <w:spacing w:line="0" w:lineRule="atLeast"/>
                    <w:jc w:val="center"/>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t>臭气浓度</w:t>
                  </w:r>
                </w:p>
              </w:tc>
              <w:tc>
                <w:tcPr>
                  <w:tcW w:w="5980" w:type="dxa"/>
                  <w:noWrap w:val="0"/>
                  <w:vAlign w:val="center"/>
                </w:tcPr>
                <w:p w14:paraId="31E3287B">
                  <w:pPr>
                    <w:spacing w:line="0" w:lineRule="atLeast"/>
                    <w:jc w:val="center"/>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1</w:t>
                  </w:r>
                  <w:r>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t>0（无量纲）</w:t>
                  </w:r>
                </w:p>
              </w:tc>
            </w:tr>
          </w:tbl>
          <w:p w14:paraId="39D101D2">
            <w:pPr>
              <w:keepNext w:val="0"/>
              <w:keepLines w:val="0"/>
              <w:pageBreakBefore w:val="0"/>
              <w:widowControl w:val="0"/>
              <w:kinsoku/>
              <w:wordWrap/>
              <w:overflowPunct/>
              <w:topLinePunct w:val="0"/>
              <w:autoSpaceDE/>
              <w:autoSpaceDN/>
              <w:bidi w:val="0"/>
              <w:adjustRightInd w:val="0"/>
              <w:snapToGrid/>
              <w:spacing w:before="157" w:beforeLines="50"/>
              <w:textAlignment w:val="auto"/>
              <w:rPr>
                <w:rFonts w:hint="default" w:ascii="Times New Roman" w:hAnsi="Times New Roman" w:eastAsia="黑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黑体" w:cs="Times New Roman"/>
                <w:color w:val="000000" w:themeColor="text1"/>
                <w:sz w:val="24"/>
                <w:highlight w:val="none"/>
                <w14:textFill>
                  <w14:solidFill>
                    <w14:schemeClr w14:val="tx1"/>
                  </w14:solidFill>
                </w14:textFill>
              </w:rPr>
              <w:t>、</w:t>
            </w:r>
            <w:r>
              <w:rPr>
                <w:rFonts w:hint="eastAsia" w:ascii="Times New Roman" w:hAnsi="Times New Roman" w:eastAsia="黑体" w:cs="Times New Roman"/>
                <w:color w:val="000000" w:themeColor="text1"/>
                <w:sz w:val="24"/>
                <w:highlight w:val="none"/>
                <w:lang w:eastAsia="zh-CN"/>
                <w14:textFill>
                  <w14:solidFill>
                    <w14:schemeClr w14:val="tx1"/>
                  </w14:solidFill>
                </w14:textFill>
              </w:rPr>
              <w:t>《</w:t>
            </w: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医疗机构水污染物排放标准</w:t>
            </w:r>
            <w:r>
              <w:rPr>
                <w:rFonts w:hint="eastAsia" w:ascii="Times New Roman" w:hAnsi="Times New Roman" w:eastAsia="黑体" w:cs="Times New Roman"/>
                <w:color w:val="000000" w:themeColor="text1"/>
                <w:sz w:val="24"/>
                <w:highlight w:val="none"/>
                <w:lang w:eastAsia="zh-CN"/>
                <w14:textFill>
                  <w14:solidFill>
                    <w14:schemeClr w14:val="tx1"/>
                  </w14:solidFill>
                </w14:textFill>
              </w:rPr>
              <w:t>》（</w:t>
            </w: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GB18466-2005</w:t>
            </w:r>
            <w:r>
              <w:rPr>
                <w:rFonts w:hint="eastAsia" w:ascii="Times New Roman" w:hAnsi="Times New Roman" w:eastAsia="黑体" w:cs="Times New Roman"/>
                <w:color w:val="000000" w:themeColor="text1"/>
                <w:sz w:val="24"/>
                <w:highlight w:val="none"/>
                <w:lang w:eastAsia="zh-CN"/>
                <w14:textFill>
                  <w14:solidFill>
                    <w14:schemeClr w14:val="tx1"/>
                  </w14:solidFill>
                </w14:textFill>
              </w:rPr>
              <w:t>）</w:t>
            </w: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表1标准</w:t>
            </w:r>
          </w:p>
          <w:tbl>
            <w:tblPr>
              <w:tblStyle w:val="34"/>
              <w:tblW w:w="796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19"/>
              <w:gridCol w:w="582"/>
              <w:gridCol w:w="735"/>
              <w:gridCol w:w="540"/>
              <w:gridCol w:w="795"/>
              <w:gridCol w:w="1095"/>
              <w:gridCol w:w="1710"/>
              <w:gridCol w:w="1184"/>
            </w:tblGrid>
            <w:tr w14:paraId="57FB32E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19" w:type="dxa"/>
                  <w:noWrap w:val="0"/>
                  <w:vAlign w:val="center"/>
                </w:tcPr>
                <w:p w14:paraId="2718CF6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项目</w:t>
                  </w:r>
                </w:p>
              </w:tc>
              <w:tc>
                <w:tcPr>
                  <w:tcW w:w="582" w:type="dxa"/>
                  <w:noWrap w:val="0"/>
                  <w:vAlign w:val="center"/>
                </w:tcPr>
                <w:p w14:paraId="2D27D7E7">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COD</w:t>
                  </w:r>
                </w:p>
              </w:tc>
              <w:tc>
                <w:tcPr>
                  <w:tcW w:w="735" w:type="dxa"/>
                  <w:noWrap w:val="0"/>
                  <w:vAlign w:val="center"/>
                </w:tcPr>
                <w:p w14:paraId="1DE8281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BOD</w:t>
                  </w:r>
                  <w:r>
                    <w:rPr>
                      <w:rFonts w:hint="eastAsia" w:ascii="Times New Roman" w:hAnsi="Times New Roman" w:cs="Times New Roman"/>
                      <w:b w:val="0"/>
                      <w:bCs/>
                      <w:color w:val="000000" w:themeColor="text1"/>
                      <w:szCs w:val="21"/>
                      <w:highlight w:val="none"/>
                      <w:u w:val="none"/>
                      <w:vertAlign w:val="subscript"/>
                      <w:lang w:val="en-US" w:eastAsia="zh-CN"/>
                      <w14:textFill>
                        <w14:solidFill>
                          <w14:schemeClr w14:val="tx1"/>
                        </w14:solidFill>
                      </w14:textFill>
                    </w:rPr>
                    <w:t>5</w:t>
                  </w:r>
                </w:p>
              </w:tc>
              <w:tc>
                <w:tcPr>
                  <w:tcW w:w="540" w:type="dxa"/>
                  <w:noWrap w:val="0"/>
                  <w:vAlign w:val="center"/>
                </w:tcPr>
                <w:p w14:paraId="202CDA26">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SS</w:t>
                  </w:r>
                </w:p>
              </w:tc>
              <w:tc>
                <w:tcPr>
                  <w:tcW w:w="795" w:type="dxa"/>
                  <w:noWrap w:val="0"/>
                  <w:vAlign w:val="center"/>
                </w:tcPr>
                <w:p w14:paraId="4AF61FDD">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NH</w:t>
                  </w:r>
                  <w:r>
                    <w:rPr>
                      <w:rFonts w:hint="eastAsia" w:ascii="Times New Roman" w:hAnsi="Times New Roman" w:cs="Times New Roman"/>
                      <w:b w:val="0"/>
                      <w:bCs/>
                      <w:color w:val="000000" w:themeColor="text1"/>
                      <w:szCs w:val="21"/>
                      <w:highlight w:val="none"/>
                      <w:u w:val="none"/>
                      <w:vertAlign w:val="subscript"/>
                      <w:lang w:val="en-US" w:eastAsia="zh-CN"/>
                      <w14:textFill>
                        <w14:solidFill>
                          <w14:schemeClr w14:val="tx1"/>
                        </w14:solidFill>
                      </w14:textFill>
                    </w:rPr>
                    <w:t>3</w:t>
                  </w: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-N</w:t>
                  </w:r>
                </w:p>
              </w:tc>
              <w:tc>
                <w:tcPr>
                  <w:tcW w:w="1095" w:type="dxa"/>
                  <w:noWrap w:val="0"/>
                  <w:vAlign w:val="center"/>
                </w:tcPr>
                <w:p w14:paraId="4DADBD0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动植物油</w:t>
                  </w:r>
                </w:p>
              </w:tc>
              <w:tc>
                <w:tcPr>
                  <w:tcW w:w="1710" w:type="dxa"/>
                  <w:noWrap w:val="0"/>
                  <w:vAlign w:val="center"/>
                </w:tcPr>
                <w:p w14:paraId="77151C74">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阴离子表面活性剂</w:t>
                  </w:r>
                </w:p>
              </w:tc>
              <w:tc>
                <w:tcPr>
                  <w:tcW w:w="1184" w:type="dxa"/>
                  <w:noWrap w:val="0"/>
                  <w:vAlign w:val="center"/>
                </w:tcPr>
                <w:p w14:paraId="63FF4CF7">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Cs w:val="21"/>
                      <w:highlight w:val="none"/>
                      <w:u w:val="none"/>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粪大肠菌群</w:t>
                  </w:r>
                </w:p>
              </w:tc>
            </w:tr>
            <w:tr w14:paraId="598AB07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19" w:type="dxa"/>
                  <w:noWrap w:val="0"/>
                  <w:vAlign w:val="center"/>
                </w:tcPr>
                <w:p w14:paraId="432BD57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标准值（mg/L）</w:t>
                  </w:r>
                </w:p>
              </w:tc>
              <w:tc>
                <w:tcPr>
                  <w:tcW w:w="582" w:type="dxa"/>
                  <w:noWrap w:val="0"/>
                  <w:vAlign w:val="center"/>
                </w:tcPr>
                <w:p w14:paraId="4F196D1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60</w:t>
                  </w:r>
                </w:p>
              </w:tc>
              <w:tc>
                <w:tcPr>
                  <w:tcW w:w="735" w:type="dxa"/>
                  <w:noWrap w:val="0"/>
                  <w:vAlign w:val="center"/>
                </w:tcPr>
                <w:p w14:paraId="188DB73B">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20</w:t>
                  </w:r>
                </w:p>
              </w:tc>
              <w:tc>
                <w:tcPr>
                  <w:tcW w:w="540" w:type="dxa"/>
                  <w:noWrap w:val="0"/>
                  <w:vAlign w:val="center"/>
                </w:tcPr>
                <w:p w14:paraId="5088DE15">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20</w:t>
                  </w:r>
                </w:p>
              </w:tc>
              <w:tc>
                <w:tcPr>
                  <w:tcW w:w="795" w:type="dxa"/>
                  <w:noWrap w:val="0"/>
                  <w:vAlign w:val="center"/>
                </w:tcPr>
                <w:p w14:paraId="4F30AC73">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15</w:t>
                  </w:r>
                </w:p>
              </w:tc>
              <w:tc>
                <w:tcPr>
                  <w:tcW w:w="1095" w:type="dxa"/>
                  <w:noWrap w:val="0"/>
                  <w:vAlign w:val="center"/>
                </w:tcPr>
                <w:p w14:paraId="311F7516">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5</w:t>
                  </w:r>
                </w:p>
              </w:tc>
              <w:tc>
                <w:tcPr>
                  <w:tcW w:w="1710" w:type="dxa"/>
                  <w:noWrap w:val="0"/>
                  <w:vAlign w:val="center"/>
                </w:tcPr>
                <w:p w14:paraId="40FE0788">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5</w:t>
                  </w:r>
                </w:p>
              </w:tc>
              <w:tc>
                <w:tcPr>
                  <w:tcW w:w="1184" w:type="dxa"/>
                  <w:noWrap w:val="0"/>
                  <w:vAlign w:val="center"/>
                </w:tcPr>
                <w:p w14:paraId="1C0EBAAC">
                  <w:pPr>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Cs w:val="21"/>
                      <w:highlight w:val="none"/>
                      <w:u w:val="none"/>
                      <w:lang w:val="en-US" w:eastAsia="zh-CN"/>
                      <w14:textFill>
                        <w14:solidFill>
                          <w14:schemeClr w14:val="tx1"/>
                        </w14:solidFill>
                      </w14:textFill>
                    </w:rPr>
                    <w:t>100</w:t>
                  </w:r>
                </w:p>
              </w:tc>
            </w:tr>
          </w:tbl>
          <w:p w14:paraId="545B7337">
            <w:pPr>
              <w:keepNext w:val="0"/>
              <w:keepLines w:val="0"/>
              <w:pageBreakBefore w:val="0"/>
              <w:widowControl w:val="0"/>
              <w:kinsoku/>
              <w:wordWrap/>
              <w:overflowPunct/>
              <w:topLinePunct w:val="0"/>
              <w:autoSpaceDE/>
              <w:autoSpaceDN/>
              <w:bidi w:val="0"/>
              <w:adjustRightInd w:val="0"/>
              <w:snapToGrid/>
              <w:spacing w:before="157" w:beforeLines="50"/>
              <w:textAlignment w:val="auto"/>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4、《建筑施工场界环境噪声排放标准》（GB12523-2011）</w:t>
            </w:r>
          </w:p>
          <w:tbl>
            <w:tblPr>
              <w:tblStyle w:val="34"/>
              <w:tblW w:w="797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061"/>
              <w:gridCol w:w="3913"/>
            </w:tblGrid>
            <w:tr w14:paraId="3833150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61" w:type="dxa"/>
                  <w:noWrap w:val="0"/>
                  <w:vAlign w:val="center"/>
                </w:tcPr>
                <w:p w14:paraId="05162553">
                  <w:pPr>
                    <w:jc w:val="center"/>
                    <w:rPr>
                      <w:rFonts w:hint="default" w:ascii="Times New Roman" w:hAnsi="Times New Roman" w:cs="Times New Roman"/>
                      <w:b w:val="0"/>
                      <w:bCs/>
                      <w:color w:val="000000" w:themeColor="text1"/>
                      <w:highlight w:val="none"/>
                      <w:u w:val="none"/>
                      <w14:textFill>
                        <w14:solidFill>
                          <w14:schemeClr w14:val="tx1"/>
                        </w14:solidFill>
                      </w14:textFill>
                    </w:rPr>
                  </w:pPr>
                  <w:r>
                    <w:rPr>
                      <w:rFonts w:hint="default" w:ascii="Times New Roman" w:hAnsi="Times New Roman" w:cs="Times New Roman"/>
                      <w:b w:val="0"/>
                      <w:bCs/>
                      <w:color w:val="000000" w:themeColor="text1"/>
                      <w:highlight w:val="none"/>
                      <w:u w:val="none"/>
                      <w14:textFill>
                        <w14:solidFill>
                          <w14:schemeClr w14:val="tx1"/>
                        </w14:solidFill>
                      </w14:textFill>
                    </w:rPr>
                    <w:t>昼间dB(A)</w:t>
                  </w:r>
                </w:p>
              </w:tc>
              <w:tc>
                <w:tcPr>
                  <w:tcW w:w="3913" w:type="dxa"/>
                  <w:noWrap w:val="0"/>
                  <w:vAlign w:val="center"/>
                </w:tcPr>
                <w:p w14:paraId="30682D0E">
                  <w:pPr>
                    <w:jc w:val="center"/>
                    <w:rPr>
                      <w:rFonts w:hint="default" w:ascii="Times New Roman" w:hAnsi="Times New Roman" w:cs="Times New Roman"/>
                      <w:b w:val="0"/>
                      <w:bCs/>
                      <w:color w:val="000000" w:themeColor="text1"/>
                      <w:highlight w:val="none"/>
                      <w:u w:val="none"/>
                      <w14:textFill>
                        <w14:solidFill>
                          <w14:schemeClr w14:val="tx1"/>
                        </w14:solidFill>
                      </w14:textFill>
                    </w:rPr>
                  </w:pPr>
                  <w:r>
                    <w:rPr>
                      <w:rFonts w:hint="default" w:ascii="Times New Roman" w:hAnsi="Times New Roman" w:cs="Times New Roman"/>
                      <w:b w:val="0"/>
                      <w:bCs/>
                      <w:color w:val="000000" w:themeColor="text1"/>
                      <w:highlight w:val="none"/>
                      <w:u w:val="none"/>
                      <w14:textFill>
                        <w14:solidFill>
                          <w14:schemeClr w14:val="tx1"/>
                        </w14:solidFill>
                      </w14:textFill>
                    </w:rPr>
                    <w:t>夜间dB(A)</w:t>
                  </w:r>
                </w:p>
              </w:tc>
            </w:tr>
            <w:tr w14:paraId="19A8CE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61" w:type="dxa"/>
                  <w:noWrap w:val="0"/>
                  <w:vAlign w:val="center"/>
                </w:tcPr>
                <w:p w14:paraId="2E827828">
                  <w:pPr>
                    <w:jc w:val="center"/>
                    <w:rPr>
                      <w:rFonts w:hint="default" w:ascii="Times New Roman" w:hAnsi="Times New Roman" w:eastAsia="宋体" w:cs="Times New Roman"/>
                      <w:b w:val="0"/>
                      <w:bCs/>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highlight w:val="none"/>
                      <w:u w:val="none"/>
                      <w:lang w:val="en-US" w:eastAsia="zh-CN"/>
                      <w14:textFill>
                        <w14:solidFill>
                          <w14:schemeClr w14:val="tx1"/>
                        </w14:solidFill>
                      </w14:textFill>
                    </w:rPr>
                    <w:t>70</w:t>
                  </w:r>
                </w:p>
              </w:tc>
              <w:tc>
                <w:tcPr>
                  <w:tcW w:w="3913" w:type="dxa"/>
                  <w:noWrap w:val="0"/>
                  <w:vAlign w:val="center"/>
                </w:tcPr>
                <w:p w14:paraId="3894A81A">
                  <w:pPr>
                    <w:jc w:val="center"/>
                    <w:rPr>
                      <w:rFonts w:hint="default" w:ascii="Times New Roman" w:hAnsi="Times New Roman" w:cs="Times New Roman"/>
                      <w:b w:val="0"/>
                      <w:bCs/>
                      <w:color w:val="000000" w:themeColor="text1"/>
                      <w:highlight w:val="none"/>
                      <w:u w:val="none"/>
                      <w:lang w:val="en-US"/>
                      <w14:textFill>
                        <w14:solidFill>
                          <w14:schemeClr w14:val="tx1"/>
                        </w14:solidFill>
                      </w14:textFill>
                    </w:rPr>
                  </w:pPr>
                  <w:r>
                    <w:rPr>
                      <w:rFonts w:hint="eastAsia" w:ascii="Times New Roman" w:hAnsi="Times New Roman" w:cs="Times New Roman"/>
                      <w:b w:val="0"/>
                      <w:bCs/>
                      <w:color w:val="000000" w:themeColor="text1"/>
                      <w:highlight w:val="none"/>
                      <w:u w:val="none"/>
                      <w:lang w:val="en-US" w:eastAsia="zh-CN"/>
                      <w14:textFill>
                        <w14:solidFill>
                          <w14:schemeClr w14:val="tx1"/>
                        </w14:solidFill>
                      </w14:textFill>
                    </w:rPr>
                    <w:t>55</w:t>
                  </w:r>
                </w:p>
              </w:tc>
            </w:tr>
          </w:tbl>
          <w:p w14:paraId="2DF80C2D">
            <w:pPr>
              <w:keepNext w:val="0"/>
              <w:keepLines w:val="0"/>
              <w:pageBreakBefore w:val="0"/>
              <w:widowControl w:val="0"/>
              <w:kinsoku/>
              <w:wordWrap/>
              <w:overflowPunct/>
              <w:topLinePunct w:val="0"/>
              <w:autoSpaceDE/>
              <w:autoSpaceDN/>
              <w:bidi w:val="0"/>
              <w:adjustRightInd w:val="0"/>
              <w:snapToGrid/>
              <w:spacing w:before="157" w:beforeLines="50"/>
              <w:textAlignment w:val="auto"/>
              <w:rPr>
                <w:rFonts w:hint="default" w:ascii="Times New Roman" w:hAnsi="Times New Roman" w:eastAsia="黑体" w:cs="Times New Roman"/>
                <w:color w:val="000000" w:themeColor="text1"/>
                <w:sz w:val="24"/>
                <w:highlight w:val="none"/>
                <w14:textFill>
                  <w14:solidFill>
                    <w14:schemeClr w14:val="tx1"/>
                  </w14:solidFill>
                </w14:textFill>
              </w:rPr>
            </w:pP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黑体" w:cs="Times New Roman"/>
                <w:color w:val="000000" w:themeColor="text1"/>
                <w:sz w:val="24"/>
                <w:highlight w:val="none"/>
                <w14:textFill>
                  <w14:solidFill>
                    <w14:schemeClr w14:val="tx1"/>
                  </w14:solidFill>
                </w14:textFill>
              </w:rPr>
              <w:t>、《工业企业厂界环境</w:t>
            </w:r>
            <w:r>
              <w:rPr>
                <w:rFonts w:hint="default" w:ascii="Times New Roman" w:hAnsi="Times New Roman" w:eastAsia="黑体" w:cs="Times New Roman"/>
                <w:color w:val="000000" w:themeColor="text1"/>
                <w:sz w:val="24"/>
                <w:highlight w:val="none"/>
                <w:lang w:val="en-US" w:eastAsia="zh-CN"/>
                <w14:textFill>
                  <w14:solidFill>
                    <w14:schemeClr w14:val="tx1"/>
                  </w14:solidFill>
                </w14:textFill>
              </w:rPr>
              <w:t>噪声</w:t>
            </w:r>
            <w:r>
              <w:rPr>
                <w:rFonts w:hint="default" w:ascii="Times New Roman" w:hAnsi="Times New Roman" w:eastAsia="黑体" w:cs="Times New Roman"/>
                <w:color w:val="000000" w:themeColor="text1"/>
                <w:sz w:val="24"/>
                <w:highlight w:val="none"/>
                <w14:textFill>
                  <w14:solidFill>
                    <w14:schemeClr w14:val="tx1"/>
                  </w14:solidFill>
                </w14:textFill>
              </w:rPr>
              <w:t>排放标准》（GB12348-2008）</w:t>
            </w:r>
            <w:r>
              <w:rPr>
                <w:rFonts w:hint="default" w:ascii="Times New Roman" w:hAnsi="Times New Roman" w:eastAsia="黑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黑体" w:cs="Times New Roman"/>
                <w:color w:val="000000" w:themeColor="text1"/>
                <w:sz w:val="24"/>
                <w:highlight w:val="none"/>
                <w14:textFill>
                  <w14:solidFill>
                    <w14:schemeClr w14:val="tx1"/>
                  </w14:solidFill>
                </w14:textFill>
              </w:rPr>
              <w:t>类</w:t>
            </w:r>
          </w:p>
          <w:tbl>
            <w:tblPr>
              <w:tblStyle w:val="34"/>
              <w:tblW w:w="796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462"/>
              <w:gridCol w:w="2800"/>
              <w:gridCol w:w="2698"/>
            </w:tblGrid>
            <w:tr w14:paraId="166E5E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62" w:type="dxa"/>
                  <w:noWrap w:val="0"/>
                  <w:vAlign w:val="center"/>
                </w:tcPr>
                <w:p w14:paraId="771856FC">
                  <w:pPr>
                    <w:jc w:val="center"/>
                    <w:rPr>
                      <w:rFonts w:hint="default" w:ascii="Times New Roman" w:hAnsi="Times New Roman" w:cs="Times New Roman"/>
                      <w:b w:val="0"/>
                      <w:bCs/>
                      <w:color w:val="000000" w:themeColor="text1"/>
                      <w:highlight w:val="none"/>
                      <w:u w:val="none"/>
                      <w14:textFill>
                        <w14:solidFill>
                          <w14:schemeClr w14:val="tx1"/>
                        </w14:solidFill>
                      </w14:textFill>
                    </w:rPr>
                  </w:pPr>
                  <w:r>
                    <w:rPr>
                      <w:rFonts w:hint="default" w:ascii="Times New Roman" w:hAnsi="Times New Roman" w:cs="Times New Roman"/>
                      <w:b w:val="0"/>
                      <w:bCs/>
                      <w:color w:val="000000" w:themeColor="text1"/>
                      <w:highlight w:val="none"/>
                      <w:u w:val="none"/>
                      <w14:textFill>
                        <w14:solidFill>
                          <w14:schemeClr w14:val="tx1"/>
                        </w14:solidFill>
                      </w14:textFill>
                    </w:rPr>
                    <w:t>标准</w:t>
                  </w:r>
                </w:p>
              </w:tc>
              <w:tc>
                <w:tcPr>
                  <w:tcW w:w="2800" w:type="dxa"/>
                  <w:noWrap w:val="0"/>
                  <w:vAlign w:val="center"/>
                </w:tcPr>
                <w:p w14:paraId="13F79243">
                  <w:pPr>
                    <w:jc w:val="center"/>
                    <w:rPr>
                      <w:rFonts w:hint="default" w:ascii="Times New Roman" w:hAnsi="Times New Roman" w:cs="Times New Roman"/>
                      <w:b w:val="0"/>
                      <w:bCs/>
                      <w:color w:val="000000" w:themeColor="text1"/>
                      <w:highlight w:val="none"/>
                      <w:u w:val="none"/>
                      <w14:textFill>
                        <w14:solidFill>
                          <w14:schemeClr w14:val="tx1"/>
                        </w14:solidFill>
                      </w14:textFill>
                    </w:rPr>
                  </w:pPr>
                  <w:r>
                    <w:rPr>
                      <w:rFonts w:hint="default" w:ascii="Times New Roman" w:hAnsi="Times New Roman" w:cs="Times New Roman"/>
                      <w:b w:val="0"/>
                      <w:bCs/>
                      <w:color w:val="000000" w:themeColor="text1"/>
                      <w:highlight w:val="none"/>
                      <w:u w:val="none"/>
                      <w14:textFill>
                        <w14:solidFill>
                          <w14:schemeClr w14:val="tx1"/>
                        </w14:solidFill>
                      </w14:textFill>
                    </w:rPr>
                    <w:t>昼间dB(A)</w:t>
                  </w:r>
                </w:p>
              </w:tc>
              <w:tc>
                <w:tcPr>
                  <w:tcW w:w="2698" w:type="dxa"/>
                  <w:noWrap w:val="0"/>
                  <w:vAlign w:val="center"/>
                </w:tcPr>
                <w:p w14:paraId="084F6714">
                  <w:pPr>
                    <w:jc w:val="center"/>
                    <w:rPr>
                      <w:rFonts w:hint="default" w:ascii="Times New Roman" w:hAnsi="Times New Roman" w:cs="Times New Roman"/>
                      <w:b w:val="0"/>
                      <w:bCs/>
                      <w:color w:val="000000" w:themeColor="text1"/>
                      <w:highlight w:val="none"/>
                      <w:u w:val="none"/>
                      <w14:textFill>
                        <w14:solidFill>
                          <w14:schemeClr w14:val="tx1"/>
                        </w14:solidFill>
                      </w14:textFill>
                    </w:rPr>
                  </w:pPr>
                  <w:r>
                    <w:rPr>
                      <w:rFonts w:hint="default" w:ascii="Times New Roman" w:hAnsi="Times New Roman" w:cs="Times New Roman"/>
                      <w:b w:val="0"/>
                      <w:bCs/>
                      <w:color w:val="000000" w:themeColor="text1"/>
                      <w:highlight w:val="none"/>
                      <w:u w:val="none"/>
                      <w14:textFill>
                        <w14:solidFill>
                          <w14:schemeClr w14:val="tx1"/>
                        </w14:solidFill>
                      </w14:textFill>
                    </w:rPr>
                    <w:t>夜间dB(A)</w:t>
                  </w:r>
                </w:p>
              </w:tc>
            </w:tr>
            <w:tr w14:paraId="1C1B677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62" w:type="dxa"/>
                  <w:noWrap w:val="0"/>
                  <w:vAlign w:val="center"/>
                </w:tcPr>
                <w:p w14:paraId="7F94BDC1">
                  <w:pPr>
                    <w:jc w:val="center"/>
                    <w:rPr>
                      <w:rFonts w:hint="default" w:ascii="Times New Roman" w:hAnsi="Times New Roman" w:cs="Times New Roman"/>
                      <w:b w:val="0"/>
                      <w:bCs/>
                      <w:color w:val="000000" w:themeColor="text1"/>
                      <w:highlight w:val="none"/>
                      <w:u w:val="none"/>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2</w:t>
                  </w:r>
                  <w:r>
                    <w:rPr>
                      <w:rFonts w:hint="default" w:ascii="Times New Roman" w:hAnsi="Times New Roman" w:cs="Times New Roman"/>
                      <w:b w:val="0"/>
                      <w:bCs/>
                      <w:color w:val="000000" w:themeColor="text1"/>
                      <w:highlight w:val="none"/>
                      <w:u w:val="none"/>
                      <w14:textFill>
                        <w14:solidFill>
                          <w14:schemeClr w14:val="tx1"/>
                        </w14:solidFill>
                      </w14:textFill>
                    </w:rPr>
                    <w:t>类</w:t>
                  </w:r>
                </w:p>
              </w:tc>
              <w:tc>
                <w:tcPr>
                  <w:tcW w:w="2800" w:type="dxa"/>
                  <w:noWrap w:val="0"/>
                  <w:vAlign w:val="center"/>
                </w:tcPr>
                <w:p w14:paraId="7720B374">
                  <w:pPr>
                    <w:jc w:val="center"/>
                    <w:rPr>
                      <w:rFonts w:hint="default" w:ascii="Times New Roman" w:hAnsi="Times New Roman" w:eastAsia="宋体" w:cs="Times New Roman"/>
                      <w:b w:val="0"/>
                      <w:bCs/>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60</w:t>
                  </w:r>
                </w:p>
              </w:tc>
              <w:tc>
                <w:tcPr>
                  <w:tcW w:w="2698" w:type="dxa"/>
                  <w:noWrap w:val="0"/>
                  <w:vAlign w:val="center"/>
                </w:tcPr>
                <w:p w14:paraId="4A3C088B">
                  <w:pPr>
                    <w:jc w:val="center"/>
                    <w:rPr>
                      <w:rFonts w:hint="default" w:ascii="Times New Roman" w:hAnsi="Times New Roman" w:cs="Times New Roman"/>
                      <w:b w:val="0"/>
                      <w:bCs/>
                      <w:color w:val="000000" w:themeColor="text1"/>
                      <w:highlight w:val="none"/>
                      <w:u w:val="none"/>
                      <w:lang w:val="en-US"/>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50</w:t>
                  </w:r>
                </w:p>
              </w:tc>
            </w:tr>
          </w:tbl>
          <w:p w14:paraId="7ACD0205">
            <w:pPr>
              <w:keepNext w:val="0"/>
              <w:keepLines w:val="0"/>
              <w:pageBreakBefore w:val="0"/>
              <w:widowControl w:val="0"/>
              <w:kinsoku/>
              <w:wordWrap/>
              <w:overflowPunct/>
              <w:topLinePunct w:val="0"/>
              <w:autoSpaceDE/>
              <w:autoSpaceDN/>
              <w:bidi w:val="0"/>
              <w:adjustRightInd w:val="0"/>
              <w:snapToGrid/>
              <w:spacing w:before="157" w:beforeLines="50"/>
              <w:textAlignment w:val="auto"/>
              <w:rPr>
                <w:rFonts w:hint="default" w:ascii="Times New Roman" w:hAnsi="Times New Roman" w:eastAsia="黑体" w:cs="Times New Roman"/>
                <w:color w:val="000000" w:themeColor="text1"/>
                <w:sz w:val="24"/>
                <w:highlight w:val="none"/>
                <w14:textFill>
                  <w14:solidFill>
                    <w14:schemeClr w14:val="tx1"/>
                  </w14:solidFill>
                </w14:textFill>
              </w:rPr>
            </w:pP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6</w:t>
            </w:r>
            <w:r>
              <w:rPr>
                <w:rFonts w:hint="default" w:ascii="Times New Roman" w:hAnsi="Times New Roman" w:eastAsia="黑体" w:cs="Times New Roman"/>
                <w:color w:val="000000" w:themeColor="text1"/>
                <w:sz w:val="24"/>
                <w:highlight w:val="none"/>
                <w14:textFill>
                  <w14:solidFill>
                    <w14:schemeClr w14:val="tx1"/>
                  </w14:solidFill>
                </w14:textFill>
              </w:rPr>
              <w:t>、</w:t>
            </w:r>
            <w:r>
              <w:rPr>
                <w:rFonts w:hint="default" w:ascii="Times New Roman" w:hAnsi="Times New Roman" w:eastAsia="黑体" w:cs="Times New Roman"/>
                <w:color w:val="000000" w:themeColor="text1"/>
                <w:sz w:val="24"/>
                <w:highlight w:val="none"/>
                <w:lang w:val="en-US" w:eastAsia="zh-CN"/>
                <w14:textFill>
                  <w14:solidFill>
                    <w14:schemeClr w14:val="tx1"/>
                  </w14:solidFill>
                </w14:textFill>
              </w:rPr>
              <w:t>《一般工业固体废物贮存和填埋污染控制标准》（GB18599-2020）</w:t>
            </w:r>
          </w:p>
          <w:p w14:paraId="57B09920">
            <w:pPr>
              <w:keepNext w:val="0"/>
              <w:keepLines w:val="0"/>
              <w:pageBreakBefore w:val="0"/>
              <w:widowControl w:val="0"/>
              <w:kinsoku/>
              <w:wordWrap/>
              <w:overflowPunct/>
              <w:topLinePunct w:val="0"/>
              <w:autoSpaceDE/>
              <w:autoSpaceDN/>
              <w:bidi w:val="0"/>
              <w:adjustRightInd w:val="0"/>
              <w:snapToGrid/>
              <w:spacing w:before="157" w:beforeLines="50"/>
              <w:textAlignment w:val="auto"/>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7、</w:t>
            </w:r>
            <w:r>
              <w:rPr>
                <w:rFonts w:hint="default" w:ascii="Times New Roman" w:hAnsi="Times New Roman" w:eastAsia="黑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医疗机构水污染物排放标准</w:t>
            </w:r>
            <w:r>
              <w:rPr>
                <w:rFonts w:hint="default" w:ascii="Times New Roman" w:hAnsi="Times New Roman" w:eastAsia="黑体" w:cs="Times New Roman"/>
                <w:color w:val="000000" w:themeColor="text1"/>
                <w:sz w:val="24"/>
                <w:highlight w:val="none"/>
                <w:lang w:val="en-US" w:eastAsia="zh-CN"/>
                <w14:textFill>
                  <w14:solidFill>
                    <w14:schemeClr w14:val="tx1"/>
                  </w14:solidFill>
                </w14:textFill>
              </w:rPr>
              <w:t>》（GB18466-2005）</w:t>
            </w: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表4“医疗机构污泥控制标准”</w:t>
            </w:r>
          </w:p>
          <w:tbl>
            <w:tblPr>
              <w:tblStyle w:val="34"/>
              <w:tblW w:w="7960"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96"/>
              <w:gridCol w:w="1470"/>
              <w:gridCol w:w="1260"/>
              <w:gridCol w:w="1065"/>
              <w:gridCol w:w="1095"/>
              <w:gridCol w:w="1574"/>
            </w:tblGrid>
            <w:tr w14:paraId="32BB348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96" w:type="dxa"/>
                  <w:noWrap w:val="0"/>
                  <w:vAlign w:val="center"/>
                </w:tcPr>
                <w:p w14:paraId="07174F0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医疗机构类别</w:t>
                  </w:r>
                </w:p>
              </w:tc>
              <w:tc>
                <w:tcPr>
                  <w:tcW w:w="1470" w:type="dxa"/>
                  <w:noWrap w:val="0"/>
                  <w:vAlign w:val="center"/>
                </w:tcPr>
                <w:p w14:paraId="7C82D78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粪大肠菌群数/（MPN/g）</w:t>
                  </w:r>
                </w:p>
              </w:tc>
              <w:tc>
                <w:tcPr>
                  <w:tcW w:w="1260" w:type="dxa"/>
                  <w:noWrap w:val="0"/>
                  <w:vAlign w:val="center"/>
                </w:tcPr>
                <w:p w14:paraId="690E0E5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肠道致病菌</w:t>
                  </w:r>
                </w:p>
              </w:tc>
              <w:tc>
                <w:tcPr>
                  <w:tcW w:w="1065" w:type="dxa"/>
                  <w:noWrap w:val="0"/>
                  <w:vAlign w:val="center"/>
                </w:tcPr>
                <w:p w14:paraId="1035B59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肠道病毒</w:t>
                  </w:r>
                </w:p>
              </w:tc>
              <w:tc>
                <w:tcPr>
                  <w:tcW w:w="1095" w:type="dxa"/>
                  <w:noWrap w:val="0"/>
                  <w:vAlign w:val="center"/>
                </w:tcPr>
                <w:p w14:paraId="659BE04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结核杆菌</w:t>
                  </w:r>
                </w:p>
              </w:tc>
              <w:tc>
                <w:tcPr>
                  <w:tcW w:w="1574" w:type="dxa"/>
                  <w:noWrap w:val="0"/>
                  <w:vAlign w:val="center"/>
                </w:tcPr>
                <w:p w14:paraId="5396E04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蛔虫卵死亡率/%</w:t>
                  </w:r>
                </w:p>
              </w:tc>
            </w:tr>
            <w:tr w14:paraId="231E80D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96" w:type="dxa"/>
                  <w:noWrap w:val="0"/>
                  <w:vAlign w:val="center"/>
                </w:tcPr>
                <w:p w14:paraId="2930A43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传染病医疗机构</w:t>
                  </w:r>
                </w:p>
              </w:tc>
              <w:tc>
                <w:tcPr>
                  <w:tcW w:w="1470" w:type="dxa"/>
                  <w:noWrap w:val="0"/>
                  <w:vAlign w:val="center"/>
                </w:tcPr>
                <w:p w14:paraId="5F1691D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≤100</w:t>
                  </w:r>
                </w:p>
              </w:tc>
              <w:tc>
                <w:tcPr>
                  <w:tcW w:w="1260" w:type="dxa"/>
                  <w:noWrap w:val="0"/>
                  <w:vAlign w:val="center"/>
                </w:tcPr>
                <w:p w14:paraId="0E4C949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cs="Times New Roman"/>
                      <w:b w:val="0"/>
                      <w:bCs/>
                      <w:color w:val="000000" w:themeColor="text1"/>
                      <w:highlight w:val="none"/>
                      <w:u w:val="none"/>
                      <w:lang w:val="en-US"/>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不得检出</w:t>
                  </w:r>
                </w:p>
              </w:tc>
              <w:tc>
                <w:tcPr>
                  <w:tcW w:w="1065" w:type="dxa"/>
                  <w:noWrap w:val="0"/>
                  <w:vAlign w:val="center"/>
                </w:tcPr>
                <w:p w14:paraId="66E4BC2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不得检出</w:t>
                  </w:r>
                </w:p>
              </w:tc>
              <w:tc>
                <w:tcPr>
                  <w:tcW w:w="1095" w:type="dxa"/>
                  <w:noWrap w:val="0"/>
                  <w:vAlign w:val="center"/>
                </w:tcPr>
                <w:p w14:paraId="0141B69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w:t>
                  </w:r>
                </w:p>
              </w:tc>
              <w:tc>
                <w:tcPr>
                  <w:tcW w:w="1574" w:type="dxa"/>
                  <w:noWrap w:val="0"/>
                  <w:vAlign w:val="center"/>
                </w:tcPr>
                <w:p w14:paraId="6CCEC27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highlight w:val="none"/>
                      <w:u w:val="none"/>
                      <w:lang w:val="en-US" w:eastAsia="zh-CN"/>
                      <w14:textFill>
                        <w14:solidFill>
                          <w14:schemeClr w14:val="tx1"/>
                        </w14:solidFill>
                      </w14:textFill>
                    </w:rPr>
                    <w:t>＞95</w:t>
                  </w:r>
                </w:p>
              </w:tc>
            </w:tr>
          </w:tbl>
          <w:p w14:paraId="0D5A3EAF">
            <w:pPr>
              <w:keepNext w:val="0"/>
              <w:keepLines w:val="0"/>
              <w:pageBreakBefore w:val="0"/>
              <w:widowControl w:val="0"/>
              <w:kinsoku/>
              <w:wordWrap/>
              <w:overflowPunct/>
              <w:topLinePunct w:val="0"/>
              <w:autoSpaceDE/>
              <w:autoSpaceDN/>
              <w:bidi w:val="0"/>
              <w:adjustRightInd w:val="0"/>
              <w:snapToGrid/>
              <w:spacing w:before="157" w:beforeLines="50"/>
              <w:textAlignment w:val="auto"/>
              <w:rPr>
                <w:rFonts w:hint="default" w:ascii="Times New Roman" w:hAnsi="Times New Roman" w:eastAsia="黑体" w:cs="Times New Roman"/>
                <w:bCs w:val="0"/>
                <w:color w:val="000000" w:themeColor="text1"/>
                <w:kern w:val="2"/>
                <w:szCs w:val="24"/>
                <w:highlight w:val="none"/>
                <w:lang w:val="en-US" w:eastAsia="zh-CN"/>
                <w14:textFill>
                  <w14:solidFill>
                    <w14:schemeClr w14:val="tx1"/>
                  </w14:solidFill>
                </w14:textFill>
              </w:rPr>
            </w:pP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8、</w:t>
            </w:r>
            <w:r>
              <w:rPr>
                <w:rFonts w:hint="default" w:ascii="Times New Roman" w:hAnsi="Times New Roman" w:eastAsia="黑体" w:cs="Times New Roman"/>
                <w:color w:val="000000" w:themeColor="text1"/>
                <w:sz w:val="24"/>
                <w:highlight w:val="none"/>
                <w:lang w:val="en-US" w:eastAsia="zh-CN"/>
                <w14:textFill>
                  <w14:solidFill>
                    <w14:schemeClr w14:val="tx1"/>
                  </w14:solidFill>
                </w14:textFill>
              </w:rPr>
              <w:t>《危险废物贮存污染控制标准》</w:t>
            </w:r>
            <w:r>
              <w:rPr>
                <w:rFonts w:hint="eastAsia" w:ascii="Times New Roman" w:hAnsi="Times New Roman" w:eastAsia="黑体" w:cs="Times New Roman"/>
                <w:color w:val="000000" w:themeColor="text1"/>
                <w:sz w:val="24"/>
                <w:highlight w:val="none"/>
                <w:lang w:val="en-US" w:eastAsia="zh-CN"/>
                <w14:textFill>
                  <w14:solidFill>
                    <w14:schemeClr w14:val="tx1"/>
                  </w14:solidFill>
                </w14:textFill>
              </w:rPr>
              <w:t>（GB18597-2023）</w:t>
            </w:r>
          </w:p>
        </w:tc>
      </w:tr>
      <w:tr w14:paraId="33663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6" w:hRule="atLeast"/>
          <w:jc w:val="center"/>
        </w:trPr>
        <w:tc>
          <w:tcPr>
            <w:tcW w:w="800" w:type="dxa"/>
            <w:noWrap w:val="0"/>
            <w:vAlign w:val="center"/>
          </w:tcPr>
          <w:p w14:paraId="6D79125D">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总量</w:t>
            </w:r>
          </w:p>
          <w:p w14:paraId="2302E07F">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控制</w:t>
            </w:r>
          </w:p>
          <w:p w14:paraId="7E8733F7">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指标</w:t>
            </w:r>
          </w:p>
        </w:tc>
        <w:tc>
          <w:tcPr>
            <w:tcW w:w="8190" w:type="dxa"/>
            <w:noWrap w:val="0"/>
            <w:vAlign w:val="center"/>
          </w:tcPr>
          <w:p w14:paraId="51F56902">
            <w:pPr>
              <w:keepNext/>
              <w:keepLines/>
              <w:pageBreakBefore/>
              <w:widowControl/>
              <w:suppressLineNumbers/>
              <w:spacing w:line="360" w:lineRule="auto"/>
              <w:ind w:firstLine="352" w:firstLineChars="147"/>
              <w:jc w:val="left"/>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4"/>
                <w:szCs w:val="22"/>
                <w:highlight w:val="none"/>
                <w:u w:val="none"/>
                <w:lang w:eastAsia="zh-CN"/>
                <w14:textFill>
                  <w14:solidFill>
                    <w14:schemeClr w14:val="tx1"/>
                  </w14:solidFill>
                </w14:textFill>
              </w:rPr>
              <w:t>项目</w:t>
            </w:r>
            <w:r>
              <w:rPr>
                <w:rFonts w:hint="default"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废水主要</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包括门诊医疗废水、化验废水、检验废水、住院病房医疗废水、医务人员医疗废水等，废水全部进入院内污水处理站，经处理并消毒后通过市政污水管进入渑池县第二污水处理厂进一步处理，最终排入涧河</w:t>
            </w:r>
            <w:r>
              <w:rPr>
                <w:rFonts w:hint="eastAsia" w:ascii="Times New Roman" w:hAnsi="Times New Roman" w:cs="Times New Roman"/>
                <w:b w:val="0"/>
                <w:bCs/>
                <w:color w:val="000000" w:themeColor="text1"/>
                <w:sz w:val="24"/>
                <w:highlight w:val="none"/>
                <w:u w:val="none"/>
                <w:lang w:eastAsia="zh-CN"/>
                <w14:textFill>
                  <w14:solidFill>
                    <w14:schemeClr w14:val="tx1"/>
                  </w14:solidFill>
                </w14:textFill>
              </w:rPr>
              <w:t>，</w:t>
            </w:r>
            <w:r>
              <w:rPr>
                <w:rFonts w:hint="eastAsia" w:ascii="Times New Roman" w:hAnsi="Times New Roman" w:cs="Times New Roman"/>
                <w:b w:val="0"/>
                <w:bCs/>
                <w:color w:val="000000" w:themeColor="text1"/>
                <w:sz w:val="24"/>
                <w:highlight w:val="none"/>
                <w:u w:val="none"/>
                <w:lang w:val="en-US" w:eastAsia="zh-CN"/>
                <w14:textFill>
                  <w14:solidFill>
                    <w14:schemeClr w14:val="tx1"/>
                  </w14:solidFill>
                </w14:textFill>
              </w:rPr>
              <w:t>废水总量指标纳入</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渑池县第二污水处理厂。因此，扩建项目不再推荐水污染物总量控制指标。</w:t>
            </w:r>
          </w:p>
        </w:tc>
      </w:tr>
    </w:tbl>
    <w:p w14:paraId="673C9474">
      <w:pPr>
        <w:pStyle w:val="30"/>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br w:type="page"/>
      </w:r>
    </w:p>
    <w:p w14:paraId="351C3FB4">
      <w:pPr>
        <w:pStyle w:val="30"/>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四、主要环境影响和保护措施</w:t>
      </w:r>
    </w:p>
    <w:tbl>
      <w:tblPr>
        <w:tblStyle w:val="3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9"/>
        <w:gridCol w:w="8309"/>
      </w:tblGrid>
      <w:tr w14:paraId="0A238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863" w:hRule="atLeast"/>
          <w:jc w:val="center"/>
        </w:trPr>
        <w:tc>
          <w:tcPr>
            <w:tcW w:w="599" w:type="dxa"/>
            <w:noWrap w:val="0"/>
            <w:tcMar>
              <w:left w:w="28" w:type="dxa"/>
              <w:right w:w="28" w:type="dxa"/>
            </w:tcMar>
            <w:vAlign w:val="center"/>
          </w:tcPr>
          <w:p w14:paraId="68225161">
            <w:pPr>
              <w:pStyle w:val="30"/>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施工</w:t>
            </w:r>
          </w:p>
          <w:p w14:paraId="18DCB107">
            <w:pPr>
              <w:pStyle w:val="30"/>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期环</w:t>
            </w:r>
          </w:p>
          <w:p w14:paraId="06F598A2">
            <w:pPr>
              <w:pStyle w:val="30"/>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境保</w:t>
            </w:r>
          </w:p>
          <w:p w14:paraId="4C59BF90">
            <w:pPr>
              <w:pStyle w:val="30"/>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护措</w:t>
            </w:r>
          </w:p>
          <w:p w14:paraId="2DEF4C49">
            <w:pPr>
              <w:pStyle w:val="30"/>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施</w:t>
            </w:r>
          </w:p>
        </w:tc>
        <w:tc>
          <w:tcPr>
            <w:tcW w:w="8309" w:type="dxa"/>
            <w:noWrap w:val="0"/>
            <w:vAlign w:val="center"/>
          </w:tcPr>
          <w:p w14:paraId="60E85431">
            <w:pPr>
              <w:spacing w:line="520" w:lineRule="exact"/>
              <w:jc w:val="left"/>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1、废气环境影响分析及环保措施</w:t>
            </w:r>
          </w:p>
          <w:p w14:paraId="1F117603">
            <w:pPr>
              <w:spacing w:line="520" w:lineRule="exact"/>
              <w:ind w:firstLine="480" w:firstLineChars="200"/>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（1）施工扬尘</w:t>
            </w:r>
          </w:p>
          <w:p w14:paraId="73F37202">
            <w:pPr>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w:t>
            </w:r>
            <w:r>
              <w:rPr>
                <w:rFonts w:hint="eastAsia" w:ascii="Times New Roman" w:hAnsi="Times New Roman" w:cs="Times New Roman"/>
                <w:color w:val="000000" w:themeColor="text1"/>
                <w:sz w:val="24"/>
                <w:highlight w:val="none"/>
                <w:lang w:val="en-US" w:eastAsia="zh-CN"/>
                <w14:textFill>
                  <w14:solidFill>
                    <w14:schemeClr w14:val="tx1"/>
                  </w14:solidFill>
                </w14:textFill>
              </w:rPr>
              <w:t>精神病房楼</w:t>
            </w:r>
            <w:r>
              <w:rPr>
                <w:rFonts w:hint="default" w:ascii="Times New Roman" w:hAnsi="Times New Roman" w:cs="Times New Roman"/>
                <w:color w:val="000000" w:themeColor="text1"/>
                <w:sz w:val="24"/>
                <w:highlight w:val="none"/>
                <w14:textFill>
                  <w14:solidFill>
                    <w14:schemeClr w14:val="tx1"/>
                  </w14:solidFill>
                </w14:textFill>
              </w:rPr>
              <w:t>为</w:t>
            </w:r>
            <w:r>
              <w:rPr>
                <w:rFonts w:hint="default" w:ascii="Times New Roman" w:hAnsi="Times New Roman" w:cs="Times New Roman"/>
                <w:color w:val="000000" w:themeColor="text1"/>
                <w:sz w:val="24"/>
                <w:highlight w:val="none"/>
                <w:lang w:val="en-US" w:eastAsia="zh-CN"/>
                <w14:textFill>
                  <w14:solidFill>
                    <w14:schemeClr w14:val="tx1"/>
                  </w14:solidFill>
                </w14:textFill>
              </w:rPr>
              <w:t>砖混</w:t>
            </w:r>
            <w:r>
              <w:rPr>
                <w:rFonts w:hint="default" w:ascii="Times New Roman" w:hAnsi="Times New Roman" w:cs="Times New Roman"/>
                <w:color w:val="000000" w:themeColor="text1"/>
                <w:sz w:val="24"/>
                <w:highlight w:val="none"/>
                <w14:textFill>
                  <w14:solidFill>
                    <w14:schemeClr w14:val="tx1"/>
                  </w14:solidFill>
                </w14:textFill>
              </w:rPr>
              <w:t>结构，施工扬尘主要来自土地平整、</w:t>
            </w:r>
            <w:r>
              <w:rPr>
                <w:rFonts w:hint="eastAsia" w:ascii="Times New Roman" w:hAnsi="Times New Roman" w:cs="Times New Roman"/>
                <w:color w:val="000000" w:themeColor="text1"/>
                <w:sz w:val="24"/>
                <w:highlight w:val="none"/>
                <w:lang w:val="en-US" w:eastAsia="zh-CN"/>
                <w14:textFill>
                  <w14:solidFill>
                    <w14:schemeClr w14:val="tx1"/>
                  </w14:solidFill>
                </w14:textFill>
              </w:rPr>
              <w:t>挖填方、</w:t>
            </w:r>
            <w:r>
              <w:rPr>
                <w:rFonts w:hint="default" w:ascii="Times New Roman" w:hAnsi="Times New Roman" w:cs="Times New Roman"/>
                <w:color w:val="000000" w:themeColor="text1"/>
                <w:sz w:val="24"/>
                <w:highlight w:val="none"/>
                <w14:textFill>
                  <w14:solidFill>
                    <w14:schemeClr w14:val="tx1"/>
                  </w14:solidFill>
                </w14:textFill>
              </w:rPr>
              <w:t>建筑材料运输、露天堆放、装卸过程，在一定时段内都将会对周围环境造成不利影响。项目施工期间所产生的各类扬尘源属于瞬时源，产生的高度都比较低，粉尘颗粒也比较大，污染扩散的距离不会很远，其影响主要在施工场地附近150m左右的范围内，在扬尘点下风向0～50m为重污染带，50～100m为较重污染带，100～200m为较轻污染带，200m外影响轻微。</w:t>
            </w:r>
          </w:p>
          <w:p w14:paraId="575671B2">
            <w:pPr>
              <w:autoSpaceDE w:val="0"/>
              <w:autoSpaceDN w:val="0"/>
              <w:adjustRightInd w:val="0"/>
              <w:spacing w:line="520" w:lineRule="exact"/>
              <w:ind w:firstLine="480" w:firstLineChars="200"/>
              <w:jc w:val="both"/>
              <w:rPr>
                <w:rFonts w:hint="default" w:ascii="Times New Roman" w:hAnsi="Times New Roman" w:cs="Times New Roman"/>
                <w:b w:val="0"/>
                <w:bCs w:val="0"/>
                <w:color w:val="000000" w:themeColor="text1"/>
                <w:sz w:val="24"/>
                <w:highlight w:val="none"/>
                <w:u w:val="none"/>
                <w14:textFill>
                  <w14:solidFill>
                    <w14:schemeClr w14:val="tx1"/>
                  </w14:solidFill>
                </w14:textFill>
              </w:rPr>
            </w:pPr>
            <w:r>
              <w:rPr>
                <w:rFonts w:hint="default" w:ascii="Times New Roman" w:hAnsi="Times New Roman" w:cs="Times New Roman"/>
                <w:b w:val="0"/>
                <w:bCs w:val="0"/>
                <w:color w:val="000000" w:themeColor="text1"/>
                <w:sz w:val="24"/>
                <w:highlight w:val="none"/>
                <w:u w:val="none"/>
                <w14:textFill>
                  <w14:solidFill>
                    <w14:schemeClr w14:val="tx1"/>
                  </w14:solidFill>
                </w14:textFill>
              </w:rPr>
              <w:t>为有效控制施工期间的扬尘影响，本评价根据《河南省大气污染防治条例》、《河南省污染防治攻坚战三年行动计划（2018-2020年）》（豫政[2018]30号）、《三门峡市污染防治攻坚战三年行动计划（2018-2020年）》（三政办[2018]35 号）、《河南省2021年大气污染防治攻坚战实施方案》（豫环攻坚办[2021]20号）、《三门峡市2021年大气污染防治攻坚战实施方案》（三环攻坚办〔2021〕12号）和项目施工场地实际情况，对项目施工提出以下扬尘控制要求：</w:t>
            </w:r>
          </w:p>
          <w:p w14:paraId="410C46AF">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①施工场地总体要求：</w:t>
            </w:r>
          </w:p>
          <w:p w14:paraId="35B0C7B9">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a）施工前必须做到</w:t>
            </w:r>
            <w:r>
              <w:rPr>
                <w:rFonts w:hint="eastAsia" w:ascii="宋体" w:hAnsi="宋体" w:eastAsia="宋体" w:cs="宋体"/>
                <w:color w:val="000000" w:themeColor="text1"/>
                <w:sz w:val="24"/>
                <w:highlight w:val="none"/>
                <w14:textFill>
                  <w14:solidFill>
                    <w14:schemeClr w14:val="tx1"/>
                  </w14:solidFill>
                </w14:textFill>
              </w:rPr>
              <w:t>“六个到位”</w:t>
            </w:r>
            <w:r>
              <w:rPr>
                <w:rFonts w:hint="default" w:ascii="Times New Roman" w:hAnsi="Times New Roman" w:cs="Times New Roman"/>
                <w:color w:val="000000" w:themeColor="text1"/>
                <w:sz w:val="24"/>
                <w:highlight w:val="none"/>
                <w14:textFill>
                  <w14:solidFill>
                    <w14:schemeClr w14:val="tx1"/>
                  </w14:solidFill>
                </w14:textFill>
              </w:rPr>
              <w:t>，即审批到位、报备到位、治理方案到位、配套措施到位、监控到位、人员(施工单位管理人员、责任部门监管人员)到位。</w:t>
            </w:r>
          </w:p>
          <w:p w14:paraId="51CBD649">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b）严格落实施工工地</w:t>
            </w:r>
            <w:r>
              <w:rPr>
                <w:rFonts w:hint="eastAsia" w:ascii="宋体" w:hAnsi="宋体" w:eastAsia="宋体" w:cs="宋体"/>
                <w:color w:val="000000" w:themeColor="text1"/>
                <w:sz w:val="24"/>
                <w:highlight w:val="none"/>
                <w14:textFill>
                  <w14:solidFill>
                    <w14:schemeClr w14:val="tx1"/>
                  </w14:solidFill>
                </w14:textFill>
              </w:rPr>
              <w:t>“六个百分之百”</w:t>
            </w:r>
            <w:r>
              <w:rPr>
                <w:rFonts w:hint="default" w:ascii="Times New Roman" w:hAnsi="Times New Roman" w:cs="Times New Roman"/>
                <w:color w:val="000000" w:themeColor="text1"/>
                <w:sz w:val="24"/>
                <w:highlight w:val="none"/>
                <w14:textFill>
                  <w14:solidFill>
                    <w14:schemeClr w14:val="tx1"/>
                  </w14:solidFill>
                </w14:textFill>
              </w:rPr>
              <w:t>（施工现场百分之百围挡，裸露黄土及易起尘物料堆放百分之百覆盖，施工现场主要道路百分之百硬化，进出车辆百分之百冲洗，拆除和土方工程百分之百湿法作业，渣土运输车辆百分之百封闭）、</w:t>
            </w:r>
            <w:r>
              <w:rPr>
                <w:rFonts w:hint="eastAsia" w:ascii="宋体" w:hAnsi="宋体" w:eastAsia="宋体" w:cs="宋体"/>
                <w:color w:val="000000" w:themeColor="text1"/>
                <w:sz w:val="24"/>
                <w:highlight w:val="none"/>
                <w14:textFill>
                  <w14:solidFill>
                    <w14:schemeClr w14:val="tx1"/>
                  </w14:solidFill>
                </w14:textFill>
              </w:rPr>
              <w:t>“两个禁止”</w:t>
            </w:r>
            <w:r>
              <w:rPr>
                <w:rFonts w:hint="default" w:ascii="Times New Roman" w:hAnsi="Times New Roman" w:cs="Times New Roman"/>
                <w:color w:val="000000" w:themeColor="text1"/>
                <w:sz w:val="24"/>
                <w:highlight w:val="none"/>
                <w14:textFill>
                  <w14:solidFill>
                    <w14:schemeClr w14:val="tx1"/>
                  </w14:solidFill>
                </w14:textFill>
              </w:rPr>
              <w:t>（禁止施工现场搅拌混凝土、禁止施工现场配置砂浆）、开复工验收、</w:t>
            </w:r>
            <w:r>
              <w:rPr>
                <w:rFonts w:hint="eastAsia" w:ascii="宋体" w:hAnsi="宋体" w:eastAsia="宋体" w:cs="宋体"/>
                <w:color w:val="000000" w:themeColor="text1"/>
                <w:sz w:val="24"/>
                <w:highlight w:val="none"/>
                <w14:textFill>
                  <w14:solidFill>
                    <w14:schemeClr w14:val="tx1"/>
                  </w14:solidFill>
                </w14:textFill>
              </w:rPr>
              <w:t>“三员”</w:t>
            </w:r>
            <w:r>
              <w:rPr>
                <w:rFonts w:hint="default" w:ascii="Times New Roman" w:hAnsi="Times New Roman" w:cs="Times New Roman"/>
                <w:color w:val="000000" w:themeColor="text1"/>
                <w:sz w:val="24"/>
                <w:highlight w:val="none"/>
                <w14:textFill>
                  <w14:solidFill>
                    <w14:schemeClr w14:val="tx1"/>
                  </w14:solidFill>
                </w14:textFill>
              </w:rPr>
              <w:t>（扬尘污染防治监督员、网格员、管理员）管理、城市建筑垃圾处置核准、扬尘防治预算管理等制度。</w:t>
            </w:r>
          </w:p>
          <w:p w14:paraId="0A52C3C8">
            <w:pPr>
              <w:autoSpaceDE w:val="0"/>
              <w:autoSpaceDN w:val="0"/>
              <w:adjustRightInd w:val="0"/>
              <w:spacing w:line="520" w:lineRule="exact"/>
              <w:ind w:firstLine="480" w:firstLineChars="200"/>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c）施工现场设置控制扬尘污染责任标志牌，标明扬尘污染防治措施、主管部门、责任人及环保监督电话等内容。建立扬尘控制责任制度，将扬尘治理费用列入工程造价。</w:t>
            </w:r>
          </w:p>
          <w:p w14:paraId="68903809">
            <w:pPr>
              <w:autoSpaceDE w:val="0"/>
              <w:autoSpaceDN w:val="0"/>
              <w:adjustRightInd w:val="0"/>
              <w:spacing w:line="520" w:lineRule="exact"/>
              <w:ind w:firstLine="480" w:firstLineChars="200"/>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②施工区施工扬尘污染防治措施</w:t>
            </w:r>
          </w:p>
          <w:p w14:paraId="255093B1">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a）首先进行施工场地区域四周设硬质围挡施工，严禁敞开式作业。</w:t>
            </w:r>
          </w:p>
          <w:p w14:paraId="007C0157">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b）施工区域设置冲洗设施，出入车辆必须冲洗干净。</w:t>
            </w:r>
          </w:p>
          <w:p w14:paraId="39E078B7">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c）施工场地剥离表土集中堆存，定期洒水抑尘，遇降水或大风等恶劣天气时，对临时堆土、裸露地表进行防尘网苫盖。</w:t>
            </w:r>
          </w:p>
          <w:p w14:paraId="11FB9C6F">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d）物料运输过程中，运输车辆装载量适当，运输分散状物料必须采用密闭车斗运输，在运输途中不得遗洒、飘散载运物。</w:t>
            </w:r>
          </w:p>
          <w:p w14:paraId="5CC8B933">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e）合理安排施工计划，尽量减少土石方开挖，减少扬尘产生量。土石方开挖过程中应进行洒水抑尘。</w:t>
            </w:r>
          </w:p>
          <w:p w14:paraId="7C825E07">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③物料运输扬尘污染防治措施</w:t>
            </w:r>
          </w:p>
          <w:p w14:paraId="7620005E">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a）建设单位必须委托具有资格的运输单位进行物料运输。物料运输车辆必须随车携带驾驶证、行车证、营运证、建筑垃圾运输许可证和装卸双向登记卡，做到各项运营运输手续完备。</w:t>
            </w:r>
          </w:p>
          <w:p w14:paraId="65C016AF">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b）合理规划施工运输车辆行车路线，尽量避开村庄等环境敏感点。</w:t>
            </w:r>
          </w:p>
          <w:p w14:paraId="23E44B9F">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c）运输车辆装载量适当，运输分散状物料必须采用密闭车斗运输，在运输途中不得遗洒、飘散载运物。</w:t>
            </w:r>
          </w:p>
          <w:p w14:paraId="24F5F690">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通过采取以上抑尘措施后，可最大限度降低施工扬尘对周围环境的影响。</w:t>
            </w:r>
          </w:p>
          <w:p w14:paraId="65F23AB6">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（2）运输车辆及施工机械在运行过程中产生的机动车尾气</w:t>
            </w:r>
          </w:p>
          <w:p w14:paraId="3E4F4061">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运输车辆及施工机械在运行中将产生机动车尾气，其中主要含有CO、NOx、HC等污染物。这些废气排放局限于施工现场和运输沿线，为非连续性的污染源，对周围大气环境影响较小。</w:t>
            </w:r>
          </w:p>
          <w:p w14:paraId="5C060D17">
            <w:pPr>
              <w:spacing w:line="520" w:lineRule="exact"/>
              <w:jc w:val="both"/>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2、废水环境影响分析及环保措施</w:t>
            </w:r>
          </w:p>
          <w:p w14:paraId="20D4D0C1">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施工人员均为当地居民，施工人员不在施工场地食宿，场地内设置旱厕，定期清掏，用于周边农田施肥，施工期产生的废水主要为施工车辆冲洗废水，车辆冲洗设施下方设置混凝土沉淀池，车辆冲洗水经沉淀后，循环使用，不外排。</w:t>
            </w:r>
          </w:p>
          <w:p w14:paraId="6E1A01F0">
            <w:pPr>
              <w:spacing w:line="520" w:lineRule="exact"/>
              <w:jc w:val="both"/>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3、噪声环境影响分析及环保措施</w:t>
            </w:r>
          </w:p>
          <w:p w14:paraId="694B4698">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噪声主要是建筑施工机械设备噪声和运载建筑原料及建筑垃圾车辆噪声等。施工机械如挖掘机、液压打桩机等产生的非稳态噪声，声源强度85~100dB（A）。为减轻施工噪声对周围的影响，评价建议采取以下的措施。</w:t>
            </w:r>
          </w:p>
          <w:p w14:paraId="55BBC6B3">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（1）合理安排施工现场</w:t>
            </w:r>
          </w:p>
          <w:p w14:paraId="2AAC6823">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① 合理科学地布局施工现场，施工现场的固定噪声源远离敏感点，以减少对敏感点影响。</w:t>
            </w:r>
          </w:p>
          <w:p w14:paraId="2B4374EF">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② 施工现场设置施工标志，并将施工计划报交通管理部门，以便做好车辆的疏通工作，保证交通的安全、畅通。</w:t>
            </w:r>
          </w:p>
          <w:p w14:paraId="6C742A31">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（2）合理设计运输路线</w:t>
            </w:r>
          </w:p>
          <w:p w14:paraId="39878CEE">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施工单位应合理设计建筑材料等运输路线，尽可能绕开敏感点。</w:t>
            </w:r>
          </w:p>
          <w:p w14:paraId="1FD1E0EE">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（3）合理安排施工时间</w:t>
            </w:r>
          </w:p>
          <w:p w14:paraId="1B8E7385">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施工单位应合理安排施工时间，施工运输车辆在经过近距离声环境敏感点时应控制车速、禁鸣，加强车辆维护，减轻噪声对周围声环境的影响，禁止夜间施工。</w:t>
            </w:r>
          </w:p>
          <w:p w14:paraId="0908462F">
            <w:pPr>
              <w:autoSpaceDE w:val="0"/>
              <w:autoSpaceDN w:val="0"/>
              <w:adjustRightInd w:val="0"/>
              <w:spacing w:line="520" w:lineRule="exact"/>
              <w:ind w:firstLine="360" w:firstLineChars="15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（4）采取噪声控制措施</w:t>
            </w:r>
          </w:p>
          <w:p w14:paraId="0D407D65">
            <w:pPr>
              <w:autoSpaceDE w:val="0"/>
              <w:autoSpaceDN w:val="0"/>
              <w:adjustRightInd w:val="0"/>
              <w:spacing w:line="520" w:lineRule="exact"/>
              <w:ind w:firstLine="480" w:firstLineChars="20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施工单位应尽量选用低噪声、低振动的施工机械设备和带有消声、隔音的附属设备。加强施工机械的保养维护，使其处于良好的运行状态。做好宣传工作，倡导科学管理和文明施工。</w:t>
            </w:r>
          </w:p>
          <w:p w14:paraId="7676B2C9">
            <w:pPr>
              <w:autoSpaceDE w:val="0"/>
              <w:autoSpaceDN w:val="0"/>
              <w:adjustRightInd w:val="0"/>
              <w:spacing w:line="520" w:lineRule="exact"/>
              <w:ind w:firstLine="480" w:firstLineChars="200"/>
              <w:jc w:val="both"/>
              <w:rPr>
                <w:rFonts w:hint="default" w:ascii="Times New Roman" w:hAnsi="Times New Roman" w:cs="Times New Roman"/>
                <w:b w:val="0"/>
                <w:bCs w:val="0"/>
                <w:color w:val="000000" w:themeColor="text1"/>
                <w:sz w:val="24"/>
                <w:highlight w:val="none"/>
                <w:u w:val="none"/>
                <w14:textFill>
                  <w14:solidFill>
                    <w14:schemeClr w14:val="tx1"/>
                  </w14:solidFill>
                </w14:textFill>
              </w:rPr>
            </w:pPr>
            <w:r>
              <w:rPr>
                <w:rFonts w:hint="default" w:ascii="Times New Roman" w:hAnsi="Times New Roman" w:cs="Times New Roman"/>
                <w:b w:val="0"/>
                <w:bCs w:val="0"/>
                <w:color w:val="000000" w:themeColor="text1"/>
                <w:sz w:val="24"/>
                <w:highlight w:val="none"/>
                <w:u w:val="none"/>
                <w14:textFill>
                  <w14:solidFill>
                    <w14:schemeClr w14:val="tx1"/>
                  </w14:solidFill>
                </w14:textFill>
              </w:rPr>
              <w:t>采取以上措施后，可有效减轻施工噪声对周围声环境敏感点的影响，且施工噪声影响是短期的、暂时的，具有局部影响特性，噪声影响将随着各施工区域的结束而消除。</w:t>
            </w:r>
          </w:p>
          <w:p w14:paraId="2AD4F71F">
            <w:pPr>
              <w:spacing w:line="520" w:lineRule="exact"/>
              <w:jc w:val="both"/>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4、固废环境影响分析及环保措施</w:t>
            </w:r>
          </w:p>
          <w:p w14:paraId="3F1345F6">
            <w:pPr>
              <w:keepNext w:val="0"/>
              <w:keepLines w:val="0"/>
              <w:pageBreakBefore w:val="0"/>
              <w:widowControl w:val="0"/>
              <w:kinsoku/>
              <w:wordWrap/>
              <w:overflowPunct/>
              <w:topLinePunct w:val="0"/>
              <w:autoSpaceDE w:val="0"/>
              <w:autoSpaceDN w:val="0"/>
              <w:bidi w:val="0"/>
              <w:adjustRightInd w:val="0"/>
              <w:snapToGrid/>
              <w:spacing w:before="157" w:beforeLines="50" w:line="420" w:lineRule="auto"/>
              <w:ind w:firstLine="480" w:firstLineChars="20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施工期主要固体废物为建筑垃圾和施工人员产生的生活垃圾。建筑垃圾主要为废砖石等建筑废料，定期清运至城建部门指定地点进行处理。施工人员产生的生活垃圾经集中收集后，定期运送至周边垃圾中转站处置。</w:t>
            </w:r>
          </w:p>
          <w:p w14:paraId="00FAB294">
            <w:pPr>
              <w:pStyle w:val="235"/>
              <w:keepNext w:val="0"/>
              <w:keepLines w:val="0"/>
              <w:pageBreakBefore w:val="0"/>
              <w:widowControl w:val="0"/>
              <w:kinsoku/>
              <w:wordWrap/>
              <w:overflowPunct/>
              <w:topLinePunct w:val="0"/>
              <w:bidi w:val="0"/>
              <w:snapToGrid/>
              <w:spacing w:line="420" w:lineRule="auto"/>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综上，本次工程施工期将产生扬尘、废水、固废和噪声等，影响范围以局部污染为主，施工期加强管理，采取评价要求的相应防治措施后，不会对周围环境造成较大影响。</w:t>
            </w:r>
          </w:p>
        </w:tc>
      </w:tr>
      <w:tr w14:paraId="13857E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99" w:type="dxa"/>
            <w:noWrap w:val="0"/>
            <w:tcMar>
              <w:left w:w="28" w:type="dxa"/>
              <w:right w:w="28" w:type="dxa"/>
            </w:tcMar>
            <w:vAlign w:val="center"/>
          </w:tcPr>
          <w:p w14:paraId="1912BF5B">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运营</w:t>
            </w:r>
          </w:p>
          <w:p w14:paraId="64D90424">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期环</w:t>
            </w:r>
          </w:p>
          <w:p w14:paraId="7FE29BED">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境影</w:t>
            </w:r>
          </w:p>
          <w:p w14:paraId="1EBE5F06">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响和</w:t>
            </w:r>
          </w:p>
          <w:p w14:paraId="7B72141A">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保护</w:t>
            </w:r>
          </w:p>
          <w:p w14:paraId="08297732">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措施</w:t>
            </w:r>
          </w:p>
        </w:tc>
        <w:tc>
          <w:tcPr>
            <w:tcW w:w="8309" w:type="dxa"/>
            <w:noWrap w:val="0"/>
            <w:vAlign w:val="center"/>
          </w:tcPr>
          <w:p w14:paraId="20F25781">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b/>
                <w:bCs/>
                <w:color w:val="000000" w:themeColor="text1"/>
                <w:sz w:val="24"/>
                <w:szCs w:val="24"/>
                <w:highlight w:val="none"/>
                <w14:textFill>
                  <w14:solidFill>
                    <w14:schemeClr w14:val="tx1"/>
                  </w14:solidFill>
                </w14:textFill>
              </w:rPr>
            </w:pPr>
            <w:r>
              <w:rPr>
                <w:rFonts w:hint="default"/>
                <w:b/>
                <w:bCs/>
                <w:color w:val="000000" w:themeColor="text1"/>
                <w:sz w:val="24"/>
                <w:szCs w:val="24"/>
                <w:highlight w:val="none"/>
                <w14:textFill>
                  <w14:solidFill>
                    <w14:schemeClr w14:val="tx1"/>
                  </w14:solidFill>
                </w14:textFill>
              </w:rPr>
              <w:t>一、大气环境影响分析</w:t>
            </w:r>
          </w:p>
          <w:p w14:paraId="0C382AEC">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leftChars="0" w:right="0" w:rightChars="0" w:firstLine="482" w:firstLineChars="200"/>
              <w:textAlignment w:val="auto"/>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1、废气源强</w:t>
            </w:r>
          </w:p>
          <w:p w14:paraId="0DCF2BE9">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项目废气主要</w:t>
            </w:r>
            <w:r>
              <w:rPr>
                <w:rFonts w:hint="eastAsia" w:ascii="Times New Roman" w:hAnsi="Times New Roman" w:cs="Times New Roman"/>
                <w:color w:val="000000" w:themeColor="text1"/>
                <w:sz w:val="24"/>
                <w:highlight w:val="none"/>
                <w:lang w:val="en-US" w:eastAsia="zh-CN"/>
                <w14:textFill>
                  <w14:solidFill>
                    <w14:schemeClr w14:val="tx1"/>
                  </w14:solidFill>
                </w14:textFill>
              </w:rPr>
              <w:t>为污水处理站产生的恶臭气体以及</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汽车尾气</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p>
          <w:p w14:paraId="28AA1CD3">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leftChars="0" w:right="0" w:rightChars="0"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（1）污水处理站恶臭</w:t>
            </w:r>
          </w:p>
          <w:p w14:paraId="12360EB8">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leftChars="0" w:right="0" w:rightChars="0"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扩建项目废水处理拟依托感染病楼房已建污水处理站并进行扩建，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采用AO生物接触氧化法工艺</w:t>
            </w:r>
            <w:r>
              <w:rPr>
                <w:rFonts w:hint="eastAsia" w:ascii="Times New Roman" w:hAnsi="Times New Roman" w:cs="Times New Roman"/>
                <w:color w:val="000000" w:themeColor="text1"/>
                <w:sz w:val="24"/>
                <w:highlight w:val="none"/>
                <w:lang w:val="en-US" w:eastAsia="zh-CN"/>
                <w14:textFill>
                  <w14:solidFill>
                    <w14:schemeClr w14:val="tx1"/>
                  </w14:solidFill>
                </w14:textFill>
              </w:rPr>
              <w:t>。污水处理站恶臭主要来源于格栅、调节池、反应池和污泥池，主要污染物为NH</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、H</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S、臭气浓度，产生量随废水水质、气温（或水温）以及曝气量的不同而变化。根据美国EPA对城市污水处理厂恶臭污染物产生情况的研究，每处理1g的BOD</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5</w:t>
            </w:r>
            <w:r>
              <w:rPr>
                <w:rFonts w:hint="eastAsia" w:ascii="Times New Roman" w:hAnsi="Times New Roman" w:cs="Times New Roman"/>
                <w:color w:val="000000" w:themeColor="text1"/>
                <w:sz w:val="24"/>
                <w:highlight w:val="none"/>
                <w:lang w:val="en-US" w:eastAsia="zh-CN"/>
                <w14:textFill>
                  <w14:solidFill>
                    <w14:schemeClr w14:val="tx1"/>
                  </w14:solidFill>
                </w14:textFill>
              </w:rPr>
              <w:t>可产生0.0031g的NH</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和0.00012g的H</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S。扩建项目废水产生量为7115.31m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/a，BOD</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5</w:t>
            </w:r>
            <w:r>
              <w:rPr>
                <w:rFonts w:hint="eastAsia" w:ascii="Times New Roman" w:hAnsi="Times New Roman" w:cs="Times New Roman"/>
                <w:color w:val="000000" w:themeColor="text1"/>
                <w:sz w:val="24"/>
                <w:highlight w:val="none"/>
                <w:lang w:val="en-US" w:eastAsia="zh-CN"/>
                <w14:textFill>
                  <w14:solidFill>
                    <w14:schemeClr w14:val="tx1"/>
                  </w14:solidFill>
                </w14:textFill>
              </w:rPr>
              <w:t>进水水质为150mg/L，出水15mg/L，则NH</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产生量为0.0033t/a，H</w:t>
            </w:r>
            <w:r>
              <w:rPr>
                <w:rFonts w:hint="eastAsia" w:ascii="Times New Roman" w:hAnsi="Times New Roman" w:cs="Times New Roman"/>
                <w:color w:val="000000" w:themeColor="text1"/>
                <w:sz w:val="24"/>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4"/>
                <w:highlight w:val="none"/>
                <w:lang w:val="en-US" w:eastAsia="zh-CN"/>
                <w14:textFill>
                  <w14:solidFill>
                    <w14:schemeClr w14:val="tx1"/>
                  </w14:solidFill>
                </w14:textFill>
              </w:rPr>
              <w:t>S产生</w:t>
            </w:r>
            <w:r>
              <w:rPr>
                <w:rFonts w:hint="default" w:ascii="Times New Roman" w:hAnsi="Times New Roman" w:cs="Times New Roman"/>
                <w:color w:val="000000" w:themeColor="text1"/>
                <w:sz w:val="24"/>
                <w:highlight w:val="none"/>
                <w:lang w:val="en-US" w:eastAsia="zh-CN"/>
                <w14:textFill>
                  <w14:solidFill>
                    <w14:schemeClr w14:val="tx1"/>
                  </w14:solidFill>
                </w14:textFill>
              </w:rPr>
              <w:t>量为</w:t>
            </w:r>
            <w:r>
              <w:rPr>
                <w:rFonts w:hint="eastAsia" w:ascii="Times New Roman" w:hAnsi="Times New Roman" w:cs="Times New Roman"/>
                <w:color w:val="000000" w:themeColor="text1"/>
                <w:sz w:val="24"/>
                <w:highlight w:val="none"/>
                <w:lang w:val="en-US" w:eastAsia="zh-CN"/>
                <w14:textFill>
                  <w14:solidFill>
                    <w14:schemeClr w14:val="tx1"/>
                  </w14:solidFill>
                </w14:textFill>
              </w:rPr>
              <w:t>1.3</w:t>
            </w:r>
            <w:r>
              <w:rPr>
                <w:rFonts w:hint="default" w:ascii="Times New Roman" w:hAnsi="Times New Roman" w:cs="Times New Roman"/>
                <w:color w:val="000000" w:themeColor="text1"/>
                <w:sz w:val="24"/>
                <w:highlight w:val="none"/>
                <w:lang w:val="en-US" w:eastAsia="zh-CN"/>
                <w14:textFill>
                  <w14:solidFill>
                    <w14:schemeClr w14:val="tx1"/>
                  </w14:solidFill>
                </w14:textFill>
              </w:rPr>
              <w:t>×10</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-5</w:t>
            </w:r>
            <w:r>
              <w:rPr>
                <w:rFonts w:hint="eastAsia" w:ascii="Times New Roman" w:hAnsi="Times New Roman" w:cs="Times New Roman"/>
                <w:color w:val="000000" w:themeColor="text1"/>
                <w:sz w:val="24"/>
                <w:highlight w:val="none"/>
                <w:lang w:val="en-US" w:eastAsia="zh-CN"/>
                <w14:textFill>
                  <w14:solidFill>
                    <w14:schemeClr w14:val="tx1"/>
                  </w14:solidFill>
                </w14:textFill>
              </w:rPr>
              <w:t>t/a。</w:t>
            </w:r>
          </w:p>
          <w:p w14:paraId="621D3759">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leftChars="0" w:right="0" w:rightChars="0" w:firstLine="480" w:firstLineChars="200"/>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污水处理站采用地埋式设计，地面上仅设置设备操作间，各污水处理构筑物均加盖板密闭并埋于地下，盖板上预留进、出气口，使每格池子的臭气能相通，并设置总排气管排出，因此，收集效率按95%计。设计风机风量为1000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h，收集的恶臭气体经紫外线消毒+活性炭吸附处理后引至感染病楼房顶（20m）排放（DA001）。类比同类型项目，活性炭装置除臭效率可达70%以上，本次评价取70%。污水处理站年运行时间8760h，则恶臭产排情况见下表。</w:t>
            </w:r>
          </w:p>
          <w:p w14:paraId="5776A248">
            <w:pPr>
              <w:pStyle w:val="104"/>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0"/>
              <w:textAlignment w:val="auto"/>
              <w:rPr>
                <w:rFonts w:hint="eastAsia" w:ascii="Times New Roman" w:hAnsi="Times New Roman" w:cs="Times New Roman"/>
                <w:bCs/>
                <w:color w:val="000000" w:themeColor="text1"/>
                <w:kern w:val="2"/>
                <w:sz w:val="24"/>
                <w:highlight w:val="none"/>
                <w:lang w:val="en-US" w:eastAsia="zh-CN"/>
                <w14:textFill>
                  <w14:solidFill>
                    <w14:schemeClr w14:val="tx1"/>
                  </w14:solidFill>
                </w14:textFill>
              </w:rPr>
            </w:pPr>
            <w:r>
              <w:rPr>
                <w:rFonts w:hint="eastAsia" w:cs="Times New Roman"/>
                <w:bCs/>
                <w:color w:val="000000" w:themeColor="text1"/>
                <w:kern w:val="2"/>
                <w:sz w:val="24"/>
                <w:highlight w:val="none"/>
                <w:lang w:val="en-US" w:eastAsia="zh-CN"/>
                <w14:textFill>
                  <w14:solidFill>
                    <w14:schemeClr w14:val="tx1"/>
                  </w14:solidFill>
                </w14:textFill>
              </w:rPr>
              <w:t xml:space="preserve">   污水处理站</w:t>
            </w:r>
            <w:r>
              <w:rPr>
                <w:rFonts w:hint="eastAsia" w:ascii="Times New Roman" w:hAnsi="Times New Roman" w:cs="Times New Roman"/>
                <w:bCs/>
                <w:color w:val="000000" w:themeColor="text1"/>
                <w:kern w:val="2"/>
                <w:sz w:val="24"/>
                <w:highlight w:val="none"/>
                <w:lang w:val="en-US" w:eastAsia="zh-CN"/>
                <w14:textFill>
                  <w14:solidFill>
                    <w14:schemeClr w14:val="tx1"/>
                  </w14:solidFill>
                </w14:textFill>
              </w:rPr>
              <w:t>恶臭</w:t>
            </w:r>
            <w:r>
              <w:rPr>
                <w:rFonts w:hint="eastAsia" w:cs="Times New Roman"/>
                <w:bCs/>
                <w:color w:val="000000" w:themeColor="text1"/>
                <w:kern w:val="2"/>
                <w:sz w:val="24"/>
                <w:highlight w:val="none"/>
                <w:lang w:val="en-US" w:eastAsia="zh-CN"/>
                <w14:textFill>
                  <w14:solidFill>
                    <w14:schemeClr w14:val="tx1"/>
                  </w14:solidFill>
                </w14:textFill>
              </w:rPr>
              <w:t>气体</w:t>
            </w:r>
            <w:r>
              <w:rPr>
                <w:rFonts w:hint="eastAsia" w:ascii="Times New Roman" w:hAnsi="Times New Roman" w:cs="Times New Roman"/>
                <w:bCs/>
                <w:color w:val="000000" w:themeColor="text1"/>
                <w:kern w:val="2"/>
                <w:sz w:val="24"/>
                <w:highlight w:val="none"/>
                <w:lang w:val="en-US" w:eastAsia="zh-CN"/>
                <w14:textFill>
                  <w14:solidFill>
                    <w14:schemeClr w14:val="tx1"/>
                  </w14:solidFill>
                </w14:textFill>
              </w:rPr>
              <w:t>产排情况一览表</w:t>
            </w:r>
          </w:p>
          <w:tbl>
            <w:tblPr>
              <w:tblStyle w:val="35"/>
              <w:tblW w:w="80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0"/>
              <w:gridCol w:w="300"/>
              <w:gridCol w:w="810"/>
              <w:gridCol w:w="870"/>
              <w:gridCol w:w="915"/>
              <w:gridCol w:w="825"/>
              <w:gridCol w:w="1650"/>
              <w:gridCol w:w="630"/>
              <w:gridCol w:w="905"/>
              <w:gridCol w:w="775"/>
            </w:tblGrid>
            <w:tr w14:paraId="5317B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0" w:type="dxa"/>
                  <w:gridSpan w:val="3"/>
                  <w:vMerge w:val="restart"/>
                  <w:tcBorders>
                    <w:tl2br w:val="nil"/>
                    <w:tr2bl w:val="nil"/>
                  </w:tcBorders>
                  <w:vAlign w:val="center"/>
                </w:tcPr>
                <w:p w14:paraId="0C8EAB80">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污染源</w:t>
                  </w:r>
                </w:p>
              </w:tc>
              <w:tc>
                <w:tcPr>
                  <w:tcW w:w="870" w:type="dxa"/>
                  <w:vMerge w:val="restart"/>
                  <w:tcBorders>
                    <w:tl2br w:val="nil"/>
                    <w:tr2bl w:val="nil"/>
                  </w:tcBorders>
                  <w:vAlign w:val="center"/>
                </w:tcPr>
                <w:p w14:paraId="63C08331">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废气量（</w:t>
                  </w:r>
                  <w:r>
                    <w:rPr>
                      <w:rFonts w:hint="eastAsia" w:ascii="Times New Roman" w:hAnsi="Times New Roman" w:cs="Times New Roman"/>
                      <w:color w:val="000000" w:themeColor="text1"/>
                      <w:sz w:val="24"/>
                      <w:highlight w:val="none"/>
                      <w:lang w:val="en-US" w:eastAsia="zh-CN"/>
                      <w14:textFill>
                        <w14:solidFill>
                          <w14:schemeClr w14:val="tx1"/>
                        </w14:solidFill>
                      </w14:textFill>
                    </w:rPr>
                    <w:t>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/h</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p>
              </w:tc>
              <w:tc>
                <w:tcPr>
                  <w:tcW w:w="1740" w:type="dxa"/>
                  <w:gridSpan w:val="2"/>
                  <w:tcBorders>
                    <w:tl2br w:val="nil"/>
                    <w:tr2bl w:val="nil"/>
                  </w:tcBorders>
                  <w:vAlign w:val="center"/>
                </w:tcPr>
                <w:p w14:paraId="07990407">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污染物产生情况</w:t>
                  </w:r>
                </w:p>
              </w:tc>
              <w:tc>
                <w:tcPr>
                  <w:tcW w:w="1650" w:type="dxa"/>
                  <w:vMerge w:val="restart"/>
                  <w:tcBorders>
                    <w:tl2br w:val="nil"/>
                    <w:tr2bl w:val="nil"/>
                  </w:tcBorders>
                  <w:vAlign w:val="center"/>
                </w:tcPr>
                <w:p w14:paraId="2D56C70E">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处理措施</w:t>
                  </w:r>
                </w:p>
              </w:tc>
              <w:tc>
                <w:tcPr>
                  <w:tcW w:w="630" w:type="dxa"/>
                  <w:vMerge w:val="restart"/>
                  <w:tcBorders>
                    <w:tl2br w:val="nil"/>
                    <w:tr2bl w:val="nil"/>
                  </w:tcBorders>
                  <w:vAlign w:val="center"/>
                </w:tcPr>
                <w:p w14:paraId="3B4FA2D4">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去效率</w:t>
                  </w:r>
                </w:p>
              </w:tc>
              <w:tc>
                <w:tcPr>
                  <w:tcW w:w="1680" w:type="dxa"/>
                  <w:gridSpan w:val="2"/>
                  <w:tcBorders>
                    <w:tl2br w:val="nil"/>
                    <w:tr2bl w:val="nil"/>
                  </w:tcBorders>
                  <w:vAlign w:val="center"/>
                </w:tcPr>
                <w:p w14:paraId="39B1452F">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污染物排放情况</w:t>
                  </w:r>
                </w:p>
              </w:tc>
            </w:tr>
            <w:tr w14:paraId="748E0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0" w:type="dxa"/>
                  <w:gridSpan w:val="3"/>
                  <w:vMerge w:val="continue"/>
                  <w:tcBorders>
                    <w:tl2br w:val="nil"/>
                    <w:tr2bl w:val="nil"/>
                  </w:tcBorders>
                  <w:vAlign w:val="center"/>
                </w:tcPr>
                <w:p w14:paraId="453CF32B">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870" w:type="dxa"/>
                  <w:vMerge w:val="continue"/>
                  <w:tcBorders>
                    <w:tl2br w:val="nil"/>
                    <w:tr2bl w:val="nil"/>
                  </w:tcBorders>
                  <w:vAlign w:val="center"/>
                </w:tcPr>
                <w:p w14:paraId="6D7B8E62">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915" w:type="dxa"/>
                  <w:tcBorders>
                    <w:tl2br w:val="nil"/>
                    <w:tr2bl w:val="nil"/>
                  </w:tcBorders>
                  <w:vAlign w:val="center"/>
                </w:tcPr>
                <w:p w14:paraId="46A0AD14">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产生浓度（mg/m</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w:t>
                  </w:r>
                </w:p>
              </w:tc>
              <w:tc>
                <w:tcPr>
                  <w:tcW w:w="825" w:type="dxa"/>
                  <w:tcBorders>
                    <w:tl2br w:val="nil"/>
                    <w:tr2bl w:val="nil"/>
                  </w:tcBorders>
                  <w:vAlign w:val="center"/>
                </w:tcPr>
                <w:p w14:paraId="763066EB">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产生量（t/a）</w:t>
                  </w:r>
                </w:p>
              </w:tc>
              <w:tc>
                <w:tcPr>
                  <w:tcW w:w="1650" w:type="dxa"/>
                  <w:vMerge w:val="continue"/>
                  <w:tcBorders>
                    <w:tl2br w:val="nil"/>
                    <w:tr2bl w:val="nil"/>
                  </w:tcBorders>
                  <w:vAlign w:val="center"/>
                </w:tcPr>
                <w:p w14:paraId="69CD41FB">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630" w:type="dxa"/>
                  <w:vMerge w:val="continue"/>
                  <w:tcBorders>
                    <w:tl2br w:val="nil"/>
                    <w:tr2bl w:val="nil"/>
                  </w:tcBorders>
                  <w:vAlign w:val="center"/>
                </w:tcPr>
                <w:p w14:paraId="45BEFF41">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905" w:type="dxa"/>
                  <w:tcBorders>
                    <w:tl2br w:val="nil"/>
                    <w:tr2bl w:val="nil"/>
                  </w:tcBorders>
                  <w:vAlign w:val="center"/>
                </w:tcPr>
                <w:p w14:paraId="2A58CA66">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排放浓度（mg/m</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3</w:t>
                  </w: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w:t>
                  </w:r>
                </w:p>
              </w:tc>
              <w:tc>
                <w:tcPr>
                  <w:tcW w:w="775" w:type="dxa"/>
                  <w:tcBorders>
                    <w:tl2br w:val="nil"/>
                    <w:tr2bl w:val="nil"/>
                  </w:tcBorders>
                  <w:vAlign w:val="center"/>
                </w:tcPr>
                <w:p w14:paraId="19E4C1BA">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排放量（t/a）</w:t>
                  </w:r>
                </w:p>
              </w:tc>
            </w:tr>
            <w:tr w14:paraId="0EECA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50" w:type="dxa"/>
                  <w:vMerge w:val="restart"/>
                  <w:tcBorders>
                    <w:tl2br w:val="nil"/>
                    <w:tr2bl w:val="nil"/>
                  </w:tcBorders>
                  <w:vAlign w:val="center"/>
                </w:tcPr>
                <w:p w14:paraId="158F2A92">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污水处理站恶臭</w:t>
                  </w:r>
                </w:p>
              </w:tc>
              <w:tc>
                <w:tcPr>
                  <w:tcW w:w="300" w:type="dxa"/>
                  <w:vMerge w:val="restart"/>
                  <w:tcBorders>
                    <w:tl2br w:val="nil"/>
                    <w:tr2bl w:val="nil"/>
                  </w:tcBorders>
                  <w:vAlign w:val="center"/>
                </w:tcPr>
                <w:p w14:paraId="5CF8C310">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有组织</w:t>
                  </w:r>
                </w:p>
              </w:tc>
              <w:tc>
                <w:tcPr>
                  <w:tcW w:w="810" w:type="dxa"/>
                  <w:tcBorders>
                    <w:tl2br w:val="nil"/>
                    <w:tr2bl w:val="nil"/>
                  </w:tcBorders>
                  <w:vAlign w:val="center"/>
                </w:tcPr>
                <w:p w14:paraId="121011BE">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NH</w:t>
                  </w:r>
                  <w:r>
                    <w:rPr>
                      <w:rFonts w:hint="eastAsia" w:ascii="Times New Roman" w:hAnsi="Times New Roman" w:cs="Times New Roman"/>
                      <w:color w:val="000000" w:themeColor="text1"/>
                      <w:sz w:val="21"/>
                      <w:szCs w:val="21"/>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-N</w:t>
                  </w:r>
                </w:p>
              </w:tc>
              <w:tc>
                <w:tcPr>
                  <w:tcW w:w="870" w:type="dxa"/>
                  <w:vMerge w:val="restart"/>
                  <w:tcBorders>
                    <w:tl2br w:val="nil"/>
                    <w:tr2bl w:val="nil"/>
                  </w:tcBorders>
                  <w:vAlign w:val="center"/>
                </w:tcPr>
                <w:p w14:paraId="1B445910">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1000</w:t>
                  </w:r>
                </w:p>
              </w:tc>
              <w:tc>
                <w:tcPr>
                  <w:tcW w:w="915" w:type="dxa"/>
                  <w:tcBorders>
                    <w:tl2br w:val="nil"/>
                    <w:tr2bl w:val="nil"/>
                  </w:tcBorders>
                  <w:vAlign w:val="center"/>
                </w:tcPr>
                <w:p w14:paraId="0D51845F">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0.35</w:t>
                  </w:r>
                </w:p>
              </w:tc>
              <w:tc>
                <w:tcPr>
                  <w:tcW w:w="825" w:type="dxa"/>
                  <w:tcBorders>
                    <w:tl2br w:val="nil"/>
                    <w:tr2bl w:val="nil"/>
                  </w:tcBorders>
                  <w:vAlign w:val="center"/>
                </w:tcPr>
                <w:p w14:paraId="55A9B9B1">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0.0031</w:t>
                  </w:r>
                </w:p>
              </w:tc>
              <w:tc>
                <w:tcPr>
                  <w:tcW w:w="1650" w:type="dxa"/>
                  <w:vMerge w:val="restart"/>
                  <w:tcBorders>
                    <w:tl2br w:val="nil"/>
                    <w:tr2bl w:val="nil"/>
                  </w:tcBorders>
                  <w:vAlign w:val="center"/>
                </w:tcPr>
                <w:p w14:paraId="21A58ACC">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经紫外线消毒+活性炭吸附处理后引至感染病楼房顶（20m）排放</w:t>
                  </w:r>
                </w:p>
              </w:tc>
              <w:tc>
                <w:tcPr>
                  <w:tcW w:w="630" w:type="dxa"/>
                  <w:vMerge w:val="restart"/>
                  <w:tcBorders>
                    <w:tl2br w:val="nil"/>
                    <w:tr2bl w:val="nil"/>
                  </w:tcBorders>
                  <w:vAlign w:val="center"/>
                </w:tcPr>
                <w:p w14:paraId="26D244F6">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70%</w:t>
                  </w:r>
                </w:p>
              </w:tc>
              <w:tc>
                <w:tcPr>
                  <w:tcW w:w="905" w:type="dxa"/>
                  <w:tcBorders>
                    <w:tl2br w:val="nil"/>
                    <w:tr2bl w:val="nil"/>
                  </w:tcBorders>
                  <w:vAlign w:val="center"/>
                </w:tcPr>
                <w:p w14:paraId="617C85C3">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0.1</w:t>
                  </w:r>
                </w:p>
              </w:tc>
              <w:tc>
                <w:tcPr>
                  <w:tcW w:w="775" w:type="dxa"/>
                  <w:tcBorders>
                    <w:tl2br w:val="nil"/>
                    <w:tr2bl w:val="nil"/>
                  </w:tcBorders>
                  <w:vAlign w:val="center"/>
                </w:tcPr>
                <w:p w14:paraId="59CFE0B6">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0.0009</w:t>
                  </w:r>
                </w:p>
              </w:tc>
            </w:tr>
            <w:tr w14:paraId="3DE14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dxa"/>
                  <w:vMerge w:val="continue"/>
                  <w:tcBorders>
                    <w:tl2br w:val="nil"/>
                    <w:tr2bl w:val="nil"/>
                  </w:tcBorders>
                  <w:vAlign w:val="center"/>
                </w:tcPr>
                <w:p w14:paraId="6DFAE661">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300" w:type="dxa"/>
                  <w:vMerge w:val="continue"/>
                  <w:tcBorders>
                    <w:tl2br w:val="nil"/>
                    <w:tr2bl w:val="nil"/>
                  </w:tcBorders>
                  <w:vAlign w:val="center"/>
                </w:tcPr>
                <w:p w14:paraId="19D2F273">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810" w:type="dxa"/>
                  <w:tcBorders>
                    <w:tl2br w:val="nil"/>
                    <w:tr2bl w:val="nil"/>
                  </w:tcBorders>
                  <w:vAlign w:val="center"/>
                </w:tcPr>
                <w:p w14:paraId="618E3759">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H</w:t>
                  </w:r>
                  <w:r>
                    <w:rPr>
                      <w:rFonts w:hint="eastAsia"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S</w:t>
                  </w:r>
                </w:p>
              </w:tc>
              <w:tc>
                <w:tcPr>
                  <w:tcW w:w="870" w:type="dxa"/>
                  <w:vMerge w:val="continue"/>
                  <w:tcBorders>
                    <w:tl2br w:val="nil"/>
                    <w:tr2bl w:val="nil"/>
                  </w:tcBorders>
                  <w:vAlign w:val="center"/>
                </w:tcPr>
                <w:p w14:paraId="1532D36D">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915" w:type="dxa"/>
                  <w:tcBorders>
                    <w:tl2br w:val="nil"/>
                    <w:tr2bl w:val="nil"/>
                  </w:tcBorders>
                  <w:vAlign w:val="center"/>
                </w:tcPr>
                <w:p w14:paraId="1C3EC6A0">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0.0014</w:t>
                  </w:r>
                </w:p>
              </w:tc>
              <w:tc>
                <w:tcPr>
                  <w:tcW w:w="825" w:type="dxa"/>
                  <w:tcBorders>
                    <w:tl2br w:val="nil"/>
                    <w:tr2bl w:val="nil"/>
                  </w:tcBorders>
                  <w:vAlign w:val="center"/>
                </w:tcPr>
                <w:p w14:paraId="73370D31">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1.2</w:t>
                  </w:r>
                  <w:r>
                    <w:rPr>
                      <w:rFonts w:hint="default"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5</w:t>
                  </w:r>
                </w:p>
              </w:tc>
              <w:tc>
                <w:tcPr>
                  <w:tcW w:w="1650" w:type="dxa"/>
                  <w:vMerge w:val="continue"/>
                  <w:tcBorders>
                    <w:tl2br w:val="nil"/>
                    <w:tr2bl w:val="nil"/>
                  </w:tcBorders>
                  <w:vAlign w:val="center"/>
                </w:tcPr>
                <w:p w14:paraId="1502CDE8">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630" w:type="dxa"/>
                  <w:vMerge w:val="continue"/>
                  <w:tcBorders>
                    <w:tl2br w:val="nil"/>
                    <w:tr2bl w:val="nil"/>
                  </w:tcBorders>
                  <w:vAlign w:val="center"/>
                </w:tcPr>
                <w:p w14:paraId="08F8BC66">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905" w:type="dxa"/>
                  <w:tcBorders>
                    <w:tl2br w:val="nil"/>
                    <w:tr2bl w:val="nil"/>
                  </w:tcBorders>
                  <w:vAlign w:val="center"/>
                </w:tcPr>
                <w:p w14:paraId="5809EEF5">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4.1</w:t>
                  </w:r>
                  <w:r>
                    <w:rPr>
                      <w:rFonts w:hint="default"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4</w:t>
                  </w:r>
                </w:p>
              </w:tc>
              <w:tc>
                <w:tcPr>
                  <w:tcW w:w="775" w:type="dxa"/>
                  <w:tcBorders>
                    <w:tl2br w:val="nil"/>
                    <w:tr2bl w:val="nil"/>
                  </w:tcBorders>
                  <w:vAlign w:val="center"/>
                </w:tcPr>
                <w:p w14:paraId="3E2B03B3">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3.6</w:t>
                  </w:r>
                  <w:r>
                    <w:rPr>
                      <w:rFonts w:hint="default"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6</w:t>
                  </w:r>
                </w:p>
              </w:tc>
            </w:tr>
            <w:tr w14:paraId="38A89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dxa"/>
                  <w:vMerge w:val="continue"/>
                  <w:tcBorders>
                    <w:tl2br w:val="nil"/>
                    <w:tr2bl w:val="nil"/>
                  </w:tcBorders>
                  <w:vAlign w:val="center"/>
                </w:tcPr>
                <w:p w14:paraId="2890CCBB">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300" w:type="dxa"/>
                  <w:vMerge w:val="restart"/>
                  <w:tcBorders>
                    <w:tl2br w:val="nil"/>
                    <w:tr2bl w:val="nil"/>
                  </w:tcBorders>
                  <w:vAlign w:val="center"/>
                </w:tcPr>
                <w:p w14:paraId="5E4AF1C8">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无组织</w:t>
                  </w:r>
                </w:p>
              </w:tc>
              <w:tc>
                <w:tcPr>
                  <w:tcW w:w="810" w:type="dxa"/>
                  <w:tcBorders>
                    <w:tl2br w:val="nil"/>
                    <w:tr2bl w:val="nil"/>
                  </w:tcBorders>
                  <w:vAlign w:val="center"/>
                </w:tcPr>
                <w:p w14:paraId="3BDEA677">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NH</w:t>
                  </w:r>
                  <w:r>
                    <w:rPr>
                      <w:rFonts w:hint="eastAsia" w:ascii="Times New Roman" w:hAnsi="Times New Roman" w:cs="Times New Roman"/>
                      <w:color w:val="000000" w:themeColor="text1"/>
                      <w:sz w:val="21"/>
                      <w:szCs w:val="21"/>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-N</w:t>
                  </w:r>
                </w:p>
              </w:tc>
              <w:tc>
                <w:tcPr>
                  <w:tcW w:w="870" w:type="dxa"/>
                  <w:tcBorders>
                    <w:tl2br w:val="nil"/>
                    <w:tr2bl w:val="nil"/>
                  </w:tcBorders>
                  <w:vAlign w:val="center"/>
                </w:tcPr>
                <w:p w14:paraId="74FFFC5E">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w:t>
                  </w:r>
                </w:p>
              </w:tc>
              <w:tc>
                <w:tcPr>
                  <w:tcW w:w="915" w:type="dxa"/>
                  <w:tcBorders>
                    <w:tl2br w:val="nil"/>
                    <w:tr2bl w:val="nil"/>
                  </w:tcBorders>
                  <w:vAlign w:val="center"/>
                </w:tcPr>
                <w:p w14:paraId="04B904E9">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w:t>
                  </w:r>
                </w:p>
              </w:tc>
              <w:tc>
                <w:tcPr>
                  <w:tcW w:w="825" w:type="dxa"/>
                  <w:tcBorders>
                    <w:tl2br w:val="nil"/>
                    <w:tr2bl w:val="nil"/>
                  </w:tcBorders>
                  <w:vAlign w:val="center"/>
                </w:tcPr>
                <w:p w14:paraId="0AEE9E44">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0.0002</w:t>
                  </w:r>
                </w:p>
              </w:tc>
              <w:tc>
                <w:tcPr>
                  <w:tcW w:w="1650" w:type="dxa"/>
                  <w:tcBorders>
                    <w:tl2br w:val="nil"/>
                    <w:tr2bl w:val="nil"/>
                  </w:tcBorders>
                  <w:vAlign w:val="center"/>
                </w:tcPr>
                <w:p w14:paraId="465BF9B5">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p>
              </w:tc>
              <w:tc>
                <w:tcPr>
                  <w:tcW w:w="630" w:type="dxa"/>
                  <w:tcBorders>
                    <w:tl2br w:val="nil"/>
                    <w:tr2bl w:val="nil"/>
                  </w:tcBorders>
                  <w:vAlign w:val="center"/>
                </w:tcPr>
                <w:p w14:paraId="2D0E823C">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p>
              </w:tc>
              <w:tc>
                <w:tcPr>
                  <w:tcW w:w="905" w:type="dxa"/>
                  <w:tcBorders>
                    <w:tl2br w:val="nil"/>
                    <w:tr2bl w:val="nil"/>
                  </w:tcBorders>
                  <w:vAlign w:val="center"/>
                </w:tcPr>
                <w:p w14:paraId="2CEC392E">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p>
              </w:tc>
              <w:tc>
                <w:tcPr>
                  <w:tcW w:w="775" w:type="dxa"/>
                  <w:tcBorders>
                    <w:tl2br w:val="nil"/>
                    <w:tr2bl w:val="nil"/>
                  </w:tcBorders>
                  <w:vAlign w:val="center"/>
                </w:tcPr>
                <w:p w14:paraId="0AB8790B">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0.0002</w:t>
                  </w:r>
                </w:p>
              </w:tc>
            </w:tr>
            <w:tr w14:paraId="0FDEC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dxa"/>
                  <w:vMerge w:val="continue"/>
                  <w:tcBorders>
                    <w:tl2br w:val="nil"/>
                    <w:tr2bl w:val="nil"/>
                  </w:tcBorders>
                  <w:vAlign w:val="center"/>
                </w:tcPr>
                <w:p w14:paraId="26AF1772">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300" w:type="dxa"/>
                  <w:vMerge w:val="continue"/>
                  <w:tcBorders>
                    <w:tl2br w:val="nil"/>
                    <w:tr2bl w:val="nil"/>
                  </w:tcBorders>
                  <w:vAlign w:val="center"/>
                </w:tcPr>
                <w:p w14:paraId="66A45F0F">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810" w:type="dxa"/>
                  <w:tcBorders>
                    <w:tl2br w:val="nil"/>
                    <w:tr2bl w:val="nil"/>
                  </w:tcBorders>
                  <w:vAlign w:val="center"/>
                </w:tcPr>
                <w:p w14:paraId="2BC49471">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H</w:t>
                  </w:r>
                  <w:r>
                    <w:rPr>
                      <w:rFonts w:hint="eastAsia" w:ascii="Times New Roman" w:hAnsi="Times New Roman" w:cs="Times New Roman"/>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S</w:t>
                  </w:r>
                </w:p>
              </w:tc>
              <w:tc>
                <w:tcPr>
                  <w:tcW w:w="870" w:type="dxa"/>
                  <w:tcBorders>
                    <w:tl2br w:val="nil"/>
                    <w:tr2bl w:val="nil"/>
                  </w:tcBorders>
                  <w:vAlign w:val="center"/>
                </w:tcPr>
                <w:p w14:paraId="7964521C">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w:t>
                  </w:r>
                </w:p>
              </w:tc>
              <w:tc>
                <w:tcPr>
                  <w:tcW w:w="915" w:type="dxa"/>
                  <w:tcBorders>
                    <w:tl2br w:val="nil"/>
                    <w:tr2bl w:val="nil"/>
                  </w:tcBorders>
                  <w:vAlign w:val="center"/>
                </w:tcPr>
                <w:p w14:paraId="0B129EF8">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w:t>
                  </w:r>
                </w:p>
              </w:tc>
              <w:tc>
                <w:tcPr>
                  <w:tcW w:w="825" w:type="dxa"/>
                  <w:tcBorders>
                    <w:tl2br w:val="nil"/>
                    <w:tr2bl w:val="nil"/>
                  </w:tcBorders>
                  <w:vAlign w:val="center"/>
                </w:tcPr>
                <w:p w14:paraId="377007D1">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1</w:t>
                  </w:r>
                  <w:r>
                    <w:rPr>
                      <w:rFonts w:hint="default"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6</w:t>
                  </w:r>
                </w:p>
              </w:tc>
              <w:tc>
                <w:tcPr>
                  <w:tcW w:w="1650" w:type="dxa"/>
                  <w:tcBorders>
                    <w:tl2br w:val="nil"/>
                    <w:tr2bl w:val="nil"/>
                  </w:tcBorders>
                  <w:vAlign w:val="center"/>
                </w:tcPr>
                <w:p w14:paraId="111833BE">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p>
              </w:tc>
              <w:tc>
                <w:tcPr>
                  <w:tcW w:w="630" w:type="dxa"/>
                  <w:tcBorders>
                    <w:tl2br w:val="nil"/>
                    <w:tr2bl w:val="nil"/>
                  </w:tcBorders>
                  <w:vAlign w:val="center"/>
                </w:tcPr>
                <w:p w14:paraId="0406218A">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p>
              </w:tc>
              <w:tc>
                <w:tcPr>
                  <w:tcW w:w="905" w:type="dxa"/>
                  <w:tcBorders>
                    <w:tl2br w:val="nil"/>
                    <w:tr2bl w:val="nil"/>
                  </w:tcBorders>
                  <w:vAlign w:val="center"/>
                </w:tcPr>
                <w:p w14:paraId="6E17092E">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jc w:val="center"/>
                    <w:textAlignment w:val="auto"/>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p>
              </w:tc>
              <w:tc>
                <w:tcPr>
                  <w:tcW w:w="775" w:type="dxa"/>
                  <w:tcBorders>
                    <w:tl2br w:val="nil"/>
                    <w:tr2bl w:val="nil"/>
                  </w:tcBorders>
                  <w:vAlign w:val="center"/>
                </w:tcPr>
                <w:p w14:paraId="79D2D11A">
                  <w:pPr>
                    <w:pStyle w:val="2"/>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1</w:t>
                  </w:r>
                  <w:r>
                    <w:rPr>
                      <w:rFonts w:hint="default"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6</w:t>
                  </w:r>
                </w:p>
              </w:tc>
            </w:tr>
          </w:tbl>
          <w:p w14:paraId="1D5E985E">
            <w:pPr>
              <w:rPr>
                <w:rFonts w:hint="default"/>
                <w:color w:val="000000" w:themeColor="text1"/>
                <w:highlight w:val="none"/>
                <w:lang w:val="en-US" w:eastAsia="zh-CN"/>
                <w14:textFill>
                  <w14:solidFill>
                    <w14:schemeClr w14:val="tx1"/>
                  </w14:solidFill>
                </w14:textFill>
              </w:rPr>
            </w:pPr>
          </w:p>
          <w:p w14:paraId="0BCFEEF9">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leftChars="200" w:right="0" w:rightChars="0"/>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（2）汽车尾气</w:t>
            </w:r>
          </w:p>
          <w:p w14:paraId="698A9213">
            <w:pPr>
              <w:pStyle w:val="2"/>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leftChars="0" w:right="0" w:rightChars="0"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项目汽车尾气主要来自于</w:t>
            </w:r>
            <w:r>
              <w:rPr>
                <w:rFonts w:hint="eastAsia" w:ascii="Times New Roman" w:hAnsi="Times New Roman" w:cs="Times New Roman"/>
                <w:color w:val="000000" w:themeColor="text1"/>
                <w:highlight w:val="none"/>
                <w:lang w:val="en-US" w:eastAsia="zh-CN"/>
                <w14:textFill>
                  <w14:solidFill>
                    <w14:schemeClr w14:val="tx1"/>
                  </w14:solidFill>
                </w14:textFill>
              </w:rPr>
              <w:t>设置的</w:t>
            </w:r>
            <w:r>
              <w:rPr>
                <w:rFonts w:hint="default" w:ascii="Times New Roman" w:hAnsi="Times New Roman" w:cs="Times New Roman"/>
                <w:color w:val="000000" w:themeColor="text1"/>
                <w:highlight w:val="none"/>
                <w:lang w:val="en-US" w:eastAsia="zh-CN"/>
                <w14:textFill>
                  <w14:solidFill>
                    <w14:schemeClr w14:val="tx1"/>
                  </w14:solidFill>
                </w14:textFill>
              </w:rPr>
              <w:t>停车位</w:t>
            </w:r>
            <w:r>
              <w:rPr>
                <w:rFonts w:hint="eastAsia" w:ascii="Times New Roman" w:hAnsi="Times New Roman" w:cs="Times New Roman"/>
                <w:color w:val="000000" w:themeColor="text1"/>
                <w:highlight w:val="none"/>
                <w:lang w:val="en-US" w:eastAsia="zh-CN"/>
                <w14:textFill>
                  <w14:solidFill>
                    <w14:schemeClr w14:val="tx1"/>
                  </w14:solidFill>
                </w14:textFill>
              </w:rPr>
              <w:t>，院内拟设地上</w:t>
            </w:r>
            <w:r>
              <w:rPr>
                <w:rFonts w:hint="default" w:ascii="Times New Roman" w:hAnsi="Times New Roman" w:cs="Times New Roman"/>
                <w:color w:val="000000" w:themeColor="text1"/>
                <w:highlight w:val="none"/>
                <w:lang w:val="en-US" w:eastAsia="zh-CN"/>
                <w14:textFill>
                  <w14:solidFill>
                    <w14:schemeClr w14:val="tx1"/>
                  </w14:solidFill>
                </w14:textFill>
              </w:rPr>
              <w:t>停车位</w:t>
            </w:r>
            <w:r>
              <w:rPr>
                <w:rFonts w:hint="eastAsia" w:ascii="Times New Roman" w:hAnsi="Times New Roman" w:cs="Times New Roman"/>
                <w:color w:val="000000" w:themeColor="text1"/>
                <w:highlight w:val="none"/>
                <w:lang w:val="en-US" w:eastAsia="zh-CN"/>
                <w14:textFill>
                  <w14:solidFill>
                    <w14:schemeClr w14:val="tx1"/>
                  </w14:solidFill>
                </w14:textFill>
              </w:rPr>
              <w:t>67</w:t>
            </w:r>
            <w:r>
              <w:rPr>
                <w:rFonts w:hint="default" w:ascii="Times New Roman" w:hAnsi="Times New Roman" w:cs="Times New Roman"/>
                <w:color w:val="000000" w:themeColor="text1"/>
                <w:highlight w:val="none"/>
                <w:lang w:val="en-US" w:eastAsia="zh-CN"/>
                <w14:textFill>
                  <w14:solidFill>
                    <w14:schemeClr w14:val="tx1"/>
                  </w14:solidFill>
                </w14:textFill>
              </w:rPr>
              <w:t>个。由于</w:t>
            </w:r>
            <w:r>
              <w:rPr>
                <w:rFonts w:hint="eastAsia" w:ascii="Times New Roman" w:hAnsi="Times New Roman" w:cs="Times New Roman"/>
                <w:color w:val="000000" w:themeColor="text1"/>
                <w:highlight w:val="none"/>
                <w:lang w:val="en-US" w:eastAsia="zh-CN"/>
                <w14:textFill>
                  <w14:solidFill>
                    <w14:schemeClr w14:val="tx1"/>
                  </w14:solidFill>
                </w14:textFill>
              </w:rPr>
              <w:t>车流量较小，废气产生量较少，且</w:t>
            </w:r>
            <w:r>
              <w:rPr>
                <w:rFonts w:hint="default" w:ascii="Times New Roman" w:hAnsi="Times New Roman" w:cs="Times New Roman"/>
                <w:color w:val="000000" w:themeColor="text1"/>
                <w:highlight w:val="none"/>
                <w:lang w:val="en-US" w:eastAsia="zh-CN"/>
                <w14:textFill>
                  <w14:solidFill>
                    <w14:schemeClr w14:val="tx1"/>
                  </w14:solidFill>
                </w14:textFill>
              </w:rPr>
              <w:t>地上车位废气</w:t>
            </w:r>
            <w:r>
              <w:rPr>
                <w:rFonts w:hint="eastAsia" w:ascii="Times New Roman" w:hAnsi="Times New Roman" w:cs="Times New Roman"/>
                <w:color w:val="000000" w:themeColor="text1"/>
                <w:highlight w:val="none"/>
                <w:lang w:val="en-US" w:eastAsia="zh-CN"/>
                <w14:textFill>
                  <w14:solidFill>
                    <w14:schemeClr w14:val="tx1"/>
                  </w14:solidFill>
                </w14:textFill>
              </w:rPr>
              <w:t>经</w:t>
            </w:r>
            <w:r>
              <w:rPr>
                <w:rFonts w:hint="default" w:ascii="Times New Roman" w:hAnsi="Times New Roman" w:cs="Times New Roman"/>
                <w:color w:val="000000" w:themeColor="text1"/>
                <w:highlight w:val="none"/>
                <w:lang w:val="en-US" w:eastAsia="zh-CN"/>
                <w14:textFill>
                  <w14:solidFill>
                    <w14:schemeClr w14:val="tx1"/>
                  </w14:solidFill>
                </w14:textFill>
              </w:rPr>
              <w:t>绿化植物吸附、自然</w:t>
            </w:r>
            <w:r>
              <w:rPr>
                <w:rFonts w:hint="eastAsia" w:ascii="Times New Roman" w:hAnsi="Times New Roman" w:cs="Times New Roman"/>
                <w:color w:val="000000" w:themeColor="text1"/>
                <w:highlight w:val="none"/>
                <w:lang w:val="en-US" w:eastAsia="zh-CN"/>
                <w14:textFill>
                  <w14:solidFill>
                    <w14:schemeClr w14:val="tx1"/>
                  </w14:solidFill>
                </w14:textFill>
              </w:rPr>
              <w:t>稀释</w:t>
            </w:r>
            <w:r>
              <w:rPr>
                <w:rFonts w:hint="default" w:ascii="Times New Roman" w:hAnsi="Times New Roman" w:cs="Times New Roman"/>
                <w:color w:val="000000" w:themeColor="text1"/>
                <w:highlight w:val="none"/>
                <w:lang w:val="en-US" w:eastAsia="zh-CN"/>
                <w14:textFill>
                  <w14:solidFill>
                    <w14:schemeClr w14:val="tx1"/>
                  </w14:solidFill>
                </w14:textFill>
              </w:rPr>
              <w:t>扩散</w:t>
            </w:r>
            <w:r>
              <w:rPr>
                <w:rFonts w:hint="eastAsia" w:ascii="Times New Roman" w:hAnsi="Times New Roman" w:cs="Times New Roman"/>
                <w:color w:val="000000" w:themeColor="text1"/>
                <w:highlight w:val="none"/>
                <w:lang w:val="en-US" w:eastAsia="zh-CN"/>
                <w14:textFill>
                  <w14:solidFill>
                    <w14:schemeClr w14:val="tx1"/>
                  </w14:solidFill>
                </w14:textFill>
              </w:rPr>
              <w:t>后排放，对环境影响不大，本次评价忽略不计。</w:t>
            </w:r>
          </w:p>
          <w:p w14:paraId="0735E616">
            <w:pPr>
              <w:keepNext/>
              <w:keepLines/>
              <w:pageBreakBefore w:val="0"/>
              <w:widowControl w:val="0"/>
              <w:numPr>
                <w:ilvl w:val="0"/>
                <w:numId w:val="0"/>
              </w:numPr>
              <w:kinsoku/>
              <w:wordWrap/>
              <w:overflowPunct/>
              <w:topLinePunct w:val="0"/>
              <w:autoSpaceDE/>
              <w:autoSpaceDN/>
              <w:bidi w:val="0"/>
              <w:adjustRightInd/>
              <w:snapToGrid/>
              <w:spacing w:before="157" w:beforeLines="50" w:line="420" w:lineRule="auto"/>
              <w:ind w:firstLine="482" w:firstLineChars="200"/>
              <w:textAlignment w:val="auto"/>
              <w:outlineLvl w:val="1"/>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t>2、排放口设置及监测计划</w:t>
            </w:r>
          </w:p>
          <w:p w14:paraId="404D30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u w:val="none"/>
                <w:lang w:eastAsia="zh-CN"/>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1</w:t>
            </w:r>
            <w:r>
              <w:rPr>
                <w:rFonts w:hint="eastAsia" w:ascii="Times New Roman" w:hAnsi="Times New Roman" w:cs="Times New Roman"/>
                <w:b w:val="0"/>
                <w:bCs w:val="0"/>
                <w:color w:val="000000" w:themeColor="text1"/>
                <w:sz w:val="24"/>
                <w:szCs w:val="24"/>
                <w:highlight w:val="none"/>
                <w:u w:val="none"/>
                <w:lang w:eastAsia="zh-CN"/>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排放口设置</w:t>
            </w:r>
          </w:p>
          <w:p w14:paraId="13C26D6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default" w:ascii="Times New Roman" w:hAnsi="Times New Roman" w:cs="Times New Roman"/>
                <w:b w:val="0"/>
                <w:bCs w:val="0"/>
                <w:color w:val="000000" w:themeColor="text1"/>
                <w:sz w:val="24"/>
                <w:szCs w:val="24"/>
                <w:highlight w:val="none"/>
                <w:u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u w:val="none"/>
                <w:lang w:eastAsia="zh-CN"/>
                <w14:textFill>
                  <w14:solidFill>
                    <w14:schemeClr w14:val="tx1"/>
                  </w14:solidFill>
                </w14:textFill>
              </w:rPr>
              <w:t>项目</w:t>
            </w:r>
            <w:r>
              <w:rPr>
                <w:rFonts w:hint="default" w:ascii="Times New Roman" w:hAnsi="Times New Roman" w:cs="Times New Roman"/>
                <w:b w:val="0"/>
                <w:bCs w:val="0"/>
                <w:color w:val="000000" w:themeColor="text1"/>
                <w:sz w:val="24"/>
                <w:szCs w:val="24"/>
                <w:highlight w:val="none"/>
                <w:u w:val="none"/>
                <w14:textFill>
                  <w14:solidFill>
                    <w14:schemeClr w14:val="tx1"/>
                  </w14:solidFill>
                </w14:textFill>
              </w:rPr>
              <w:t>有组织排放口基本情况见下表。</w:t>
            </w:r>
          </w:p>
          <w:p w14:paraId="6544DC94">
            <w:pPr>
              <w:pStyle w:val="104"/>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t xml:space="preserve">  项目</w:t>
            </w:r>
            <w:r>
              <w:rPr>
                <w:rFonts w:hint="default" w:ascii="Times New Roman" w:hAnsi="Times New Roman" w:cs="Times New Roman"/>
                <w:b w:val="0"/>
                <w:bCs w:val="0"/>
                <w:color w:val="000000" w:themeColor="text1"/>
                <w:highlight w:val="none"/>
                <w:u w:val="none"/>
                <w14:textFill>
                  <w14:solidFill>
                    <w14:schemeClr w14:val="tx1"/>
                  </w14:solidFill>
                </w14:textFill>
              </w:rPr>
              <w:t>废气排放口基本情况一览表</w:t>
            </w:r>
          </w:p>
          <w:tbl>
            <w:tblPr>
              <w:tblStyle w:val="34"/>
              <w:tblW w:w="809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28" w:type="dxa"/>
                <w:bottom w:w="0" w:type="dxa"/>
                <w:right w:w="28" w:type="dxa"/>
              </w:tblCellMar>
            </w:tblPr>
            <w:tblGrid>
              <w:gridCol w:w="749"/>
              <w:gridCol w:w="1566"/>
              <w:gridCol w:w="1110"/>
              <w:gridCol w:w="1149"/>
              <w:gridCol w:w="1227"/>
              <w:gridCol w:w="759"/>
              <w:gridCol w:w="761"/>
              <w:gridCol w:w="761"/>
              <w:gridCol w:w="11"/>
            </w:tblGrid>
            <w:tr w14:paraId="6D10C20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trHeight w:val="397" w:hRule="atLeast"/>
                <w:jc w:val="center"/>
              </w:trPr>
              <w:tc>
                <w:tcPr>
                  <w:tcW w:w="749" w:type="dxa"/>
                  <w:vMerge w:val="restart"/>
                  <w:noWrap w:val="0"/>
                  <w:vAlign w:val="center"/>
                </w:tcPr>
                <w:p w14:paraId="1857E158">
                  <w:pPr>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排放口编号</w:t>
                  </w:r>
                </w:p>
              </w:tc>
              <w:tc>
                <w:tcPr>
                  <w:tcW w:w="1566" w:type="dxa"/>
                  <w:vMerge w:val="restart"/>
                  <w:noWrap w:val="0"/>
                  <w:vAlign w:val="center"/>
                </w:tcPr>
                <w:p w14:paraId="446A9A03">
                  <w:pPr>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排放口名称</w:t>
                  </w:r>
                </w:p>
              </w:tc>
              <w:tc>
                <w:tcPr>
                  <w:tcW w:w="1110" w:type="dxa"/>
                  <w:vMerge w:val="restart"/>
                  <w:noWrap w:val="0"/>
                  <w:vAlign w:val="center"/>
                </w:tcPr>
                <w:p w14:paraId="6B9D4B2E">
                  <w:pPr>
                    <w:snapToGrid w:val="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排放口</w:t>
                  </w:r>
                </w:p>
                <w:p w14:paraId="11E610C5">
                  <w:pPr>
                    <w:snapToGrid w:val="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类型</w:t>
                  </w:r>
                </w:p>
              </w:tc>
              <w:tc>
                <w:tcPr>
                  <w:tcW w:w="2376" w:type="dxa"/>
                  <w:gridSpan w:val="2"/>
                  <w:noWrap w:val="0"/>
                  <w:vAlign w:val="center"/>
                </w:tcPr>
                <w:p w14:paraId="334937D1">
                  <w:pPr>
                    <w:snapToGrid w:val="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排气筒底部中心地理坐标</w:t>
                  </w:r>
                </w:p>
              </w:tc>
              <w:tc>
                <w:tcPr>
                  <w:tcW w:w="2292" w:type="dxa"/>
                  <w:gridSpan w:val="4"/>
                  <w:noWrap w:val="0"/>
                  <w:vAlign w:val="center"/>
                </w:tcPr>
                <w:p w14:paraId="411679E6">
                  <w:pPr>
                    <w:snapToGrid w:val="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排气筒参数</w:t>
                  </w:r>
                </w:p>
              </w:tc>
            </w:tr>
            <w:tr w14:paraId="5C04B37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gridAfter w:val="1"/>
                <w:wAfter w:w="11" w:type="dxa"/>
                <w:trHeight w:val="397" w:hRule="atLeast"/>
                <w:jc w:val="center"/>
              </w:trPr>
              <w:tc>
                <w:tcPr>
                  <w:tcW w:w="749" w:type="dxa"/>
                  <w:vMerge w:val="continue"/>
                  <w:noWrap w:val="0"/>
                  <w:vAlign w:val="center"/>
                </w:tcPr>
                <w:p w14:paraId="6B1C25B1">
                  <w:pPr>
                    <w:widowControl/>
                    <w:jc w:val="center"/>
                    <w:rPr>
                      <w:rFonts w:hint="default" w:ascii="Times New Roman" w:hAnsi="Times New Roman" w:cs="Times New Roman"/>
                      <w:b w:val="0"/>
                      <w:bCs w:val="0"/>
                      <w:color w:val="000000" w:themeColor="text1"/>
                      <w:highlight w:val="none"/>
                      <w:u w:val="none"/>
                      <w14:textFill>
                        <w14:solidFill>
                          <w14:schemeClr w14:val="tx1"/>
                        </w14:solidFill>
                      </w14:textFill>
                    </w:rPr>
                  </w:pPr>
                </w:p>
              </w:tc>
              <w:tc>
                <w:tcPr>
                  <w:tcW w:w="1566" w:type="dxa"/>
                  <w:vMerge w:val="continue"/>
                  <w:noWrap w:val="0"/>
                  <w:vAlign w:val="center"/>
                </w:tcPr>
                <w:p w14:paraId="1247E05A">
                  <w:pPr>
                    <w:widowControl/>
                    <w:jc w:val="center"/>
                    <w:rPr>
                      <w:rFonts w:hint="default" w:ascii="Times New Roman" w:hAnsi="Times New Roman" w:cs="Times New Roman"/>
                      <w:b w:val="0"/>
                      <w:bCs w:val="0"/>
                      <w:color w:val="000000" w:themeColor="text1"/>
                      <w:highlight w:val="none"/>
                      <w:u w:val="none"/>
                      <w14:textFill>
                        <w14:solidFill>
                          <w14:schemeClr w14:val="tx1"/>
                        </w14:solidFill>
                      </w14:textFill>
                    </w:rPr>
                  </w:pPr>
                </w:p>
              </w:tc>
              <w:tc>
                <w:tcPr>
                  <w:tcW w:w="1110" w:type="dxa"/>
                  <w:vMerge w:val="continue"/>
                  <w:noWrap w:val="0"/>
                  <w:vAlign w:val="center"/>
                </w:tcPr>
                <w:p w14:paraId="293BD2DA">
                  <w:pPr>
                    <w:snapToGrid w:val="0"/>
                    <w:jc w:val="center"/>
                    <w:rPr>
                      <w:rFonts w:hint="default" w:ascii="Times New Roman" w:hAnsi="Times New Roman" w:cs="Times New Roman"/>
                      <w:b w:val="0"/>
                      <w:bCs w:val="0"/>
                      <w:color w:val="000000" w:themeColor="text1"/>
                      <w:highlight w:val="none"/>
                      <w:u w:val="none"/>
                      <w14:textFill>
                        <w14:solidFill>
                          <w14:schemeClr w14:val="tx1"/>
                        </w14:solidFill>
                      </w14:textFill>
                    </w:rPr>
                  </w:pPr>
                </w:p>
              </w:tc>
              <w:tc>
                <w:tcPr>
                  <w:tcW w:w="1149" w:type="dxa"/>
                  <w:noWrap w:val="0"/>
                  <w:vAlign w:val="center"/>
                </w:tcPr>
                <w:p w14:paraId="0F1BFC38">
                  <w:pPr>
                    <w:snapToGrid w:val="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经度(o)</w:t>
                  </w:r>
                </w:p>
              </w:tc>
              <w:tc>
                <w:tcPr>
                  <w:tcW w:w="1227" w:type="dxa"/>
                  <w:noWrap w:val="0"/>
                  <w:vAlign w:val="center"/>
                </w:tcPr>
                <w:p w14:paraId="70F8BCB4">
                  <w:pPr>
                    <w:snapToGrid w:val="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纬度(o)</w:t>
                  </w:r>
                </w:p>
              </w:tc>
              <w:tc>
                <w:tcPr>
                  <w:tcW w:w="759" w:type="dxa"/>
                  <w:noWrap w:val="0"/>
                  <w:vAlign w:val="center"/>
                </w:tcPr>
                <w:p w14:paraId="09630709">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高度(m)</w:t>
                  </w:r>
                </w:p>
              </w:tc>
              <w:tc>
                <w:tcPr>
                  <w:tcW w:w="761" w:type="dxa"/>
                  <w:noWrap w:val="0"/>
                  <w:vAlign w:val="center"/>
                </w:tcPr>
                <w:p w14:paraId="6781441F">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内径(m)</w:t>
                  </w:r>
                </w:p>
              </w:tc>
              <w:tc>
                <w:tcPr>
                  <w:tcW w:w="761" w:type="dxa"/>
                  <w:noWrap w:val="0"/>
                  <w:vAlign w:val="center"/>
                </w:tcPr>
                <w:p w14:paraId="56D75030">
                  <w:pPr>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温度(℃)</w:t>
                  </w:r>
                </w:p>
              </w:tc>
            </w:tr>
            <w:tr w14:paraId="203B2A5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28" w:type="dxa"/>
                  <w:bottom w:w="0" w:type="dxa"/>
                  <w:right w:w="28" w:type="dxa"/>
                </w:tblCellMar>
              </w:tblPrEx>
              <w:trPr>
                <w:gridAfter w:val="1"/>
                <w:wAfter w:w="11" w:type="dxa"/>
                <w:trHeight w:val="397" w:hRule="atLeast"/>
                <w:jc w:val="center"/>
              </w:trPr>
              <w:tc>
                <w:tcPr>
                  <w:tcW w:w="749" w:type="dxa"/>
                  <w:noWrap w:val="0"/>
                  <w:vAlign w:val="center"/>
                </w:tcPr>
                <w:p w14:paraId="5501B04A">
                  <w:pPr>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DA001</w:t>
                  </w:r>
                </w:p>
              </w:tc>
              <w:tc>
                <w:tcPr>
                  <w:tcW w:w="1566" w:type="dxa"/>
                  <w:noWrap w:val="0"/>
                  <w:vAlign w:val="center"/>
                </w:tcPr>
                <w:p w14:paraId="61F016DE">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污水处理站恶臭处理设施排气筒</w:t>
                  </w:r>
                </w:p>
              </w:tc>
              <w:tc>
                <w:tcPr>
                  <w:tcW w:w="1110" w:type="dxa"/>
                  <w:noWrap w:val="0"/>
                  <w:vAlign w:val="center"/>
                </w:tcPr>
                <w:p w14:paraId="153FB092">
                  <w:pPr>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一般排放口</w:t>
                  </w:r>
                </w:p>
              </w:tc>
              <w:tc>
                <w:tcPr>
                  <w:tcW w:w="1149" w:type="dxa"/>
                  <w:noWrap w:val="0"/>
                  <w:vAlign w:val="center"/>
                </w:tcPr>
                <w:p w14:paraId="7FEB86E7">
                  <w:pPr>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t>111.786601</w:t>
                  </w:r>
                </w:p>
              </w:tc>
              <w:tc>
                <w:tcPr>
                  <w:tcW w:w="1227" w:type="dxa"/>
                  <w:noWrap w:val="0"/>
                  <w:vAlign w:val="center"/>
                </w:tcPr>
                <w:p w14:paraId="7EEBF2CA">
                  <w:pPr>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t>34.770711</w:t>
                  </w:r>
                </w:p>
              </w:tc>
              <w:tc>
                <w:tcPr>
                  <w:tcW w:w="759" w:type="dxa"/>
                  <w:noWrap w:val="0"/>
                  <w:vAlign w:val="center"/>
                </w:tcPr>
                <w:p w14:paraId="239114C7">
                  <w:pPr>
                    <w:jc w:val="center"/>
                    <w:rPr>
                      <w:rFonts w:hint="default" w:ascii="Times New Roman" w:hAnsi="Times New Roman" w:eastAsia="宋体"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20</w:t>
                  </w:r>
                </w:p>
              </w:tc>
              <w:tc>
                <w:tcPr>
                  <w:tcW w:w="761" w:type="dxa"/>
                  <w:noWrap w:val="0"/>
                  <w:vAlign w:val="center"/>
                </w:tcPr>
                <w:p w14:paraId="7BBAF3C4">
                  <w:pPr>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0.2</w:t>
                  </w:r>
                </w:p>
              </w:tc>
              <w:tc>
                <w:tcPr>
                  <w:tcW w:w="761" w:type="dxa"/>
                  <w:noWrap w:val="0"/>
                  <w:vAlign w:val="center"/>
                </w:tcPr>
                <w:p w14:paraId="73928D17">
                  <w:pPr>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20</w:t>
                  </w:r>
                </w:p>
              </w:tc>
            </w:tr>
          </w:tbl>
          <w:p w14:paraId="6E60BE43">
            <w:pPr>
              <w:keepNext w:val="0"/>
              <w:keepLines w:val="0"/>
              <w:pageBreakBefore w:val="0"/>
              <w:widowControl w:val="0"/>
              <w:numPr>
                <w:ilvl w:val="0"/>
                <w:numId w:val="6"/>
              </w:numPr>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监测计划</w:t>
            </w:r>
          </w:p>
          <w:p w14:paraId="26573F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szCs w:val="24"/>
                <w:highlight w:val="none"/>
                <w:u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u w:val="none"/>
                <w14:textFill>
                  <w14:solidFill>
                    <w14:schemeClr w14:val="tx1"/>
                  </w14:solidFill>
                </w14:textFill>
              </w:rPr>
              <w:t>根据《排污单位自行监测技术指南 总则》（HJ819-2017）的要求，本次评价提出废气监测要求见下表。</w:t>
            </w:r>
          </w:p>
          <w:p w14:paraId="6F66C175">
            <w:pPr>
              <w:pStyle w:val="104"/>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textAlignment w:val="auto"/>
              <w:rPr>
                <w:rFonts w:hint="default"/>
                <w:b w:val="0"/>
                <w:bCs w:val="0"/>
                <w:color w:val="000000" w:themeColor="text1"/>
                <w:highlight w:val="none"/>
                <w:u w:val="none"/>
                <w14:textFill>
                  <w14:solidFill>
                    <w14:schemeClr w14:val="tx1"/>
                  </w14:solidFill>
                </w14:textFill>
              </w:rPr>
            </w:pPr>
            <w:r>
              <w:rPr>
                <w:rFonts w:hint="default"/>
                <w:b w:val="0"/>
                <w:bCs w:val="0"/>
                <w:color w:val="000000" w:themeColor="text1"/>
                <w:highlight w:val="none"/>
                <w:u w:val="none"/>
                <w14:textFill>
                  <w14:solidFill>
                    <w14:schemeClr w14:val="tx1"/>
                  </w14:solidFill>
                </w14:textFill>
              </w:rPr>
              <w:t xml:space="preserve">     废气监测计划</w:t>
            </w:r>
          </w:p>
          <w:tbl>
            <w:tblPr>
              <w:tblStyle w:val="34"/>
              <w:tblW w:w="809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2125"/>
              <w:gridCol w:w="1170"/>
              <w:gridCol w:w="1065"/>
              <w:gridCol w:w="2980"/>
            </w:tblGrid>
            <w:tr w14:paraId="58B9A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3" w:type="dxa"/>
                  <w:noWrap w:val="0"/>
                  <w:vAlign w:val="center"/>
                </w:tcPr>
                <w:p w14:paraId="5B567ECA">
                  <w:pPr>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环境要素</w:t>
                  </w:r>
                </w:p>
              </w:tc>
              <w:tc>
                <w:tcPr>
                  <w:tcW w:w="2125" w:type="dxa"/>
                  <w:noWrap w:val="0"/>
                  <w:vAlign w:val="center"/>
                </w:tcPr>
                <w:p w14:paraId="7B34F037">
                  <w:pPr>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监测点位</w:t>
                  </w:r>
                </w:p>
              </w:tc>
              <w:tc>
                <w:tcPr>
                  <w:tcW w:w="1170" w:type="dxa"/>
                  <w:noWrap w:val="0"/>
                  <w:vAlign w:val="center"/>
                </w:tcPr>
                <w:p w14:paraId="38FC509D">
                  <w:pPr>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监测指标</w:t>
                  </w:r>
                </w:p>
              </w:tc>
              <w:tc>
                <w:tcPr>
                  <w:tcW w:w="1065" w:type="dxa"/>
                  <w:noWrap w:val="0"/>
                  <w:vAlign w:val="center"/>
                </w:tcPr>
                <w:p w14:paraId="23090B39">
                  <w:pPr>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监测频次</w:t>
                  </w:r>
                </w:p>
              </w:tc>
              <w:tc>
                <w:tcPr>
                  <w:tcW w:w="2980" w:type="dxa"/>
                  <w:noWrap w:val="0"/>
                  <w:vAlign w:val="center"/>
                </w:tcPr>
                <w:p w14:paraId="765327AA">
                  <w:pPr>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执行排放标准</w:t>
                  </w:r>
                </w:p>
              </w:tc>
            </w:tr>
            <w:tr w14:paraId="37F0B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3" w:type="dxa"/>
                  <w:vMerge w:val="restart"/>
                  <w:noWrap w:val="0"/>
                  <w:vAlign w:val="center"/>
                </w:tcPr>
                <w:p w14:paraId="02E5C33C">
                  <w:pPr>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废气</w:t>
                  </w:r>
                </w:p>
              </w:tc>
              <w:tc>
                <w:tcPr>
                  <w:tcW w:w="2125" w:type="dxa"/>
                  <w:noWrap w:val="0"/>
                  <w:vAlign w:val="center"/>
                </w:tcPr>
                <w:p w14:paraId="4796DC68">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baseline"/>
                    <w:rPr>
                      <w:rFonts w:hint="default" w:ascii="Times New Roman" w:hAnsi="Times New Roman" w:cs="Times New Roman"/>
                      <w:b w:val="0"/>
                      <w:bCs w:val="0"/>
                      <w:color w:val="000000" w:themeColor="text1"/>
                      <w:sz w:val="21"/>
                      <w:szCs w:val="21"/>
                      <w:highlight w:val="none"/>
                      <w:u w:val="none"/>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污水处理站恶臭处理设施排气筒</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DA001</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170" w:type="dxa"/>
                  <w:noWrap w:val="0"/>
                  <w:vAlign w:val="center"/>
                </w:tcPr>
                <w:p w14:paraId="63ED195A">
                  <w:pPr>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NH</w:t>
                  </w:r>
                  <w:r>
                    <w:rPr>
                      <w:rFonts w:hint="eastAsia" w:ascii="Times New Roman" w:hAnsi="Times New Roman" w:cs="Times New Roman"/>
                      <w:b w:val="0"/>
                      <w:bCs w:val="0"/>
                      <w:color w:val="000000" w:themeColor="text1"/>
                      <w:highlight w:val="none"/>
                      <w:u w:val="none"/>
                      <w:vertAlign w:val="subscript"/>
                      <w:lang w:val="en-US" w:eastAsia="zh-CN"/>
                      <w14:textFill>
                        <w14:solidFill>
                          <w14:schemeClr w14:val="tx1"/>
                        </w14:solidFill>
                      </w14:textFill>
                    </w:rPr>
                    <w:t>3</w:t>
                  </w: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、H</w:t>
                  </w:r>
                  <w:r>
                    <w:rPr>
                      <w:rFonts w:hint="eastAsia" w:ascii="Times New Roman" w:hAnsi="Times New Roman" w:cs="Times New Roman"/>
                      <w:b w:val="0"/>
                      <w:bCs w:val="0"/>
                      <w:color w:val="000000" w:themeColor="text1"/>
                      <w:highlight w:val="none"/>
                      <w:u w:val="none"/>
                      <w:vertAlign w:val="subscript"/>
                      <w:lang w:val="en-US" w:eastAsia="zh-CN"/>
                      <w14:textFill>
                        <w14:solidFill>
                          <w14:schemeClr w14:val="tx1"/>
                        </w14:solidFill>
                      </w14:textFill>
                    </w:rPr>
                    <w:t>2</w:t>
                  </w: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S</w:t>
                  </w:r>
                </w:p>
              </w:tc>
              <w:tc>
                <w:tcPr>
                  <w:tcW w:w="1065" w:type="dxa"/>
                  <w:vMerge w:val="restart"/>
                  <w:noWrap w:val="0"/>
                  <w:vAlign w:val="center"/>
                </w:tcPr>
                <w:p w14:paraId="284DE9C8">
                  <w:pPr>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每年1次</w:t>
                  </w:r>
                </w:p>
              </w:tc>
              <w:tc>
                <w:tcPr>
                  <w:tcW w:w="2980" w:type="dxa"/>
                  <w:noWrap w:val="0"/>
                  <w:vAlign w:val="center"/>
                </w:tcPr>
                <w:p w14:paraId="27168DD4">
                  <w:pPr>
                    <w:ind w:left="-105" w:leftChars="-50" w:right="-105" w:rightChars="-50"/>
                    <w:jc w:val="center"/>
                    <w:rPr>
                      <w:rFonts w:hint="default" w:ascii="Times New Roman" w:hAnsi="Times New Roman" w:cs="Times New Roman"/>
                      <w:b w:val="0"/>
                      <w:bCs w:val="0"/>
                      <w:color w:val="000000" w:themeColor="text1"/>
                      <w:highlight w:val="none"/>
                      <w:u w:val="none"/>
                      <w:lang w:val="en-US"/>
                      <w14:textFill>
                        <w14:solidFill>
                          <w14:schemeClr w14:val="tx1"/>
                        </w14:solidFill>
                      </w14:textFill>
                    </w:rPr>
                  </w:pPr>
                  <w: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t>《</w:t>
                  </w: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恶臭污染物排放标准</w:t>
                  </w:r>
                  <w: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t>》（GB</w:t>
                  </w: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14554-93</w:t>
                  </w:r>
                  <w: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t>）</w:t>
                  </w: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表2标准</w:t>
                  </w:r>
                </w:p>
              </w:tc>
            </w:tr>
            <w:tr w14:paraId="4FFFD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3" w:type="dxa"/>
                  <w:vMerge w:val="continue"/>
                  <w:noWrap w:val="0"/>
                  <w:vAlign w:val="center"/>
                </w:tcPr>
                <w:p w14:paraId="56C0F5B7">
                  <w:pPr>
                    <w:jc w:val="center"/>
                    <w:rPr>
                      <w:rFonts w:hint="default" w:ascii="Times New Roman" w:hAnsi="Times New Roman" w:cs="Times New Roman"/>
                      <w:b w:val="0"/>
                      <w:bCs w:val="0"/>
                      <w:color w:val="000000" w:themeColor="text1"/>
                      <w:highlight w:val="none"/>
                      <w:u w:val="none"/>
                      <w14:textFill>
                        <w14:solidFill>
                          <w14:schemeClr w14:val="tx1"/>
                        </w14:solidFill>
                      </w14:textFill>
                    </w:rPr>
                  </w:pPr>
                </w:p>
              </w:tc>
              <w:tc>
                <w:tcPr>
                  <w:tcW w:w="2125" w:type="dxa"/>
                  <w:noWrap w:val="0"/>
                  <w:vAlign w:val="center"/>
                </w:tcPr>
                <w:p w14:paraId="6D83EDEB">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院区边界</w:t>
                  </w: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上风向一个点、下风向三个点</w:t>
                  </w:r>
                </w:p>
              </w:tc>
              <w:tc>
                <w:tcPr>
                  <w:tcW w:w="1170" w:type="dxa"/>
                  <w:noWrap w:val="0"/>
                  <w:vAlign w:val="center"/>
                </w:tcPr>
                <w:p w14:paraId="4FF42F68">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NH</w:t>
                  </w:r>
                  <w:r>
                    <w:rPr>
                      <w:rFonts w:hint="eastAsia" w:ascii="Times New Roman" w:hAnsi="Times New Roman" w:cs="Times New Roman"/>
                      <w:b w:val="0"/>
                      <w:bCs w:val="0"/>
                      <w:color w:val="000000" w:themeColor="text1"/>
                      <w:sz w:val="21"/>
                      <w:szCs w:val="21"/>
                      <w:highlight w:val="none"/>
                      <w:u w:val="none"/>
                      <w:vertAlign w:val="subscript"/>
                      <w:lang w:val="en-US" w:eastAsia="zh-CN"/>
                      <w14:textFill>
                        <w14:solidFill>
                          <w14:schemeClr w14:val="tx1"/>
                        </w14:solidFill>
                      </w14:textFill>
                    </w:rPr>
                    <w:t>3</w:t>
                  </w: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、H</w:t>
                  </w:r>
                  <w:r>
                    <w:rPr>
                      <w:rFonts w:hint="eastAsia" w:ascii="Times New Roman" w:hAnsi="Times New Roman" w:cs="Times New Roman"/>
                      <w:b w:val="0"/>
                      <w:bCs w:val="0"/>
                      <w:color w:val="000000" w:themeColor="text1"/>
                      <w:sz w:val="21"/>
                      <w:szCs w:val="21"/>
                      <w:highlight w:val="none"/>
                      <w:u w:val="none"/>
                      <w:vertAlign w:val="subscript"/>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S、</w:t>
                  </w:r>
                  <w:r>
                    <w:rPr>
                      <w:rFonts w:hint="eastAsia"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臭气浓度</w:t>
                  </w:r>
                </w:p>
              </w:tc>
              <w:tc>
                <w:tcPr>
                  <w:tcW w:w="1065" w:type="dxa"/>
                  <w:vMerge w:val="continue"/>
                  <w:noWrap w:val="0"/>
                  <w:vAlign w:val="center"/>
                </w:tcPr>
                <w:p w14:paraId="7BFBD19B">
                  <w:pPr>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p>
              </w:tc>
              <w:tc>
                <w:tcPr>
                  <w:tcW w:w="2980" w:type="dxa"/>
                  <w:noWrap w:val="0"/>
                  <w:vAlign w:val="center"/>
                </w:tcPr>
                <w:p w14:paraId="6989998B">
                  <w:pPr>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t>《医疗机构水污染物排放标准》（GB18466-2005）表3</w:t>
                  </w: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标准</w:t>
                  </w:r>
                </w:p>
              </w:tc>
            </w:tr>
          </w:tbl>
          <w:p w14:paraId="38A580FF">
            <w:pPr>
              <w:keepNext/>
              <w:keepLines/>
              <w:pageBreakBefore w:val="0"/>
              <w:widowControl w:val="0"/>
              <w:kinsoku/>
              <w:wordWrap/>
              <w:overflowPunct/>
              <w:topLinePunct w:val="0"/>
              <w:autoSpaceDE/>
              <w:autoSpaceDN/>
              <w:bidi w:val="0"/>
              <w:adjustRightInd/>
              <w:snapToGrid/>
              <w:spacing w:before="157" w:beforeLines="50" w:line="420" w:lineRule="auto"/>
              <w:ind w:firstLine="482" w:firstLineChars="200"/>
              <w:textAlignment w:val="auto"/>
              <w:outlineLvl w:val="1"/>
              <w:rPr>
                <w:rFonts w:hint="default" w:ascii="Times New Roman" w:hAnsi="Times New Roman"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t>3、措施可行性及达标分析</w:t>
            </w:r>
          </w:p>
          <w:p w14:paraId="2610EA31">
            <w:pPr>
              <w:pStyle w:val="20"/>
              <w:keepNext w:val="0"/>
              <w:keepLines w:val="0"/>
              <w:pageBreakBefore w:val="0"/>
              <w:widowControl w:val="0"/>
              <w:kinsoku/>
              <w:wordWrap/>
              <w:overflowPunct/>
              <w:topLinePunct w:val="0"/>
              <w:autoSpaceDE/>
              <w:autoSpaceDN/>
              <w:bidi w:val="0"/>
              <w:adjustRightInd/>
              <w:snapToGrid/>
              <w:spacing w:line="420" w:lineRule="auto"/>
              <w:ind w:firstLine="482"/>
              <w:textAlignment w:val="auto"/>
              <w:rPr>
                <w:rFonts w:hint="default" w:ascii="Times New Roman" w:hAnsi="Times New Roman" w:cs="Times New Roman"/>
                <w:bCs/>
                <w:iCs/>
                <w:color w:val="000000" w:themeColor="text1"/>
                <w:sz w:val="24"/>
                <w:highlight w:val="none"/>
                <w:lang w:val="en-US" w:eastAsia="zh-CN"/>
                <w14:textFill>
                  <w14:solidFill>
                    <w14:schemeClr w14:val="tx1"/>
                  </w14:solidFill>
                </w14:textFill>
              </w:rPr>
            </w:pPr>
            <w:r>
              <w:rPr>
                <w:rFonts w:hint="eastAsia" w:ascii="Times New Roman" w:hAnsi="Times New Roman" w:cs="Times New Roman"/>
                <w:bCs/>
                <w:iCs/>
                <w:color w:val="000000" w:themeColor="text1"/>
                <w:sz w:val="24"/>
                <w:highlight w:val="none"/>
                <w:lang w:val="en-US" w:eastAsia="zh-CN"/>
                <w14:textFill>
                  <w14:solidFill>
                    <w14:schemeClr w14:val="tx1"/>
                  </w14:solidFill>
                </w14:textFill>
              </w:rPr>
              <w:t>（1）措施可行性</w:t>
            </w:r>
          </w:p>
          <w:p w14:paraId="28FB5E71">
            <w:pPr>
              <w:keepNext/>
              <w:keepLines/>
              <w:spacing w:line="420" w:lineRule="auto"/>
              <w:ind w:firstLine="480" w:firstLineChars="200"/>
              <w:outlineLvl w:val="1"/>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参考《排污许可证申请与核发技术规范 医疗机构》（HJ 1105-2020），扩建项目污水处理站恶臭气体采取紫外线消毒+活性炭吸附进行处理，属于可行技术。</w:t>
            </w:r>
          </w:p>
          <w:p w14:paraId="5C8760FE">
            <w:pPr>
              <w:pStyle w:val="2"/>
              <w:keepNext w:val="0"/>
              <w:keepLines w:val="0"/>
              <w:pageBreakBefore w:val="0"/>
              <w:widowControl w:val="0"/>
              <w:kinsoku/>
              <w:wordWrap/>
              <w:overflowPunct/>
              <w:topLinePunct w:val="0"/>
              <w:autoSpaceDE/>
              <w:autoSpaceDN/>
              <w:bidi w:val="0"/>
              <w:adjustRightInd/>
              <w:snapToGrid w:val="0"/>
              <w:ind w:left="0" w:right="0" w:firstLine="510"/>
              <w:textAlignment w:val="auto"/>
              <w:rPr>
                <w:rFonts w:hint="default"/>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紫外线消毒：</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紫外线杀菌消毒是利用适当波长的紫外线能够破坏微生物机体细胞中的DNA（脱氧核糖核酸）或RNA（核糖核酸）的分子结构，造成生长性细胞死亡和（或）再生性细胞死亡，达到杀菌消毒的效果。紫外线对核酸的作用可导致键和链的断裂、股间交联和形成光化产物等，从而改变了DNA的</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fldChar w:fldCharType="begin"/>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instrText xml:space="preserve"> HYPERLINK "https://baike.baidu.com/item/%E7%94%9F%E7%89%A9%E6%B4%BB%E6%80%A7/5773318" \t "https://baike.baidu.com/item/%E7%B4%AB%E5%A4%96%E7%BA%BF%E6%B6%88%E6%AF%92/_blank" </w:instrTex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fldChar w:fldCharType="separate"/>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生物活性</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fldChar w:fldCharType="end"/>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，使微生物自身不能复制，这种紫外线损伤也是致死性损伤。</w:t>
            </w:r>
          </w:p>
          <w:p w14:paraId="182B4CA3">
            <w:pPr>
              <w:pStyle w:val="20"/>
              <w:keepNext w:val="0"/>
              <w:keepLines w:val="0"/>
              <w:pageBreakBefore w:val="0"/>
              <w:widowControl w:val="0"/>
              <w:kinsoku/>
              <w:wordWrap/>
              <w:overflowPunct/>
              <w:topLinePunct w:val="0"/>
              <w:autoSpaceDE/>
              <w:autoSpaceDN/>
              <w:bidi w:val="0"/>
              <w:adjustRightInd/>
              <w:snapToGrid/>
              <w:spacing w:line="420" w:lineRule="auto"/>
              <w:ind w:firstLine="482"/>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活性炭吸附：</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活性炭吸附法利用活性炭具有的吸附能力吸附有害成分而达到消除有害污染的目的。吸附法的优点在于去除效率高、能耗低、工艺成熟、脱附后溶剂可回收。缺点在于设备庞大，流程复杂，投资后运行费用较高且有二次污染产生，当废气中有胶粒物质或其他杂质时，吸附剂易中毒。吸附法其吸附效果主要取决于吸附剂性质、气相污染物种和吸附系统工艺条件（如操作温度、湿度等因素），因而吸附法的关键问题在于对吸附剂的选择。吸附剂要具有密集的细孔结构，内表面积大，吸附性能好，化学性质稳定，耐酸碱、耐水、耐高温高压，不宜破碎，对空气阻力小。活性炭材料中有大量肉眼看不见的微孔，1g活性炭材料中微孔的总内表面积可达700~2300m</w:t>
            </w:r>
            <w:r>
              <w:rPr>
                <w:rFonts w:hint="eastAsia" w:ascii="Times New Roman" w:hAnsi="Times New Roman"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。正是这些微孔使得活性炭能“捕捉”各种有毒有害污染物和其他杂质。由于气相分子和吸附表面分子之间的吸引力，使气相分子吸附在吸附剂表面。建议项目采用蜂窝状活性炭，比表面积900~1500m</w:t>
            </w:r>
            <w:r>
              <w:rPr>
                <w:rFonts w:hint="eastAsia" w:ascii="Times New Roman" w:hAnsi="Times New Roman"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/g，具有良好的吸附特性，其吸附量比活性炭颗粒一般大20~100倍，吸附容量为25%。</w:t>
            </w:r>
          </w:p>
          <w:p w14:paraId="57D1FCD5">
            <w:pPr>
              <w:pStyle w:val="20"/>
              <w:keepNext w:val="0"/>
              <w:keepLines w:val="0"/>
              <w:pageBreakBefore w:val="0"/>
              <w:widowControl w:val="0"/>
              <w:numPr>
                <w:ilvl w:val="0"/>
                <w:numId w:val="7"/>
              </w:numPr>
              <w:kinsoku/>
              <w:wordWrap/>
              <w:overflowPunct/>
              <w:topLinePunct w:val="0"/>
              <w:autoSpaceDE/>
              <w:autoSpaceDN/>
              <w:bidi w:val="0"/>
              <w:adjustRightInd/>
              <w:snapToGrid/>
              <w:spacing w:line="420" w:lineRule="auto"/>
              <w:ind w:firstLine="482"/>
              <w:textAlignment w:val="auto"/>
              <w:rPr>
                <w:rFonts w:hint="eastAsia" w:ascii="Times New Roman" w:hAnsi="Times New Roman" w:cs="Times New Roman"/>
                <w:bCs/>
                <w:iCs/>
                <w:color w:val="000000" w:themeColor="text1"/>
                <w:sz w:val="24"/>
                <w:highlight w:val="none"/>
                <w:lang w:val="en-US" w:eastAsia="zh-CN"/>
                <w14:textFill>
                  <w14:solidFill>
                    <w14:schemeClr w14:val="tx1"/>
                  </w14:solidFill>
                </w14:textFill>
              </w:rPr>
            </w:pPr>
            <w:r>
              <w:rPr>
                <w:rFonts w:hint="eastAsia" w:ascii="Times New Roman" w:hAnsi="Times New Roman" w:cs="Times New Roman"/>
                <w:bCs/>
                <w:iCs/>
                <w:color w:val="000000" w:themeColor="text1"/>
                <w:sz w:val="24"/>
                <w:highlight w:val="none"/>
                <w:lang w:val="en-US" w:eastAsia="zh-CN"/>
                <w14:textFill>
                  <w14:solidFill>
                    <w14:schemeClr w14:val="tx1"/>
                  </w14:solidFill>
                </w14:textFill>
              </w:rPr>
              <w:t>达标分析</w:t>
            </w:r>
          </w:p>
          <w:p w14:paraId="152F5807">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综上所述，</w:t>
            </w:r>
            <w:r>
              <w:rPr>
                <w:rFonts w:hint="default" w:ascii="Times New Roman" w:hAnsi="Times New Roman" w:cs="Times New Roman"/>
                <w:color w:val="000000" w:themeColor="text1"/>
                <w:sz w:val="24"/>
                <w:szCs w:val="24"/>
                <w:highlight w:val="none"/>
                <w14:textFill>
                  <w14:solidFill>
                    <w14:schemeClr w14:val="tx1"/>
                  </w14:solidFill>
                </w14:textFill>
              </w:rPr>
              <w:t>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污水处理站恶臭气体经1套紫外线消毒+活性炭吸附处理后引至感染病楼房顶（20m）排放</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DA001</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满足《恶臭污染物排放标准》（GB14554-93）</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表2</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标准限值</w:t>
            </w:r>
            <w:r>
              <w:rPr>
                <w:rFonts w:hint="default" w:ascii="Times New Roman" w:hAnsi="Times New Roman" w:cs="Times New Roman"/>
                <w:color w:val="000000" w:themeColor="text1"/>
                <w:sz w:val="24"/>
                <w:szCs w:val="24"/>
                <w:highlight w:val="none"/>
                <w14:textFill>
                  <w14:solidFill>
                    <w14:schemeClr w14:val="tx1"/>
                  </w14:solidFill>
                </w14:textFill>
              </w:rPr>
              <w:t>。</w:t>
            </w:r>
          </w:p>
          <w:p w14:paraId="42B73C23">
            <w:pPr>
              <w:pStyle w:val="20"/>
              <w:spacing w:line="360" w:lineRule="auto"/>
              <w:ind w:firstLine="480"/>
              <w:rPr>
                <w:rFonts w:hint="default"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24"/>
                <w:szCs w:val="24"/>
                <w:highlight w:val="none"/>
                <w:lang w:val="en-US" w:eastAsia="zh-CN" w:bidi="ar-SA"/>
                <w14:textFill>
                  <w14:solidFill>
                    <w14:schemeClr w14:val="tx1"/>
                  </w14:solidFill>
                </w14:textFill>
              </w:rPr>
              <w:t>5、</w:t>
            </w:r>
            <w:r>
              <w:rPr>
                <w:rFonts w:hint="eastAsia"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t>大气环境影响分析结论</w:t>
            </w:r>
          </w:p>
          <w:p w14:paraId="6E1C6DC1">
            <w:pPr>
              <w:keepNext w:val="0"/>
              <w:keepLines w:val="0"/>
              <w:pageBreakBefore w:val="0"/>
              <w:widowControl w:val="0"/>
              <w:kinsoku/>
              <w:wordWrap/>
              <w:overflowPunct/>
              <w:topLinePunct w:val="0"/>
              <w:autoSpaceDE/>
              <w:autoSpaceDN/>
              <w:bidi w:val="0"/>
              <w:adjustRightInd/>
              <w:snapToGrid/>
              <w:spacing w:before="157" w:beforeLines="50" w:line="420" w:lineRule="auto"/>
              <w:ind w:firstLine="480" w:firstLineChars="200"/>
              <w:textAlignment w:val="auto"/>
              <w:rPr>
                <w:rFonts w:hint="eastAsia" w:ascii="Times New Roman" w:hAnsi="Times New Roman" w:cs="Times New Roman"/>
                <w:b w:val="0"/>
                <w:bCs w:val="0"/>
                <w:color w:val="000000" w:themeColor="text1"/>
                <w:sz w:val="24"/>
                <w:szCs w:val="24"/>
                <w:highlight w:val="none"/>
                <w:u w:val="none"/>
                <w:lang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扩建项目营运期产生的废气采取相应的措施后，各类废气污染物均能达标排放，对周边大气环境影响较小。</w:t>
            </w:r>
          </w:p>
          <w:p w14:paraId="29E5F2E5">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b/>
                <w:bCs/>
                <w:color w:val="000000" w:themeColor="text1"/>
                <w:sz w:val="24"/>
                <w:szCs w:val="24"/>
                <w:highlight w:val="none"/>
                <w:lang w:eastAsia="zh-CN"/>
                <w14:textFill>
                  <w14:solidFill>
                    <w14:schemeClr w14:val="tx1"/>
                  </w14:solidFill>
                </w14:textFill>
              </w:rPr>
            </w:pPr>
            <w:r>
              <w:rPr>
                <w:rFonts w:hint="default"/>
                <w:b/>
                <w:bCs/>
                <w:color w:val="000000" w:themeColor="text1"/>
                <w:sz w:val="24"/>
                <w:szCs w:val="24"/>
                <w:highlight w:val="none"/>
                <w14:textFill>
                  <w14:solidFill>
                    <w14:schemeClr w14:val="tx1"/>
                  </w14:solidFill>
                </w14:textFill>
              </w:rPr>
              <w:t>二、水环境影响分析</w:t>
            </w:r>
          </w:p>
          <w:p w14:paraId="29574547">
            <w:pPr>
              <w:keepNext w:val="0"/>
              <w:keepLines w:val="0"/>
              <w:pageBreakBefore w:val="0"/>
              <w:widowControl w:val="0"/>
              <w:numPr>
                <w:ilvl w:val="0"/>
                <w:numId w:val="0"/>
              </w:numPr>
              <w:kinsoku/>
              <w:wordWrap/>
              <w:overflowPunct/>
              <w:topLinePunct w:val="0"/>
              <w:autoSpaceDE w:val="0"/>
              <w:autoSpaceDN w:val="0"/>
              <w:bidi w:val="0"/>
              <w:adjustRightInd/>
              <w:snapToGrid w:val="0"/>
              <w:spacing w:line="420" w:lineRule="auto"/>
              <w:ind w:firstLine="480" w:firstLineChars="200"/>
              <w:textAlignment w:val="auto"/>
              <w:rPr>
                <w:rFonts w:hint="default"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4"/>
                <w:szCs w:val="22"/>
                <w:highlight w:val="none"/>
                <w:u w:val="none"/>
                <w:lang w:eastAsia="zh-CN"/>
                <w14:textFill>
                  <w14:solidFill>
                    <w14:schemeClr w14:val="tx1"/>
                  </w14:solidFill>
                </w14:textFill>
              </w:rPr>
              <w:t>（</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1</w:t>
            </w:r>
            <w:r>
              <w:rPr>
                <w:rFonts w:hint="eastAsia" w:ascii="Times New Roman" w:hAnsi="Times New Roman" w:cs="Times New Roman"/>
                <w:b w:val="0"/>
                <w:bCs w:val="0"/>
                <w:color w:val="000000" w:themeColor="text1"/>
                <w:kern w:val="0"/>
                <w:sz w:val="24"/>
                <w:szCs w:val="22"/>
                <w:highlight w:val="none"/>
                <w:u w:val="none"/>
                <w:lang w:eastAsia="zh-CN"/>
                <w14:textFill>
                  <w14:solidFill>
                    <w14:schemeClr w14:val="tx1"/>
                  </w14:solidFill>
                </w14:textFill>
              </w:rPr>
              <w:t>）</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废水源强</w:t>
            </w:r>
          </w:p>
          <w:p w14:paraId="33CC22F2">
            <w:pPr>
              <w:keepNext w:val="0"/>
              <w:keepLines w:val="0"/>
              <w:pageBreakBefore w:val="0"/>
              <w:widowControl w:val="0"/>
              <w:numPr>
                <w:ilvl w:val="0"/>
                <w:numId w:val="0"/>
              </w:numPr>
              <w:kinsoku/>
              <w:wordWrap/>
              <w:overflowPunct/>
              <w:topLinePunct w:val="0"/>
              <w:autoSpaceDE w:val="0"/>
              <w:autoSpaceDN w:val="0"/>
              <w:bidi w:val="0"/>
              <w:adjustRightInd/>
              <w:snapToGrid w:val="0"/>
              <w:spacing w:line="420" w:lineRule="auto"/>
              <w:ind w:firstLine="480" w:firstLineChars="200"/>
              <w:textAlignment w:val="auto"/>
              <w:rPr>
                <w:rFonts w:hint="default" w:ascii="Times New Roman" w:hAnsi="Times New Roman" w:eastAsia="宋体" w:cs="Times New Roman"/>
                <w:b w:val="0"/>
                <w:bCs w:val="0"/>
                <w:color w:val="000000" w:themeColor="text1"/>
                <w:kern w:val="0"/>
                <w:sz w:val="24"/>
                <w:szCs w:val="22"/>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扩建</w:t>
            </w:r>
            <w:r>
              <w:rPr>
                <w:rFonts w:hint="default" w:ascii="Times New Roman" w:hAnsi="Times New Roman" w:cs="Times New Roman"/>
                <w:b w:val="0"/>
                <w:bCs w:val="0"/>
                <w:color w:val="000000" w:themeColor="text1"/>
                <w:kern w:val="0"/>
                <w:sz w:val="24"/>
                <w:szCs w:val="22"/>
                <w:highlight w:val="none"/>
                <w:u w:val="none"/>
                <w:lang w:eastAsia="zh-CN"/>
                <w14:textFill>
                  <w14:solidFill>
                    <w14:schemeClr w14:val="tx1"/>
                  </w14:solidFill>
                </w14:textFill>
              </w:rPr>
              <w:t>项目</w:t>
            </w:r>
            <w:r>
              <w:rPr>
                <w:rFonts w:hint="default"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废水主要</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包括门诊医疗废水、化验废水、检验废水、住院病房医疗废水、医务人员医疗废水等</w:t>
            </w:r>
            <w:r>
              <w:rPr>
                <w:rFonts w:hint="eastAsia" w:ascii="Times New Roman" w:hAnsi="Times New Roman" w:cs="Times New Roman"/>
                <w:b w:val="0"/>
                <w:bCs w:val="0"/>
                <w:color w:val="000000" w:themeColor="text1"/>
                <w:kern w:val="0"/>
                <w:sz w:val="24"/>
                <w:szCs w:val="22"/>
                <w:highlight w:val="none"/>
                <w:u w:val="none"/>
                <w:lang w:eastAsia="zh-CN"/>
                <w14:textFill>
                  <w14:solidFill>
                    <w14:schemeClr w14:val="tx1"/>
                  </w14:solidFill>
                </w14:textFill>
              </w:rPr>
              <w:t>，</w:t>
            </w:r>
            <w:r>
              <w:rPr>
                <w:rFonts w:hint="eastAsia" w:ascii="Times New Roman" w:hAnsi="Times New Roman" w:cs="Times New Roman"/>
                <w:b w:val="0"/>
                <w:bCs w:val="0"/>
                <w:color w:val="000000" w:themeColor="text1"/>
                <w:kern w:val="0"/>
                <w:sz w:val="24"/>
                <w:szCs w:val="22"/>
                <w:highlight w:val="none"/>
                <w:u w:val="none"/>
                <w:lang w:val="en-US" w:eastAsia="zh-CN"/>
                <w14:textFill>
                  <w14:solidFill>
                    <w14:schemeClr w14:val="tx1"/>
                  </w14:solidFill>
                </w14:textFill>
              </w:rPr>
              <w:t>产生情况见下表。</w:t>
            </w:r>
          </w:p>
          <w:p w14:paraId="612AAB65">
            <w:pPr>
              <w:pStyle w:val="104"/>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textAlignment w:val="auto"/>
              <w:rPr>
                <w:rFonts w:hint="default"/>
                <w:b w:val="0"/>
                <w:bCs w:val="0"/>
                <w:color w:val="000000" w:themeColor="text1"/>
                <w:highlight w:val="none"/>
                <w:u w:val="none"/>
                <w:lang w:val="en-US" w:eastAsia="zh-CN"/>
                <w14:textFill>
                  <w14:solidFill>
                    <w14:schemeClr w14:val="tx1"/>
                  </w14:solidFill>
                </w14:textFill>
              </w:rPr>
            </w:pPr>
            <w:r>
              <w:rPr>
                <w:rFonts w:hint="eastAsia"/>
                <w:b w:val="0"/>
                <w:bCs w:val="0"/>
                <w:color w:val="000000" w:themeColor="text1"/>
                <w:highlight w:val="none"/>
                <w:u w:val="none"/>
                <w:lang w:val="en-US" w:eastAsia="zh-CN"/>
                <w14:textFill>
                  <w14:solidFill>
                    <w14:schemeClr w14:val="tx1"/>
                  </w14:solidFill>
                </w14:textFill>
              </w:rPr>
              <w:t xml:space="preserve">  废水产生情况一览表</w:t>
            </w:r>
          </w:p>
          <w:tbl>
            <w:tblPr>
              <w:tblStyle w:val="35"/>
              <w:tblW w:w="80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1020"/>
              <w:gridCol w:w="2790"/>
              <w:gridCol w:w="2110"/>
            </w:tblGrid>
            <w:tr w14:paraId="1BD22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3" w:type="dxa"/>
                  <w:tcBorders>
                    <w:tl2br w:val="nil"/>
                    <w:tr2bl w:val="nil"/>
                  </w:tcBorders>
                  <w:vAlign w:val="center"/>
                </w:tcPr>
                <w:p w14:paraId="07A8C9A1">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废水</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种类</w:t>
                  </w:r>
                </w:p>
              </w:tc>
              <w:tc>
                <w:tcPr>
                  <w:tcW w:w="1020" w:type="dxa"/>
                  <w:tcBorders>
                    <w:tl2br w:val="nil"/>
                    <w:tr2bl w:val="nil"/>
                  </w:tcBorders>
                  <w:vAlign w:val="center"/>
                </w:tcPr>
                <w:p w14:paraId="38E921DC">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产生量（</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w:t>
                  </w:r>
                </w:p>
              </w:tc>
              <w:tc>
                <w:tcPr>
                  <w:tcW w:w="2790" w:type="dxa"/>
                  <w:tcBorders>
                    <w:tl2br w:val="nil"/>
                    <w:tr2bl w:val="nil"/>
                  </w:tcBorders>
                  <w:vAlign w:val="center"/>
                </w:tcPr>
                <w:p w14:paraId="06F232CC">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主要污染物</w:t>
                  </w:r>
                </w:p>
              </w:tc>
              <w:tc>
                <w:tcPr>
                  <w:tcW w:w="2110" w:type="dxa"/>
                  <w:tcBorders>
                    <w:tl2br w:val="nil"/>
                    <w:tr2bl w:val="nil"/>
                  </w:tcBorders>
                  <w:vAlign w:val="center"/>
                </w:tcPr>
                <w:p w14:paraId="666CA9AD">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治理措施</w:t>
                  </w:r>
                </w:p>
              </w:tc>
            </w:tr>
            <w:tr w14:paraId="51211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3" w:type="dxa"/>
                  <w:tcBorders>
                    <w:tl2br w:val="nil"/>
                    <w:tr2bl w:val="nil"/>
                  </w:tcBorders>
                  <w:vAlign w:val="center"/>
                </w:tcPr>
                <w:p w14:paraId="37F8643F">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u w:val="none"/>
                      <w:lang w:val="en-US" w:eastAsia="zh-CN"/>
                      <w14:textFill>
                        <w14:solidFill>
                          <w14:schemeClr w14:val="tx1"/>
                        </w14:solidFill>
                      </w14:textFill>
                    </w:rPr>
                    <w:t>急诊医疗废水</w:t>
                  </w:r>
                </w:p>
              </w:tc>
              <w:tc>
                <w:tcPr>
                  <w:tcW w:w="1020" w:type="dxa"/>
                  <w:tcBorders>
                    <w:tl2br w:val="nil"/>
                    <w:tr2bl w:val="nil"/>
                  </w:tcBorders>
                  <w:vAlign w:val="center"/>
                </w:tcPr>
                <w:p w14:paraId="6AA026A4">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0.9</w:t>
                  </w:r>
                </w:p>
              </w:tc>
              <w:tc>
                <w:tcPr>
                  <w:tcW w:w="2790" w:type="dxa"/>
                  <w:vMerge w:val="restart"/>
                  <w:tcBorders>
                    <w:tl2br w:val="nil"/>
                    <w:tr2bl w:val="nil"/>
                  </w:tcBorders>
                  <w:vAlign w:val="center"/>
                </w:tcPr>
                <w:p w14:paraId="727FE063">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lang w:val="en-US" w:eastAsia="zh-CN"/>
                      <w14:textFill>
                        <w14:solidFill>
                          <w14:schemeClr w14:val="tx1"/>
                        </w14:solidFill>
                      </w14:textFill>
                    </w:rPr>
                    <w:t>COD、BOD</w:t>
                  </w:r>
                  <w:r>
                    <w:rPr>
                      <w:rFonts w:hint="eastAsia" w:ascii="Times New Roman" w:hAnsi="Times New Roman" w:cs="Times New Roman"/>
                      <w:b w:val="0"/>
                      <w:bCs/>
                      <w:color w:val="000000" w:themeColor="text1"/>
                      <w:sz w:val="21"/>
                      <w:szCs w:val="21"/>
                      <w:highlight w:val="none"/>
                      <w:u w:val="none"/>
                      <w:vertAlign w:val="subscript"/>
                      <w:lang w:val="en-US" w:eastAsia="zh-CN"/>
                      <w14:textFill>
                        <w14:solidFill>
                          <w14:schemeClr w14:val="tx1"/>
                        </w14:solidFill>
                      </w14:textFill>
                    </w:rPr>
                    <w:t>5</w:t>
                  </w:r>
                  <w:r>
                    <w:rPr>
                      <w:rFonts w:hint="default" w:ascii="Times New Roman" w:hAnsi="Times New Roman" w:cs="Times New Roman"/>
                      <w:b w:val="0"/>
                      <w:bCs/>
                      <w:color w:val="000000" w:themeColor="text1"/>
                      <w:sz w:val="21"/>
                      <w:szCs w:val="21"/>
                      <w:highlight w:val="none"/>
                      <w:u w:val="none"/>
                      <w:lang w:val="en-US" w:eastAsia="zh-CN"/>
                      <w14:textFill>
                        <w14:solidFill>
                          <w14:schemeClr w14:val="tx1"/>
                        </w14:solidFill>
                      </w14:textFill>
                    </w:rPr>
                    <w:t>、NH</w:t>
                  </w:r>
                  <w:r>
                    <w:rPr>
                      <w:rFonts w:hint="default" w:ascii="Times New Roman" w:hAnsi="Times New Roman" w:cs="Times New Roman"/>
                      <w:b w:val="0"/>
                      <w:bCs/>
                      <w:color w:val="000000" w:themeColor="text1"/>
                      <w:sz w:val="21"/>
                      <w:szCs w:val="21"/>
                      <w:highlight w:val="none"/>
                      <w:u w:val="none"/>
                      <w:vertAlign w:val="subscript"/>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highlight w:val="none"/>
                      <w:u w:val="none"/>
                      <w:lang w:val="en-US" w:eastAsia="zh-CN"/>
                      <w14:textFill>
                        <w14:solidFill>
                          <w14:schemeClr w14:val="tx1"/>
                        </w14:solidFill>
                      </w14:textFill>
                    </w:rPr>
                    <w:t>-N、SS、粪大肠菌群数</w:t>
                  </w:r>
                </w:p>
              </w:tc>
              <w:tc>
                <w:tcPr>
                  <w:tcW w:w="2110" w:type="dxa"/>
                  <w:vMerge w:val="restart"/>
                  <w:tcBorders>
                    <w:tl2br w:val="nil"/>
                    <w:tr2bl w:val="nil"/>
                  </w:tcBorders>
                  <w:vAlign w:val="center"/>
                </w:tcPr>
                <w:p w14:paraId="7AFD788D">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进入污水处理站采用“预消毒+AO生物接触氧化法+消毒工艺”处理</w:t>
                  </w:r>
                </w:p>
              </w:tc>
            </w:tr>
            <w:tr w14:paraId="2F669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3" w:type="dxa"/>
                  <w:tcBorders>
                    <w:tl2br w:val="nil"/>
                    <w:tr2bl w:val="nil"/>
                  </w:tcBorders>
                  <w:vAlign w:val="center"/>
                </w:tcPr>
                <w:p w14:paraId="3442533B">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化验废水、检验废水</w:t>
                  </w:r>
                </w:p>
              </w:tc>
              <w:tc>
                <w:tcPr>
                  <w:tcW w:w="1020" w:type="dxa"/>
                  <w:tcBorders>
                    <w:tl2br w:val="nil"/>
                    <w:tr2bl w:val="nil"/>
                  </w:tcBorders>
                  <w:vAlign w:val="center"/>
                </w:tcPr>
                <w:p w14:paraId="1B7BFEAF">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0.09</w:t>
                  </w:r>
                </w:p>
              </w:tc>
              <w:tc>
                <w:tcPr>
                  <w:tcW w:w="2790" w:type="dxa"/>
                  <w:vMerge w:val="continue"/>
                  <w:tcBorders>
                    <w:tl2br w:val="nil"/>
                    <w:tr2bl w:val="nil"/>
                  </w:tcBorders>
                  <w:vAlign w:val="center"/>
                </w:tcPr>
                <w:p w14:paraId="346DA7CB">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2110" w:type="dxa"/>
                  <w:vMerge w:val="continue"/>
                  <w:tcBorders>
                    <w:tl2br w:val="nil"/>
                    <w:tr2bl w:val="nil"/>
                  </w:tcBorders>
                  <w:vAlign w:val="center"/>
                </w:tcPr>
                <w:p w14:paraId="345A81AC">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1C710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3" w:type="dxa"/>
                  <w:tcBorders>
                    <w:tl2br w:val="nil"/>
                    <w:tr2bl w:val="nil"/>
                  </w:tcBorders>
                  <w:vAlign w:val="center"/>
                </w:tcPr>
                <w:p w14:paraId="75687A88">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住院病房医疗废水</w:t>
                  </w:r>
                </w:p>
              </w:tc>
              <w:tc>
                <w:tcPr>
                  <w:tcW w:w="1020" w:type="dxa"/>
                  <w:tcBorders>
                    <w:tl2br w:val="nil"/>
                    <w:tr2bl w:val="nil"/>
                  </w:tcBorders>
                  <w:vAlign w:val="center"/>
                </w:tcPr>
                <w:p w14:paraId="65697492">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12.6</w:t>
                  </w:r>
                </w:p>
              </w:tc>
              <w:tc>
                <w:tcPr>
                  <w:tcW w:w="2790" w:type="dxa"/>
                  <w:vMerge w:val="continue"/>
                  <w:tcBorders>
                    <w:tl2br w:val="nil"/>
                    <w:tr2bl w:val="nil"/>
                  </w:tcBorders>
                  <w:vAlign w:val="center"/>
                </w:tcPr>
                <w:p w14:paraId="7B67A441">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p>
              </w:tc>
              <w:tc>
                <w:tcPr>
                  <w:tcW w:w="2110" w:type="dxa"/>
                  <w:vMerge w:val="continue"/>
                  <w:tcBorders>
                    <w:tl2br w:val="nil"/>
                    <w:tr2bl w:val="nil"/>
                  </w:tcBorders>
                  <w:vAlign w:val="center"/>
                </w:tcPr>
                <w:p w14:paraId="7A6FF30B">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16892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3" w:type="dxa"/>
                  <w:tcBorders>
                    <w:tl2br w:val="nil"/>
                    <w:tr2bl w:val="nil"/>
                  </w:tcBorders>
                  <w:vAlign w:val="center"/>
                </w:tcPr>
                <w:p w14:paraId="3F8E7820">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医务人员医疗废水</w:t>
                  </w:r>
                </w:p>
              </w:tc>
              <w:tc>
                <w:tcPr>
                  <w:tcW w:w="1020" w:type="dxa"/>
                  <w:tcBorders>
                    <w:tl2br w:val="nil"/>
                    <w:tr2bl w:val="nil"/>
                  </w:tcBorders>
                  <w:vAlign w:val="center"/>
                </w:tcPr>
                <w:p w14:paraId="2D562817">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5.904</w:t>
                  </w:r>
                </w:p>
              </w:tc>
              <w:tc>
                <w:tcPr>
                  <w:tcW w:w="2790" w:type="dxa"/>
                  <w:vMerge w:val="continue"/>
                  <w:tcBorders>
                    <w:tl2br w:val="nil"/>
                    <w:tr2bl w:val="nil"/>
                  </w:tcBorders>
                  <w:vAlign w:val="center"/>
                </w:tcPr>
                <w:p w14:paraId="04C24922">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pPr>
                </w:p>
              </w:tc>
              <w:tc>
                <w:tcPr>
                  <w:tcW w:w="2110" w:type="dxa"/>
                  <w:vMerge w:val="continue"/>
                  <w:tcBorders>
                    <w:tl2br w:val="nil"/>
                    <w:tr2bl w:val="nil"/>
                  </w:tcBorders>
                  <w:vAlign w:val="center"/>
                </w:tcPr>
                <w:p w14:paraId="5907BA4F">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pPr>
                </w:p>
              </w:tc>
            </w:tr>
            <w:tr w14:paraId="659B9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3" w:type="dxa"/>
                  <w:tcBorders>
                    <w:tl2br w:val="nil"/>
                    <w:tr2bl w:val="nil"/>
                  </w:tcBorders>
                  <w:vAlign w:val="center"/>
                </w:tcPr>
                <w:p w14:paraId="18935779">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合计</w:t>
                  </w:r>
                </w:p>
              </w:tc>
              <w:tc>
                <w:tcPr>
                  <w:tcW w:w="1020" w:type="dxa"/>
                  <w:tcBorders>
                    <w:tl2br w:val="nil"/>
                    <w:tr2bl w:val="nil"/>
                  </w:tcBorders>
                  <w:vAlign w:val="center"/>
                </w:tcPr>
                <w:p w14:paraId="56AC2FCA">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19.494</w:t>
                  </w:r>
                </w:p>
              </w:tc>
              <w:tc>
                <w:tcPr>
                  <w:tcW w:w="2790" w:type="dxa"/>
                  <w:vMerge w:val="continue"/>
                  <w:tcBorders>
                    <w:tl2br w:val="nil"/>
                    <w:tr2bl w:val="nil"/>
                  </w:tcBorders>
                  <w:vAlign w:val="center"/>
                </w:tcPr>
                <w:p w14:paraId="0E22E64B">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110" w:type="dxa"/>
                  <w:vMerge w:val="continue"/>
                  <w:tcBorders>
                    <w:tl2br w:val="nil"/>
                    <w:tr2bl w:val="nil"/>
                  </w:tcBorders>
                  <w:vAlign w:val="center"/>
                </w:tcPr>
                <w:p w14:paraId="7BC282F6">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bl>
          <w:p w14:paraId="4826E2E2">
            <w:pPr>
              <w:pStyle w:val="2"/>
              <w:keepNext w:val="0"/>
              <w:keepLines w:val="0"/>
              <w:pageBreakBefore w:val="0"/>
              <w:widowControl w:val="0"/>
              <w:kinsoku/>
              <w:wordWrap/>
              <w:overflowPunct/>
              <w:topLinePunct w:val="0"/>
              <w:autoSpaceDE/>
              <w:autoSpaceDN/>
              <w:bidi w:val="0"/>
              <w:adjustRightInd/>
              <w:snapToGrid w:val="0"/>
              <w:spacing w:before="157" w:beforeLines="50"/>
              <w:ind w:left="-113" w:right="-510" w:firstLine="51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废水治理措施</w:t>
            </w:r>
            <w:r>
              <w:rPr>
                <w:rFonts w:hint="eastAsia" w:ascii="Times New Roman" w:hAnsi="Times New Roman" w:cs="Times New Roman"/>
                <w:color w:val="000000" w:themeColor="text1"/>
                <w:highlight w:val="none"/>
                <w:lang w:val="en-US" w:eastAsia="zh-CN"/>
                <w14:textFill>
                  <w14:solidFill>
                    <w14:schemeClr w14:val="tx1"/>
                  </w14:solidFill>
                </w14:textFill>
              </w:rPr>
              <w:t>可行性分析</w:t>
            </w:r>
          </w:p>
          <w:p w14:paraId="0FFE52E3">
            <w:pPr>
              <w:keepNext w:val="0"/>
              <w:keepLines w:val="0"/>
              <w:pageBreakBefore w:val="0"/>
              <w:widowControl w:val="0"/>
              <w:numPr>
                <w:ilvl w:val="0"/>
                <w:numId w:val="0"/>
              </w:numPr>
              <w:kinsoku/>
              <w:wordWrap/>
              <w:overflowPunct/>
              <w:topLinePunct w:val="0"/>
              <w:autoSpaceDE w:val="0"/>
              <w:autoSpaceDN w:val="0"/>
              <w:bidi w:val="0"/>
              <w:adjustRightInd/>
              <w:snapToGrid w:val="0"/>
              <w:spacing w:line="420" w:lineRule="auto"/>
              <w:ind w:firstLine="480" w:firstLineChars="200"/>
              <w:textAlignment w:val="auto"/>
              <w:rPr>
                <w:rFonts w:hint="default"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扩建项目拟依托感染病楼房已建污水处理站并进行扩建对项目产生的废水进行处理，</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根据《医院污水处理工程技术规范》（HJ2029-2013)“6.1.2传染病医院污水应在预消毒后采用二级处理+消毒工艺或二级处理+深度处理+消毒工艺”。本</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项目扩建后全院废水含</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传染病医院污水合计产生量</w:t>
            </w:r>
            <w:r>
              <w:rPr>
                <w:rFonts w:hint="eastAsia" w:ascii="Times New Roman" w:hAnsi="Times New Roman" w:cs="Times New Roman"/>
                <w:color w:val="000000" w:themeColor="text1"/>
                <w:sz w:val="24"/>
                <w:highlight w:val="none"/>
                <w:lang w:val="en-US" w:eastAsia="zh-CN"/>
                <w14:textFill>
                  <w14:solidFill>
                    <w14:schemeClr w14:val="tx1"/>
                  </w14:solidFill>
                </w14:textFill>
              </w:rPr>
              <w:t>33590.585m</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highlight w:val="none"/>
                <w:lang w:val="en-US" w:eastAsia="zh-CN"/>
                <w14:textFill>
                  <w14:solidFill>
                    <w14:schemeClr w14:val="tx1"/>
                  </w14:solidFill>
                </w14:textFill>
              </w:rPr>
              <w:t>/a（92.029</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m</w:t>
            </w:r>
            <w:r>
              <w:rPr>
                <w:rFonts w:hint="eastAsia" w:ascii="Times New Roman" w:hAnsi="Times New Roman" w:cs="Times New Roman"/>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/d</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u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污水处理站</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处理规</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模为</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1</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0</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m</w:t>
            </w:r>
            <w:r>
              <w:rPr>
                <w:rFonts w:hint="eastAsia" w:ascii="Times New Roman" w:hAnsi="Times New Roman" w:cs="Times New Roman"/>
                <w:color w:val="000000" w:themeColor="text1"/>
                <w:sz w:val="24"/>
                <w:szCs w:val="24"/>
                <w:highlight w:val="none"/>
                <w:u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/d，采用“预消毒+AO生物接触氧化法+消毒工艺”对项目废水进行处理，满足处理要求</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废水处理系统工艺流程见下图。</w:t>
            </w:r>
          </w:p>
          <w:p w14:paraId="74420F74">
            <w:pPr>
              <w:keepNext w:val="0"/>
              <w:keepLines w:val="0"/>
              <w:pageBreakBefore w:val="0"/>
              <w:widowControl w:val="0"/>
              <w:numPr>
                <w:ilvl w:val="0"/>
                <w:numId w:val="0"/>
              </w:numPr>
              <w:kinsoku/>
              <w:wordWrap/>
              <w:overflowPunct/>
              <w:topLinePunct w:val="0"/>
              <w:autoSpaceDE w:val="0"/>
              <w:autoSpaceDN w:val="0"/>
              <w:bidi w:val="0"/>
              <w:adjustRightInd/>
              <w:snapToGrid w:val="0"/>
              <w:spacing w:line="420" w:lineRule="auto"/>
              <w:textAlignment w:val="auto"/>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object>
                <v:shape id="_x0000_i1033" o:spt="75" alt="" type="#_x0000_t75" style="height:144.6pt;width:404.45pt;" o:ole="t" filled="f" o:preferrelative="t" stroked="f" coordsize="21600,21600">
                  <v:path/>
                  <v:fill on="f" focussize="0,0"/>
                  <v:stroke on="f"/>
                  <v:imagedata r:id="rId38" o:title=""/>
                  <o:lock v:ext="edit" aspectratio="f"/>
                  <w10:wrap type="none"/>
                  <w10:anchorlock/>
                </v:shape>
                <o:OLEObject Type="Embed" ProgID="Visio.Drawing.11" ShapeID="_x0000_i1033" DrawAspect="Content" ObjectID="_1468075733" r:id="rId37">
                  <o:LockedField>false</o:LockedField>
                </o:OLEObject>
              </w:object>
            </w:r>
          </w:p>
          <w:p w14:paraId="77128C63">
            <w:pPr>
              <w:pStyle w:val="2"/>
              <w:spacing w:line="240" w:lineRule="auto"/>
              <w:ind w:left="0" w:leftChars="0" w:firstLine="0" w:firstLineChars="0"/>
              <w:jc w:val="center"/>
              <w:rPr>
                <w:rFonts w:hint="default" w:ascii="Times New Roman" w:hAnsi="Times New Roman" w:eastAsia="黑体" w:cs="Times New Roman"/>
                <w:b w:val="0"/>
                <w:bCs w:val="0"/>
                <w:color w:val="000000" w:themeColor="text1"/>
                <w:highlight w:val="none"/>
                <w:u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u w:val="none"/>
                <w:lang w:val="en-US" w:eastAsia="zh-CN"/>
                <w14:textFill>
                  <w14:solidFill>
                    <w14:schemeClr w14:val="tx1"/>
                  </w14:solidFill>
                </w14:textFill>
              </w:rPr>
              <w:t>图</w:t>
            </w:r>
            <w:r>
              <w:rPr>
                <w:rFonts w:hint="eastAsia" w:ascii="Times New Roman" w:hAnsi="Times New Roman" w:eastAsia="黑体" w:cs="Times New Roman"/>
                <w:b w:val="0"/>
                <w:bCs w:val="0"/>
                <w:color w:val="000000" w:themeColor="text1"/>
                <w:sz w:val="24"/>
                <w:szCs w:val="24"/>
                <w:highlight w:val="none"/>
                <w:u w:val="none"/>
                <w:lang w:val="en-US" w:eastAsia="zh-CN"/>
                <w14:textFill>
                  <w14:solidFill>
                    <w14:schemeClr w14:val="tx1"/>
                  </w14:solidFill>
                </w14:textFill>
              </w:rPr>
              <w:t>6</w:t>
            </w:r>
            <w:r>
              <w:rPr>
                <w:rFonts w:hint="default" w:ascii="Times New Roman" w:hAnsi="Times New Roman" w:eastAsia="黑体" w:cs="Times New Roman"/>
                <w:b w:val="0"/>
                <w:bCs w:val="0"/>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黑体" w:cs="Times New Roman"/>
                <w:b w:val="0"/>
                <w:bCs w:val="0"/>
                <w:color w:val="000000" w:themeColor="text1"/>
                <w:sz w:val="24"/>
                <w:szCs w:val="24"/>
                <w:highlight w:val="none"/>
                <w:u w:val="none"/>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24"/>
                <w:szCs w:val="24"/>
                <w:highlight w:val="none"/>
                <w:u w:val="none"/>
                <w:lang w:val="en-US" w:eastAsia="zh-CN"/>
                <w14:textFill>
                  <w14:solidFill>
                    <w14:schemeClr w14:val="tx1"/>
                  </w14:solidFill>
                </w14:textFill>
              </w:rPr>
              <w:t>项目废水处理工艺流程示意图</w:t>
            </w:r>
          </w:p>
          <w:p w14:paraId="6F6DDD74">
            <w:pPr>
              <w:pStyle w:val="20"/>
              <w:keepNext w:val="0"/>
              <w:keepLines w:val="0"/>
              <w:pageBreakBefore w:val="0"/>
              <w:widowControl w:val="0"/>
              <w:kinsoku/>
              <w:wordWrap/>
              <w:overflowPunct/>
              <w:topLinePunct w:val="0"/>
              <w:autoSpaceDE/>
              <w:autoSpaceDN/>
              <w:bidi w:val="0"/>
              <w:adjustRightInd/>
              <w:snapToGrid/>
              <w:spacing w:before="157" w:beforeLines="50" w:line="420" w:lineRule="auto"/>
              <w:textAlignment w:val="auto"/>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u w:val="none"/>
                <w:lang w:val="en-US" w:eastAsia="zh-CN"/>
                <w14:textFill>
                  <w14:solidFill>
                    <w14:schemeClr w14:val="tx1"/>
                  </w14:solidFill>
                </w14:textFill>
              </w:rPr>
              <w:t>工艺流程简述：</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项目产生的</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废水</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经格栅井去除水中废渣、纸屑、纤维等固体悬浮物，</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然后采用臭氧预消毒后进入调节池，再</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经泵提升至厌氧池，在厌氧池段异养菌将污水中可溶性有机物水解为有机酸，使大分子有机物分解为小分子有机物，同时将蛋白质、脂肪等污染物进行氨化。在好氧池段存在好氧微生物及硝化菌，其中好氧微生物将有机物分解成CO</w:t>
            </w:r>
            <w:r>
              <w:rPr>
                <w:rFonts w:hint="default" w:ascii="Times New Roman" w:hAnsi="Times New Roman" w:cs="Times New Roman"/>
                <w:color w:val="000000" w:themeColor="text1"/>
                <w:sz w:val="24"/>
                <w:szCs w:val="24"/>
                <w:highlight w:val="none"/>
                <w:u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和H</w:t>
            </w:r>
            <w:r>
              <w:rPr>
                <w:rFonts w:hint="default" w:ascii="Times New Roman" w:hAnsi="Times New Roman" w:cs="Times New Roman"/>
                <w:color w:val="000000" w:themeColor="text1"/>
                <w:sz w:val="24"/>
                <w:szCs w:val="24"/>
                <w:highlight w:val="none"/>
                <w:u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O</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在充足供氧条件下，硝化菌的硝化作用将 NH</w:t>
            </w:r>
            <w:r>
              <w:rPr>
                <w:rFonts w:hint="default" w:ascii="Times New Roman" w:hAnsi="Times New Roman" w:cs="Times New Roman"/>
                <w:color w:val="000000" w:themeColor="text1"/>
                <w:sz w:val="24"/>
                <w:szCs w:val="24"/>
                <w:highlight w:val="none"/>
                <w:u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-N氧化为NO</w:t>
            </w:r>
            <w:r>
              <w:rPr>
                <w:rFonts w:hint="default" w:ascii="Times New Roman" w:hAnsi="Times New Roman" w:cs="Times New Roman"/>
                <w:color w:val="000000" w:themeColor="text1"/>
                <w:sz w:val="24"/>
                <w:szCs w:val="24"/>
                <w:highlight w:val="none"/>
                <w:u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u w:val="none"/>
                <w:vertAlign w:val="superscript"/>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，通过回流控制返回至A级生物池，在缺氧条件下，异养菌的反硝化作用将NO</w:t>
            </w:r>
            <w:r>
              <w:rPr>
                <w:rFonts w:hint="default" w:ascii="Times New Roman" w:hAnsi="Times New Roman" w:cs="Times New Roman"/>
                <w:color w:val="000000" w:themeColor="text1"/>
                <w:sz w:val="24"/>
                <w:szCs w:val="24"/>
                <w:highlight w:val="none"/>
                <w:u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u w:val="none"/>
                <w:vertAlign w:val="superscript"/>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还原为分子态氮</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接触氧化池出水自流进入沉淀池进行沉淀</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沉淀池出水进入消毒池</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，再次采用臭氧消毒后</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出水达标排放。污泥池的污泥一部分回流至A级生物池，剩余污泥定期外运处置。</w:t>
            </w:r>
          </w:p>
          <w:p w14:paraId="4BDD29C1">
            <w:pPr>
              <w:pStyle w:val="20"/>
              <w:keepNext w:val="0"/>
              <w:keepLines w:val="0"/>
              <w:pageBreakBefore w:val="0"/>
              <w:widowControl w:val="0"/>
              <w:kinsoku/>
              <w:wordWrap/>
              <w:overflowPunct/>
              <w:topLinePunct w:val="0"/>
              <w:bidi w:val="0"/>
              <w:adjustRightInd/>
              <w:spacing w:line="420" w:lineRule="auto"/>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扩建项目废水产生量为7115.31t/a（19.494t/d），废水排放情况及处理效果见下表。</w:t>
            </w:r>
          </w:p>
          <w:p w14:paraId="0FE2249F">
            <w:pPr>
              <w:pStyle w:val="104"/>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textAlignment w:val="auto"/>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废水排放情况及处理效果</w:t>
            </w:r>
            <w:r>
              <w:rPr>
                <w:rFonts w:hint="eastAsia" w:cs="Times New Roman"/>
                <w:b w:val="0"/>
                <w:bCs w:val="0"/>
                <w:color w:val="000000" w:themeColor="text1"/>
                <w:highlight w:val="none"/>
                <w:u w:val="none"/>
                <w:lang w:val="en-US" w:eastAsia="zh-CN"/>
                <w14:textFill>
                  <w14:solidFill>
                    <w14:schemeClr w14:val="tx1"/>
                  </w14:solidFill>
                </w14:textFill>
              </w:rPr>
              <w:t>一览表</w:t>
            </w:r>
          </w:p>
          <w:tbl>
            <w:tblPr>
              <w:tblStyle w:val="34"/>
              <w:tblW w:w="80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916"/>
              <w:gridCol w:w="900"/>
              <w:gridCol w:w="780"/>
              <w:gridCol w:w="900"/>
              <w:gridCol w:w="1065"/>
              <w:gridCol w:w="1200"/>
              <w:gridCol w:w="1239"/>
            </w:tblGrid>
            <w:tr w14:paraId="3E416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vMerge w:val="restart"/>
                  <w:noWrap w:val="0"/>
                  <w:vAlign w:val="center"/>
                </w:tcPr>
                <w:p w14:paraId="145FC3E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项目</w:t>
                  </w:r>
                </w:p>
              </w:tc>
              <w:tc>
                <w:tcPr>
                  <w:tcW w:w="7000" w:type="dxa"/>
                  <w:gridSpan w:val="7"/>
                  <w:noWrap w:val="0"/>
                  <w:vAlign w:val="center"/>
                </w:tcPr>
                <w:p w14:paraId="4DE6F3BD">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baseline"/>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综合</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水质及处理效果</w:t>
                  </w:r>
                </w:p>
              </w:tc>
            </w:tr>
            <w:tr w14:paraId="59908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vMerge w:val="continue"/>
                  <w:noWrap w:val="0"/>
                  <w:vAlign w:val="center"/>
                </w:tcPr>
                <w:p w14:paraId="2354A256">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16" w:type="dxa"/>
                  <w:noWrap w:val="0"/>
                  <w:vAlign w:val="center"/>
                </w:tcPr>
                <w:p w14:paraId="18DA7AE4">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COD</w:t>
                  </w:r>
                </w:p>
              </w:tc>
              <w:tc>
                <w:tcPr>
                  <w:tcW w:w="900" w:type="dxa"/>
                  <w:noWrap w:val="0"/>
                  <w:vAlign w:val="center"/>
                </w:tcPr>
                <w:p w14:paraId="1DB455D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BOD</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5</w:t>
                  </w:r>
                </w:p>
              </w:tc>
              <w:tc>
                <w:tcPr>
                  <w:tcW w:w="780" w:type="dxa"/>
                  <w:noWrap w:val="0"/>
                  <w:vAlign w:val="center"/>
                </w:tcPr>
                <w:p w14:paraId="7BD4534E">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SS</w:t>
                  </w:r>
                </w:p>
              </w:tc>
              <w:tc>
                <w:tcPr>
                  <w:tcW w:w="900" w:type="dxa"/>
                  <w:noWrap w:val="0"/>
                  <w:vAlign w:val="center"/>
                </w:tcPr>
                <w:p w14:paraId="42E5D6E9">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NH</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-N</w:t>
                  </w:r>
                </w:p>
              </w:tc>
              <w:tc>
                <w:tcPr>
                  <w:tcW w:w="1065" w:type="dxa"/>
                  <w:noWrap w:val="0"/>
                  <w:vAlign w:val="center"/>
                </w:tcPr>
                <w:p w14:paraId="6D4CA8B8">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动植物油</w:t>
                  </w:r>
                </w:p>
              </w:tc>
              <w:tc>
                <w:tcPr>
                  <w:tcW w:w="1200" w:type="dxa"/>
                  <w:noWrap w:val="0"/>
                  <w:vAlign w:val="center"/>
                </w:tcPr>
                <w:p w14:paraId="5D13FEA0">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粪大肠菌群</w:t>
                  </w:r>
                </w:p>
                <w:p w14:paraId="4FACDAC5">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（个/L）</w:t>
                  </w:r>
                </w:p>
              </w:tc>
              <w:tc>
                <w:tcPr>
                  <w:tcW w:w="1239" w:type="dxa"/>
                  <w:noWrap w:val="0"/>
                  <w:vAlign w:val="center"/>
                </w:tcPr>
                <w:p w14:paraId="62281679">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阴离子表面活性剂</w:t>
                  </w:r>
                </w:p>
              </w:tc>
            </w:tr>
            <w:tr w14:paraId="64D0C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noWrap w:val="0"/>
                  <w:vAlign w:val="center"/>
                </w:tcPr>
                <w:p w14:paraId="1A2FC87B">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进水水质（mg/L）</w:t>
                  </w:r>
                </w:p>
              </w:tc>
              <w:tc>
                <w:tcPr>
                  <w:tcW w:w="916" w:type="dxa"/>
                  <w:noWrap w:val="0"/>
                  <w:vAlign w:val="center"/>
                </w:tcPr>
                <w:p w14:paraId="09B21632">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250</w:t>
                  </w:r>
                </w:p>
              </w:tc>
              <w:tc>
                <w:tcPr>
                  <w:tcW w:w="900" w:type="dxa"/>
                  <w:noWrap w:val="0"/>
                  <w:vAlign w:val="center"/>
                </w:tcPr>
                <w:p w14:paraId="27DFB6E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150</w:t>
                  </w:r>
                </w:p>
              </w:tc>
              <w:tc>
                <w:tcPr>
                  <w:tcW w:w="780" w:type="dxa"/>
                  <w:noWrap w:val="0"/>
                  <w:vAlign w:val="center"/>
                </w:tcPr>
                <w:p w14:paraId="10F75565">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100</w:t>
                  </w:r>
                </w:p>
              </w:tc>
              <w:tc>
                <w:tcPr>
                  <w:tcW w:w="900" w:type="dxa"/>
                  <w:noWrap w:val="0"/>
                  <w:vAlign w:val="center"/>
                </w:tcPr>
                <w:p w14:paraId="73A381B0">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40</w:t>
                  </w:r>
                </w:p>
              </w:tc>
              <w:tc>
                <w:tcPr>
                  <w:tcW w:w="1065" w:type="dxa"/>
                  <w:noWrap w:val="0"/>
                  <w:vAlign w:val="center"/>
                </w:tcPr>
                <w:p w14:paraId="191C720F">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w:t>
                  </w:r>
                </w:p>
              </w:tc>
              <w:tc>
                <w:tcPr>
                  <w:tcW w:w="1200" w:type="dxa"/>
                  <w:noWrap w:val="0"/>
                  <w:vAlign w:val="center"/>
                </w:tcPr>
                <w:p w14:paraId="7DEF4A7B">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1.8</w:t>
                  </w: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w:t>
                  </w:r>
                  <w:r>
                    <w:rPr>
                      <w:rFonts w:hint="eastAsia" w:ascii="Times New Roman" w:hAnsi="Times New Roman" w:cs="Times New Roman"/>
                      <w:b w:val="0"/>
                      <w:bCs w:val="0"/>
                      <w:color w:val="000000" w:themeColor="text1"/>
                      <w:sz w:val="21"/>
                      <w:szCs w:val="21"/>
                      <w:highlight w:val="none"/>
                      <w:u w:val="none"/>
                      <w:vertAlign w:val="superscript"/>
                      <w:lang w:val="en-US" w:eastAsia="zh-CN"/>
                      <w14:textFill>
                        <w14:solidFill>
                          <w14:schemeClr w14:val="tx1"/>
                        </w14:solidFill>
                      </w14:textFill>
                    </w:rPr>
                    <w:t>8</w:t>
                  </w:r>
                </w:p>
              </w:tc>
              <w:tc>
                <w:tcPr>
                  <w:tcW w:w="1239" w:type="dxa"/>
                  <w:noWrap w:val="0"/>
                  <w:vAlign w:val="center"/>
                </w:tcPr>
                <w:p w14:paraId="0272BED5">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w:t>
                  </w:r>
                </w:p>
              </w:tc>
            </w:tr>
            <w:tr w14:paraId="19063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noWrap w:val="0"/>
                  <w:vAlign w:val="center"/>
                </w:tcPr>
                <w:p w14:paraId="1586BB26">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污染物产生量（t/a）</w:t>
                  </w:r>
                </w:p>
              </w:tc>
              <w:tc>
                <w:tcPr>
                  <w:tcW w:w="916" w:type="dxa"/>
                  <w:noWrap w:val="0"/>
                  <w:vAlign w:val="center"/>
                </w:tcPr>
                <w:p w14:paraId="00229080">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1.7788</w:t>
                  </w:r>
                </w:p>
              </w:tc>
              <w:tc>
                <w:tcPr>
                  <w:tcW w:w="900" w:type="dxa"/>
                  <w:noWrap w:val="0"/>
                  <w:vAlign w:val="center"/>
                </w:tcPr>
                <w:p w14:paraId="205127D4">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1.0673</w:t>
                  </w:r>
                </w:p>
              </w:tc>
              <w:tc>
                <w:tcPr>
                  <w:tcW w:w="780" w:type="dxa"/>
                  <w:noWrap w:val="0"/>
                  <w:vAlign w:val="center"/>
                </w:tcPr>
                <w:p w14:paraId="426AA55D">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0.7115</w:t>
                  </w:r>
                </w:p>
              </w:tc>
              <w:tc>
                <w:tcPr>
                  <w:tcW w:w="900" w:type="dxa"/>
                  <w:noWrap w:val="0"/>
                  <w:vAlign w:val="center"/>
                </w:tcPr>
                <w:p w14:paraId="38399E0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0.2846</w:t>
                  </w:r>
                </w:p>
              </w:tc>
              <w:tc>
                <w:tcPr>
                  <w:tcW w:w="1065" w:type="dxa"/>
                  <w:noWrap w:val="0"/>
                  <w:vAlign w:val="center"/>
                </w:tcPr>
                <w:p w14:paraId="177AA621">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0.1423</w:t>
                  </w:r>
                </w:p>
              </w:tc>
              <w:tc>
                <w:tcPr>
                  <w:tcW w:w="1200" w:type="dxa"/>
                  <w:noWrap w:val="0"/>
                  <w:vAlign w:val="center"/>
                </w:tcPr>
                <w:p w14:paraId="7AB3B67F">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239" w:type="dxa"/>
                  <w:noWrap w:val="0"/>
                  <w:vAlign w:val="center"/>
                </w:tcPr>
                <w:p w14:paraId="167DAA09">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0.0712</w:t>
                  </w:r>
                </w:p>
              </w:tc>
            </w:tr>
            <w:tr w14:paraId="47B3B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noWrap w:val="0"/>
                  <w:vAlign w:val="center"/>
                </w:tcPr>
                <w:p w14:paraId="5F27E85E">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去除率（%）</w:t>
                  </w:r>
                </w:p>
              </w:tc>
              <w:tc>
                <w:tcPr>
                  <w:tcW w:w="916" w:type="dxa"/>
                  <w:noWrap w:val="0"/>
                  <w:vAlign w:val="center"/>
                </w:tcPr>
                <w:p w14:paraId="2E6C380C">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80</w:t>
                  </w:r>
                </w:p>
              </w:tc>
              <w:tc>
                <w:tcPr>
                  <w:tcW w:w="900" w:type="dxa"/>
                  <w:noWrap w:val="0"/>
                  <w:vAlign w:val="center"/>
                </w:tcPr>
                <w:p w14:paraId="2FD689AB">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90</w:t>
                  </w:r>
                </w:p>
              </w:tc>
              <w:tc>
                <w:tcPr>
                  <w:tcW w:w="780" w:type="dxa"/>
                  <w:noWrap w:val="0"/>
                  <w:vAlign w:val="center"/>
                </w:tcPr>
                <w:p w14:paraId="61EFA5DB">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90</w:t>
                  </w:r>
                </w:p>
              </w:tc>
              <w:tc>
                <w:tcPr>
                  <w:tcW w:w="900" w:type="dxa"/>
                  <w:noWrap w:val="0"/>
                  <w:vAlign w:val="center"/>
                </w:tcPr>
                <w:p w14:paraId="29B8B774">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70</w:t>
                  </w:r>
                </w:p>
              </w:tc>
              <w:tc>
                <w:tcPr>
                  <w:tcW w:w="1065" w:type="dxa"/>
                  <w:noWrap w:val="0"/>
                  <w:vAlign w:val="center"/>
                </w:tcPr>
                <w:p w14:paraId="675DCD89">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97</w:t>
                  </w:r>
                </w:p>
              </w:tc>
              <w:tc>
                <w:tcPr>
                  <w:tcW w:w="1200" w:type="dxa"/>
                  <w:noWrap w:val="0"/>
                  <w:vAlign w:val="center"/>
                </w:tcPr>
                <w:p w14:paraId="30DB7374">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100</w:t>
                  </w:r>
                </w:p>
              </w:tc>
              <w:tc>
                <w:tcPr>
                  <w:tcW w:w="1239" w:type="dxa"/>
                  <w:noWrap w:val="0"/>
                  <w:vAlign w:val="center"/>
                </w:tcPr>
                <w:p w14:paraId="642DF55B">
                  <w:pPr>
                    <w:keepNext w:val="0"/>
                    <w:keepLines w:val="0"/>
                    <w:pageBreakBefore w:val="0"/>
                    <w:widowControl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80</w:t>
                  </w:r>
                </w:p>
              </w:tc>
            </w:tr>
            <w:tr w14:paraId="5129D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noWrap w:val="0"/>
                  <w:vAlign w:val="center"/>
                </w:tcPr>
                <w:p w14:paraId="30370DE9">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出水水质（mg/L）</w:t>
                  </w:r>
                </w:p>
              </w:tc>
              <w:tc>
                <w:tcPr>
                  <w:tcW w:w="916" w:type="dxa"/>
                  <w:noWrap w:val="0"/>
                  <w:vAlign w:val="center"/>
                </w:tcPr>
                <w:p w14:paraId="7A55109D">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50</w:t>
                  </w:r>
                </w:p>
              </w:tc>
              <w:tc>
                <w:tcPr>
                  <w:tcW w:w="900" w:type="dxa"/>
                  <w:noWrap w:val="0"/>
                  <w:vAlign w:val="center"/>
                </w:tcPr>
                <w:p w14:paraId="576D46DC">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15</w:t>
                  </w:r>
                </w:p>
              </w:tc>
              <w:tc>
                <w:tcPr>
                  <w:tcW w:w="780" w:type="dxa"/>
                  <w:noWrap w:val="0"/>
                  <w:vAlign w:val="center"/>
                </w:tcPr>
                <w:p w14:paraId="70F8BDA6">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w:t>
                  </w:r>
                </w:p>
              </w:tc>
              <w:tc>
                <w:tcPr>
                  <w:tcW w:w="900" w:type="dxa"/>
                  <w:noWrap w:val="0"/>
                  <w:vAlign w:val="center"/>
                </w:tcPr>
                <w:p w14:paraId="25DAE1FA">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12</w:t>
                  </w:r>
                </w:p>
              </w:tc>
              <w:tc>
                <w:tcPr>
                  <w:tcW w:w="1065" w:type="dxa"/>
                  <w:noWrap w:val="0"/>
                  <w:vAlign w:val="center"/>
                </w:tcPr>
                <w:p w14:paraId="5F8B7137">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0.6</w:t>
                  </w:r>
                </w:p>
              </w:tc>
              <w:tc>
                <w:tcPr>
                  <w:tcW w:w="1200" w:type="dxa"/>
                  <w:noWrap w:val="0"/>
                  <w:vAlign w:val="center"/>
                </w:tcPr>
                <w:p w14:paraId="44A7C5B2">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w:t>
                  </w:r>
                </w:p>
              </w:tc>
              <w:tc>
                <w:tcPr>
                  <w:tcW w:w="1239" w:type="dxa"/>
                  <w:noWrap w:val="0"/>
                  <w:vAlign w:val="center"/>
                </w:tcPr>
                <w:p w14:paraId="17250062">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w:t>
                  </w:r>
                </w:p>
              </w:tc>
            </w:tr>
            <w:tr w14:paraId="5F80A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noWrap w:val="0"/>
                  <w:vAlign w:val="center"/>
                </w:tcPr>
                <w:p w14:paraId="3911EE7D">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污染物排放量（t/a）</w:t>
                  </w:r>
                </w:p>
              </w:tc>
              <w:tc>
                <w:tcPr>
                  <w:tcW w:w="916" w:type="dxa"/>
                  <w:noWrap w:val="0"/>
                  <w:vAlign w:val="center"/>
                </w:tcPr>
                <w:p w14:paraId="617671BA">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0.3558</w:t>
                  </w:r>
                </w:p>
              </w:tc>
              <w:tc>
                <w:tcPr>
                  <w:tcW w:w="900" w:type="dxa"/>
                  <w:noWrap w:val="0"/>
                  <w:vAlign w:val="center"/>
                </w:tcPr>
                <w:p w14:paraId="2021998F">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0.1067</w:t>
                  </w:r>
                </w:p>
              </w:tc>
              <w:tc>
                <w:tcPr>
                  <w:tcW w:w="780" w:type="dxa"/>
                  <w:noWrap w:val="0"/>
                  <w:vAlign w:val="center"/>
                </w:tcPr>
                <w:p w14:paraId="760D4E4B">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0.0712</w:t>
                  </w:r>
                </w:p>
              </w:tc>
              <w:tc>
                <w:tcPr>
                  <w:tcW w:w="900" w:type="dxa"/>
                  <w:noWrap w:val="0"/>
                  <w:vAlign w:val="center"/>
                </w:tcPr>
                <w:p w14:paraId="78EE84DD">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0.0854</w:t>
                  </w:r>
                </w:p>
              </w:tc>
              <w:tc>
                <w:tcPr>
                  <w:tcW w:w="1065" w:type="dxa"/>
                  <w:noWrap w:val="0"/>
                  <w:vAlign w:val="center"/>
                </w:tcPr>
                <w:p w14:paraId="5E96A933">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0.0043</w:t>
                  </w:r>
                </w:p>
              </w:tc>
              <w:tc>
                <w:tcPr>
                  <w:tcW w:w="1200" w:type="dxa"/>
                  <w:noWrap w:val="0"/>
                  <w:vAlign w:val="center"/>
                </w:tcPr>
                <w:p w14:paraId="609F573F">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w:t>
                  </w:r>
                </w:p>
              </w:tc>
              <w:tc>
                <w:tcPr>
                  <w:tcW w:w="1239" w:type="dxa"/>
                  <w:noWrap w:val="0"/>
                  <w:vAlign w:val="center"/>
                </w:tcPr>
                <w:p w14:paraId="5EF0D572">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0.0142</w:t>
                  </w:r>
                </w:p>
              </w:tc>
            </w:tr>
            <w:tr w14:paraId="48C16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noWrap w:val="0"/>
                  <w:vAlign w:val="center"/>
                </w:tcPr>
                <w:p w14:paraId="2326831D">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排放标准</w:t>
                  </w:r>
                </w:p>
              </w:tc>
              <w:tc>
                <w:tcPr>
                  <w:tcW w:w="916" w:type="dxa"/>
                  <w:noWrap w:val="0"/>
                  <w:vAlign w:val="center"/>
                </w:tcPr>
                <w:p w14:paraId="6249D1F0">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60</w:t>
                  </w:r>
                </w:p>
              </w:tc>
              <w:tc>
                <w:tcPr>
                  <w:tcW w:w="900" w:type="dxa"/>
                  <w:noWrap w:val="0"/>
                  <w:vAlign w:val="center"/>
                </w:tcPr>
                <w:p w14:paraId="7110A1D2">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w:t>
                  </w:r>
                </w:p>
              </w:tc>
              <w:tc>
                <w:tcPr>
                  <w:tcW w:w="780" w:type="dxa"/>
                  <w:noWrap w:val="0"/>
                  <w:vAlign w:val="center"/>
                </w:tcPr>
                <w:p w14:paraId="67DDF06F">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w:t>
                  </w:r>
                </w:p>
              </w:tc>
              <w:tc>
                <w:tcPr>
                  <w:tcW w:w="900" w:type="dxa"/>
                  <w:noWrap w:val="0"/>
                  <w:vAlign w:val="center"/>
                </w:tcPr>
                <w:p w14:paraId="1FC10819">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15</w:t>
                  </w:r>
                </w:p>
              </w:tc>
              <w:tc>
                <w:tcPr>
                  <w:tcW w:w="1065" w:type="dxa"/>
                  <w:noWrap w:val="0"/>
                  <w:vAlign w:val="center"/>
                </w:tcPr>
                <w:p w14:paraId="78319033">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w:t>
                  </w:r>
                </w:p>
              </w:tc>
              <w:tc>
                <w:tcPr>
                  <w:tcW w:w="1200" w:type="dxa"/>
                  <w:noWrap w:val="0"/>
                  <w:vAlign w:val="center"/>
                </w:tcPr>
                <w:p w14:paraId="75A47FBB">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100</w:t>
                  </w:r>
                </w:p>
              </w:tc>
              <w:tc>
                <w:tcPr>
                  <w:tcW w:w="1239" w:type="dxa"/>
                  <w:noWrap w:val="0"/>
                  <w:vAlign w:val="center"/>
                </w:tcPr>
                <w:p w14:paraId="137D7586">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w:t>
                  </w:r>
                </w:p>
              </w:tc>
            </w:tr>
            <w:tr w14:paraId="4B813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3" w:type="dxa"/>
                  <w:noWrap w:val="0"/>
                  <w:vAlign w:val="center"/>
                </w:tcPr>
                <w:p w14:paraId="347F45B3">
                  <w:pPr>
                    <w:keepNext w:val="0"/>
                    <w:keepLines w:val="0"/>
                    <w:pageBreakBefore w:val="0"/>
                    <w:widowControl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渑池县污水处理厂进水水质指标</w:t>
                  </w:r>
                </w:p>
              </w:tc>
              <w:tc>
                <w:tcPr>
                  <w:tcW w:w="916" w:type="dxa"/>
                  <w:noWrap w:val="0"/>
                  <w:vAlign w:val="center"/>
                </w:tcPr>
                <w:p w14:paraId="6F450436">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w:t>
                  </w: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5</w:t>
                  </w: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w:t>
                  </w:r>
                </w:p>
              </w:tc>
              <w:tc>
                <w:tcPr>
                  <w:tcW w:w="900" w:type="dxa"/>
                  <w:noWrap w:val="0"/>
                  <w:vAlign w:val="center"/>
                </w:tcPr>
                <w:p w14:paraId="27ED8B78">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20</w:t>
                  </w: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w:t>
                  </w:r>
                </w:p>
              </w:tc>
              <w:tc>
                <w:tcPr>
                  <w:tcW w:w="780" w:type="dxa"/>
                  <w:noWrap w:val="0"/>
                  <w:vAlign w:val="center"/>
                </w:tcPr>
                <w:p w14:paraId="7C787699">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00</w:t>
                  </w:r>
                </w:p>
              </w:tc>
              <w:tc>
                <w:tcPr>
                  <w:tcW w:w="900" w:type="dxa"/>
                  <w:noWrap w:val="0"/>
                  <w:vAlign w:val="center"/>
                </w:tcPr>
                <w:p w14:paraId="4846C0E1">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30</w:t>
                  </w:r>
                </w:p>
              </w:tc>
              <w:tc>
                <w:tcPr>
                  <w:tcW w:w="1065" w:type="dxa"/>
                  <w:noWrap w:val="0"/>
                  <w:vAlign w:val="center"/>
                </w:tcPr>
                <w:p w14:paraId="3E884652">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200" w:type="dxa"/>
                  <w:noWrap w:val="0"/>
                  <w:vAlign w:val="center"/>
                </w:tcPr>
                <w:p w14:paraId="055DB3CF">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c>
                <w:tcPr>
                  <w:tcW w:w="1239" w:type="dxa"/>
                  <w:noWrap w:val="0"/>
                  <w:vAlign w:val="center"/>
                </w:tcPr>
                <w:p w14:paraId="684FCD8C">
                  <w:pPr>
                    <w:pStyle w:val="8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w:t>
                  </w:r>
                </w:p>
              </w:tc>
            </w:tr>
          </w:tbl>
          <w:p w14:paraId="01C000CB">
            <w:pPr>
              <w:pStyle w:val="20"/>
              <w:keepNext w:val="0"/>
              <w:keepLines w:val="0"/>
              <w:pageBreakBefore w:val="0"/>
              <w:widowControl w:val="0"/>
              <w:kinsoku/>
              <w:wordWrap/>
              <w:overflowPunct/>
              <w:topLinePunct w:val="0"/>
              <w:autoSpaceDE/>
              <w:autoSpaceDN/>
              <w:bidi w:val="0"/>
              <w:adjustRightInd/>
              <w:snapToGrid/>
              <w:spacing w:before="157" w:beforeLines="50" w:line="420" w:lineRule="auto"/>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由上表可知，扩建项目建成后全院废水经配套污水处理站处理后，</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满足《医疗机构水污染物排放标准》（GB18466-2005）表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标准要求，同时满足渑池县第二污水处理厂进水指标要求</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。废水处理措施可行。</w:t>
            </w:r>
          </w:p>
          <w:p w14:paraId="48C0FBBE">
            <w:pPr>
              <w:pStyle w:val="20"/>
              <w:keepNext w:val="0"/>
              <w:keepLines w:val="0"/>
              <w:pageBreakBefore w:val="0"/>
              <w:widowControl w:val="0"/>
              <w:kinsoku/>
              <w:wordWrap/>
              <w:overflowPunct/>
              <w:topLinePunct w:val="0"/>
              <w:autoSpaceDE/>
              <w:autoSpaceDN/>
              <w:bidi w:val="0"/>
              <w:adjustRightInd/>
              <w:spacing w:line="420" w:lineRule="auto"/>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（3）依托污水处理厂处理可行性分析</w:t>
            </w:r>
          </w:p>
          <w:p w14:paraId="1473932F">
            <w:pPr>
              <w:pStyle w:val="2"/>
              <w:keepNext w:val="0"/>
              <w:keepLines w:val="0"/>
              <w:pageBreakBefore w:val="0"/>
              <w:widowControl w:val="0"/>
              <w:kinsoku/>
              <w:wordWrap/>
              <w:overflowPunct/>
              <w:topLinePunct w:val="0"/>
              <w:autoSpaceDE/>
              <w:autoSpaceDN/>
              <w:bidi w:val="0"/>
              <w:adjustRightInd/>
              <w:snapToGrid w:val="0"/>
              <w:spacing w:line="420" w:lineRule="auto"/>
              <w:ind w:left="0" w:right="0" w:firstLine="420"/>
              <w:textAlignment w:val="auto"/>
              <w:rPr>
                <w:rFonts w:hint="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渑池县第二污水处理厂位于渑池县涧河北岸、孟岭沟与涧河交汇处的北侧，中心坐标（111.786794</w:t>
            </w:r>
            <w:r>
              <w:rPr>
                <w:rFonts w:hint="eastAsia" w:ascii="宋体" w:hAnsi="宋体" w:eastAsia="宋体" w:cs="宋体"/>
                <w:color w:val="000000" w:themeColor="text1"/>
                <w:highlight w:val="none"/>
                <w:lang w:val="en-US" w:eastAsia="zh-CN"/>
                <w14:textFill>
                  <w14:solidFill>
                    <w14:schemeClr w14:val="tx1"/>
                  </w14:solidFill>
                </w14:textFill>
              </w:rPr>
              <w:t>º</w:t>
            </w:r>
            <w:r>
              <w:rPr>
                <w:rFonts w:hint="default" w:ascii="Times New Roman" w:hAnsi="Times New Roman" w:cs="Times New Roman"/>
                <w:color w:val="000000" w:themeColor="text1"/>
                <w:highlight w:val="none"/>
                <w:lang w:val="en-US" w:eastAsia="zh-CN"/>
                <w14:textFill>
                  <w14:solidFill>
                    <w14:schemeClr w14:val="tx1"/>
                  </w14:solidFill>
                </w14:textFill>
              </w:rPr>
              <w:t>，34.752016</w:t>
            </w:r>
            <w:r>
              <w:rPr>
                <w:rFonts w:hint="eastAsia" w:ascii="宋体" w:hAnsi="宋体" w:eastAsia="宋体" w:cs="宋体"/>
                <w:color w:val="000000" w:themeColor="text1"/>
                <w:highlight w:val="none"/>
                <w:lang w:val="en-US" w:eastAsia="zh-CN"/>
                <w14:textFill>
                  <w14:solidFill>
                    <w14:schemeClr w14:val="tx1"/>
                  </w14:solidFill>
                </w14:textFill>
              </w:rPr>
              <w:t>º</w:t>
            </w:r>
            <w:r>
              <w:rPr>
                <w:rFonts w:hint="default" w:ascii="Times New Roman" w:hAnsi="Times New Roman" w:cs="Times New Roman"/>
                <w:color w:val="000000" w:themeColor="text1"/>
                <w:highlight w:val="none"/>
                <w:lang w:val="en-US" w:eastAsia="zh-CN"/>
                <w14:textFill>
                  <w14:solidFill>
                    <w14:schemeClr w14:val="tx1"/>
                  </w14:solidFill>
                </w14:textFill>
              </w:rPr>
              <w:t>），始建于2011年，近期提标改造工程于2020年10月建成投入使用，处理能力为3.0万立方米/天，采用工艺为</w:t>
            </w:r>
            <w:r>
              <w:rPr>
                <w:rFonts w:hint="eastAsia" w:ascii="宋体" w:hAnsi="宋体" w:eastAsia="宋体" w:cs="宋体"/>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改良Bardenpho工艺（A</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O+AO）+深度处理（高效沉淀池+反硝化生物滤池+曝气生物滤池）</w:t>
            </w:r>
            <w:r>
              <w:rPr>
                <w:rFonts w:hint="eastAsia" w:ascii="宋体" w:hAnsi="宋体" w:eastAsia="宋体" w:cs="宋体"/>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，出水标准为《地表水环境质量标准》（GB3838-2002）IV类水质</w:t>
            </w:r>
            <w:r>
              <w:rPr>
                <w:rFonts w:hint="eastAsia" w:ascii="Times New Roman" w:hAnsi="Times New Roman" w:cs="Times New Roman"/>
                <w:color w:val="000000" w:themeColor="text1"/>
                <w:highlight w:val="none"/>
                <w:lang w:val="en-US" w:eastAsia="zh-CN"/>
                <w14:textFill>
                  <w14:solidFill>
                    <w14:schemeClr w14:val="tx1"/>
                  </w14:solidFill>
                </w14:textFill>
              </w:rPr>
              <w:t>标准</w:t>
            </w:r>
            <w:r>
              <w:rPr>
                <w:rFonts w:hint="default" w:ascii="Times New Roman" w:hAnsi="Times New Roman" w:cs="Times New Roman"/>
                <w:color w:val="000000" w:themeColor="text1"/>
                <w:highlight w:val="none"/>
                <w:lang w:val="en-US" w:eastAsia="zh-CN"/>
                <w14:textFill>
                  <w14:solidFill>
                    <w14:schemeClr w14:val="tx1"/>
                  </w14:solidFill>
                </w14:textFill>
              </w:rPr>
              <w:t>，服务范围为渑池县主城区、天坛组团、耿村煤矿生活区。</w:t>
            </w:r>
            <w:r>
              <w:rPr>
                <w:rFonts w:hint="eastAsia" w:ascii="Times New Roman" w:hAnsi="Times New Roman" w:cs="Times New Roman"/>
                <w:color w:val="000000" w:themeColor="text1"/>
                <w:highlight w:val="none"/>
                <w:lang w:eastAsia="zh-CN"/>
                <w14:textFill>
                  <w14:solidFill>
                    <w14:schemeClr w14:val="tx1"/>
                  </w14:solidFill>
                </w14:textFill>
              </w:rPr>
              <w:t>扩建项目</w:t>
            </w:r>
            <w:r>
              <w:rPr>
                <w:rFonts w:hint="default" w:ascii="Times New Roman" w:hAnsi="Times New Roman" w:cs="Times New Roman"/>
                <w:color w:val="000000" w:themeColor="text1"/>
                <w:highlight w:val="none"/>
                <w:lang w:eastAsia="zh-CN"/>
                <w14:textFill>
                  <w14:solidFill>
                    <w14:schemeClr w14:val="tx1"/>
                  </w14:solidFill>
                </w14:textFill>
              </w:rPr>
              <w:t>位于渑池县第二污水处理</w:t>
            </w:r>
            <w:r>
              <w:rPr>
                <w:rFonts w:hint="eastAsia" w:ascii="Times New Roman" w:hAnsi="Times New Roman" w:cs="Times New Roman"/>
                <w:color w:val="000000" w:themeColor="text1"/>
                <w:highlight w:val="none"/>
                <w:lang w:val="en-US" w:eastAsia="zh-CN"/>
                <w14:textFill>
                  <w14:solidFill>
                    <w14:schemeClr w14:val="tx1"/>
                  </w14:solidFill>
                </w14:textFill>
              </w:rPr>
              <w:t>厂收水范围内。</w:t>
            </w:r>
          </w:p>
          <w:p w14:paraId="5365EFDB">
            <w:pPr>
              <w:pStyle w:val="2"/>
              <w:keepNext w:val="0"/>
              <w:keepLines w:val="0"/>
              <w:pageBreakBefore w:val="0"/>
              <w:widowControl w:val="0"/>
              <w:kinsoku/>
              <w:wordWrap/>
              <w:overflowPunct/>
              <w:topLinePunct w:val="0"/>
              <w:autoSpaceDE/>
              <w:autoSpaceDN/>
              <w:bidi w:val="0"/>
              <w:adjustRightInd/>
              <w:snapToGrid w:val="0"/>
              <w:spacing w:line="420" w:lineRule="auto"/>
              <w:ind w:left="0" w:right="0" w:firstLine="42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渑池县第二污水处理厂建设主体原为河南豫源清生物科技工程有限公司，后由渑池县人民政府采用招商引资的方式，确定由义马洁源环保工程建设有限公司按工程初设方案开始施工并签订25年特许运营协议，后企业更名为渑池县洁源污水处理有限公司。后由于公司资产重组，变更为现在的联合环境水务（渑池）有限公司。</w:t>
            </w:r>
          </w:p>
          <w:p w14:paraId="373F3ED6">
            <w:pPr>
              <w:pStyle w:val="2"/>
              <w:keepNext w:val="0"/>
              <w:keepLines w:val="0"/>
              <w:pageBreakBefore w:val="0"/>
              <w:widowControl w:val="0"/>
              <w:kinsoku/>
              <w:wordWrap/>
              <w:overflowPunct/>
              <w:topLinePunct w:val="0"/>
              <w:autoSpaceDE/>
              <w:autoSpaceDN/>
              <w:bidi w:val="0"/>
              <w:adjustRightInd/>
              <w:snapToGrid w:val="0"/>
              <w:spacing w:line="420" w:lineRule="auto"/>
              <w:ind w:left="0" w:right="0" w:firstLine="420"/>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联合环境水务（渑池）有限公司2020年1月至12月中1月废水排放量最大，为766776吨（折合每天24734.7吨），2020年平均废水排放量为571599.5吨（折合每天19053.3吨），按最不利情况考虑（即最大月处理量），剩余处理规模约为5000t/d</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本项目</w:t>
            </w:r>
            <w:r>
              <w:rPr>
                <w:rFonts w:hint="eastAsia" w:ascii="Times New Roman" w:hAnsi="Times New Roman" w:cs="Times New Roman"/>
                <w:color w:val="000000" w:themeColor="text1"/>
                <w:highlight w:val="none"/>
                <w:lang w:val="en-US" w:eastAsia="zh-CN"/>
                <w14:textFill>
                  <w14:solidFill>
                    <w14:schemeClr w14:val="tx1"/>
                  </w14:solidFill>
                </w14:textFill>
              </w:rPr>
              <w:t>扩建后全院废水产生量为92.029m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/d</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比例较小</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经配套污水处理</w:t>
            </w:r>
            <w:r>
              <w:rPr>
                <w:rFonts w:hint="eastAsia" w:ascii="Times New Roman" w:hAnsi="Times New Roman" w:cs="Times New Roman"/>
                <w:color w:val="000000" w:themeColor="text1"/>
                <w:highlight w:val="none"/>
                <w:lang w:val="en-US" w:eastAsia="zh-CN"/>
                <w14:textFill>
                  <w14:solidFill>
                    <w14:schemeClr w14:val="tx1"/>
                  </w14:solidFill>
                </w14:textFill>
              </w:rPr>
              <w:t>站</w:t>
            </w:r>
            <w:r>
              <w:rPr>
                <w:rFonts w:hint="default" w:ascii="Times New Roman" w:hAnsi="Times New Roman" w:cs="Times New Roman"/>
                <w:color w:val="000000" w:themeColor="text1"/>
                <w:highlight w:val="none"/>
                <w:lang w:eastAsia="zh-CN"/>
                <w14:textFill>
                  <w14:solidFill>
                    <w14:schemeClr w14:val="tx1"/>
                  </w14:solidFill>
                </w14:textFill>
              </w:rPr>
              <w:t>处理后满足《医疗机构水污染物排放标准》</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GB18466-2005</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表</w:t>
            </w:r>
            <w:r>
              <w:rPr>
                <w:rFonts w:hint="eastAsia" w:ascii="Times New Roman" w:hAnsi="Times New Roman" w:cs="Times New Roman"/>
                <w:color w:val="000000" w:themeColor="text1"/>
                <w:highlight w:val="none"/>
                <w:lang w:val="en-US" w:eastAsia="zh-CN"/>
                <w14:textFill>
                  <w14:solidFill>
                    <w14:schemeClr w14:val="tx1"/>
                  </w14:solidFill>
                </w14:textFill>
              </w:rPr>
              <w:t>1标准</w:t>
            </w:r>
            <w:r>
              <w:rPr>
                <w:rFonts w:hint="default" w:ascii="Times New Roman" w:hAnsi="Times New Roman" w:cs="Times New Roman"/>
                <w:color w:val="000000" w:themeColor="text1"/>
                <w:highlight w:val="none"/>
                <w:lang w:eastAsia="zh-CN"/>
                <w14:textFill>
                  <w14:solidFill>
                    <w14:schemeClr w14:val="tx1"/>
                  </w14:solidFill>
                </w14:textFill>
              </w:rPr>
              <w:t>要求，同时满足渑池县第二污水处理厂进水指标要求</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因此，项目</w:t>
            </w:r>
            <w:r>
              <w:rPr>
                <w:rFonts w:hint="default" w:ascii="Times New Roman" w:hAnsi="Times New Roman" w:cs="Times New Roman"/>
                <w:color w:val="000000" w:themeColor="text1"/>
                <w:highlight w:val="none"/>
                <w:lang w:eastAsia="zh-CN"/>
                <w14:textFill>
                  <w14:solidFill>
                    <w14:schemeClr w14:val="tx1"/>
                  </w14:solidFill>
                </w14:textFill>
              </w:rPr>
              <w:t>废水</w:t>
            </w:r>
            <w:r>
              <w:rPr>
                <w:rFonts w:hint="eastAsia" w:ascii="Times New Roman" w:hAnsi="Times New Roman" w:cs="Times New Roman"/>
                <w:color w:val="000000" w:themeColor="text1"/>
                <w:highlight w:val="none"/>
                <w:lang w:eastAsia="zh-CN"/>
                <w14:textFill>
                  <w14:solidFill>
                    <w14:schemeClr w14:val="tx1"/>
                  </w14:solidFill>
                </w14:textFill>
              </w:rPr>
              <w:t>处理后</w:t>
            </w:r>
            <w:r>
              <w:rPr>
                <w:rFonts w:hint="default" w:ascii="Times New Roman" w:hAnsi="Times New Roman" w:cs="Times New Roman"/>
                <w:color w:val="000000" w:themeColor="text1"/>
                <w:highlight w:val="none"/>
                <w:lang w:eastAsia="zh-CN"/>
                <w14:textFill>
                  <w14:solidFill>
                    <w14:schemeClr w14:val="tx1"/>
                  </w14:solidFill>
                </w14:textFill>
              </w:rPr>
              <w:t>排入</w:t>
            </w:r>
            <w:r>
              <w:rPr>
                <w:rFonts w:hint="eastAsia" w:ascii="Times New Roman" w:hAnsi="Times New Roman" w:cs="Times New Roman"/>
                <w:color w:val="000000" w:themeColor="text1"/>
                <w:highlight w:val="none"/>
                <w:lang w:val="en-US" w:eastAsia="zh-CN"/>
                <w14:textFill>
                  <w14:solidFill>
                    <w14:schemeClr w14:val="tx1"/>
                  </w14:solidFill>
                </w14:textFill>
              </w:rPr>
              <w:t>渑池县</w:t>
            </w:r>
            <w:r>
              <w:rPr>
                <w:rFonts w:hint="default" w:ascii="Times New Roman" w:hAnsi="Times New Roman" w:cs="Times New Roman"/>
                <w:color w:val="000000" w:themeColor="text1"/>
                <w:highlight w:val="none"/>
                <w:lang w:eastAsia="zh-CN"/>
                <w14:textFill>
                  <w14:solidFill>
                    <w14:schemeClr w14:val="tx1"/>
                  </w14:solidFill>
                </w14:textFill>
              </w:rPr>
              <w:t>第二</w:t>
            </w:r>
            <w:r>
              <w:rPr>
                <w:rFonts w:hint="eastAsia" w:ascii="Times New Roman" w:hAnsi="Times New Roman" w:cs="Times New Roman"/>
                <w:color w:val="000000" w:themeColor="text1"/>
                <w:highlight w:val="none"/>
                <w:lang w:val="en-US" w:eastAsia="zh-CN"/>
                <w14:textFill>
                  <w14:solidFill>
                    <w14:schemeClr w14:val="tx1"/>
                  </w14:solidFill>
                </w14:textFill>
              </w:rPr>
              <w:t>污水</w:t>
            </w:r>
            <w:r>
              <w:rPr>
                <w:rFonts w:hint="default" w:ascii="Times New Roman" w:hAnsi="Times New Roman" w:cs="Times New Roman"/>
                <w:color w:val="000000" w:themeColor="text1"/>
                <w:highlight w:val="none"/>
                <w:lang w:eastAsia="zh-CN"/>
                <w14:textFill>
                  <w14:solidFill>
                    <w14:schemeClr w14:val="tx1"/>
                  </w14:solidFill>
                </w14:textFill>
              </w:rPr>
              <w:t>处理厂</w:t>
            </w:r>
            <w:r>
              <w:rPr>
                <w:rFonts w:hint="eastAsia" w:ascii="Times New Roman" w:hAnsi="Times New Roman" w:cs="Times New Roman"/>
                <w:color w:val="000000" w:themeColor="text1"/>
                <w:highlight w:val="none"/>
                <w:lang w:eastAsia="zh-CN"/>
                <w14:textFill>
                  <w14:solidFill>
                    <w14:schemeClr w14:val="tx1"/>
                  </w14:solidFill>
                </w14:textFill>
              </w:rPr>
              <w:t>进一步</w:t>
            </w:r>
            <w:r>
              <w:rPr>
                <w:rFonts w:hint="eastAsia" w:ascii="Times New Roman" w:hAnsi="Times New Roman" w:cs="Times New Roman"/>
                <w:color w:val="000000" w:themeColor="text1"/>
                <w:highlight w:val="none"/>
                <w:lang w:val="en-US" w:eastAsia="zh-CN"/>
                <w14:textFill>
                  <w14:solidFill>
                    <w14:schemeClr w14:val="tx1"/>
                  </w14:solidFill>
                </w14:textFill>
              </w:rPr>
              <w:t>处理</w:t>
            </w:r>
            <w:r>
              <w:rPr>
                <w:rFonts w:hint="default" w:ascii="Times New Roman" w:hAnsi="Times New Roman" w:cs="Times New Roman"/>
                <w:color w:val="000000" w:themeColor="text1"/>
                <w:highlight w:val="none"/>
                <w:lang w:eastAsia="zh-CN"/>
                <w14:textFill>
                  <w14:solidFill>
                    <w14:schemeClr w14:val="tx1"/>
                  </w14:solidFill>
                </w14:textFill>
              </w:rPr>
              <w:t>是可行的。</w:t>
            </w:r>
          </w:p>
          <w:p w14:paraId="2B920059">
            <w:pPr>
              <w:pStyle w:val="2"/>
              <w:keepNext w:val="0"/>
              <w:keepLines w:val="0"/>
              <w:pageBreakBefore w:val="0"/>
              <w:widowControl w:val="0"/>
              <w:kinsoku/>
              <w:wordWrap/>
              <w:overflowPunct/>
              <w:topLinePunct w:val="0"/>
              <w:autoSpaceDE/>
              <w:autoSpaceDN/>
              <w:bidi w:val="0"/>
              <w:adjustRightInd/>
              <w:snapToGrid w:val="0"/>
              <w:spacing w:line="420" w:lineRule="auto"/>
              <w:ind w:left="0" w:right="0" w:firstLine="420"/>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水污染物排放信息</w:t>
            </w:r>
          </w:p>
          <w:p w14:paraId="5C521659">
            <w:pPr>
              <w:pStyle w:val="104"/>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textAlignment w:val="auto"/>
              <w:rPr>
                <w:rFonts w:hint="eastAsia" w:ascii="黑体" w:hAnsi="黑体" w:eastAsia="黑体"/>
                <w:bCs/>
                <w:color w:val="000000" w:themeColor="text1"/>
                <w:highlight w:val="none"/>
                <w:lang w:val="en-US" w:eastAsia="zh-CN"/>
                <w14:textFill>
                  <w14:solidFill>
                    <w14:schemeClr w14:val="tx1"/>
                  </w14:solidFill>
                </w14:textFill>
              </w:rPr>
            </w:pPr>
            <w:r>
              <w:rPr>
                <w:rFonts w:hint="eastAsia" w:ascii="黑体" w:hAnsi="黑体" w:eastAsia="黑体"/>
                <w:bCs/>
                <w:color w:val="000000" w:themeColor="text1"/>
                <w:highlight w:val="none"/>
                <w:lang w:val="en-US" w:eastAsia="zh-CN"/>
                <w14:textFill>
                  <w14:solidFill>
                    <w14:schemeClr w14:val="tx1"/>
                  </w14:solidFill>
                </w14:textFill>
              </w:rPr>
              <w:t xml:space="preserve">   废水间接排放口</w:t>
            </w:r>
            <w:r>
              <w:rPr>
                <w:rFonts w:hint="eastAsia" w:ascii="Times New Roman" w:hAnsi="Times New Roman" w:cs="Times New Roman"/>
                <w:bCs/>
                <w:color w:val="000000" w:themeColor="text1"/>
                <w:kern w:val="2"/>
                <w:sz w:val="24"/>
                <w:highlight w:val="none"/>
                <w:lang w:val="en-US" w:eastAsia="zh-CN"/>
                <w14:textFill>
                  <w14:solidFill>
                    <w14:schemeClr w14:val="tx1"/>
                  </w14:solidFill>
                </w14:textFill>
              </w:rPr>
              <w:t>基本</w:t>
            </w:r>
            <w:r>
              <w:rPr>
                <w:rFonts w:hint="eastAsia" w:ascii="黑体" w:hAnsi="黑体" w:eastAsia="黑体"/>
                <w:bCs/>
                <w:color w:val="000000" w:themeColor="text1"/>
                <w:highlight w:val="none"/>
                <w:lang w:val="en-US" w:eastAsia="zh-CN"/>
                <w14:textFill>
                  <w14:solidFill>
                    <w14:schemeClr w14:val="tx1"/>
                  </w14:solidFill>
                </w14:textFill>
              </w:rPr>
              <w:t>情况一览表</w:t>
            </w:r>
          </w:p>
          <w:tbl>
            <w:tblPr>
              <w:tblStyle w:val="34"/>
              <w:tblW w:w="80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00"/>
              <w:gridCol w:w="1080"/>
              <w:gridCol w:w="990"/>
              <w:gridCol w:w="945"/>
              <w:gridCol w:w="495"/>
              <w:gridCol w:w="787"/>
              <w:gridCol w:w="563"/>
              <w:gridCol w:w="1096"/>
              <w:gridCol w:w="1037"/>
            </w:tblGrid>
            <w:tr w14:paraId="73444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100" w:type="dxa"/>
                  <w:vMerge w:val="restart"/>
                  <w:tcBorders>
                    <w:tl2br w:val="nil"/>
                    <w:tr2bl w:val="nil"/>
                  </w:tcBorders>
                  <w:noWrap w:val="0"/>
                  <w:vAlign w:val="center"/>
                </w:tcPr>
                <w:p w14:paraId="2F255ACD">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排放口</w:t>
                  </w:r>
                </w:p>
                <w:p w14:paraId="390B6C95">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编号</w:t>
                  </w:r>
                </w:p>
              </w:tc>
              <w:tc>
                <w:tcPr>
                  <w:tcW w:w="2070" w:type="dxa"/>
                  <w:gridSpan w:val="2"/>
                  <w:tcBorders>
                    <w:tl2br w:val="nil"/>
                    <w:tr2bl w:val="nil"/>
                  </w:tcBorders>
                  <w:noWrap w:val="0"/>
                  <w:vAlign w:val="center"/>
                </w:tcPr>
                <w:p w14:paraId="698C107A">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排放口地理坐标</w:t>
                  </w:r>
                </w:p>
              </w:tc>
              <w:tc>
                <w:tcPr>
                  <w:tcW w:w="945" w:type="dxa"/>
                  <w:vMerge w:val="restart"/>
                  <w:tcBorders>
                    <w:tl2br w:val="nil"/>
                    <w:tr2bl w:val="nil"/>
                  </w:tcBorders>
                  <w:noWrap w:val="0"/>
                  <w:vAlign w:val="center"/>
                </w:tcPr>
                <w:p w14:paraId="78020704">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废水排</w:t>
                  </w:r>
                </w:p>
                <w:p w14:paraId="25C8CCA2">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放量</w:t>
                  </w:r>
                </w:p>
                <w:p w14:paraId="44D2F0EA">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（m</w:t>
                  </w:r>
                  <w:r>
                    <w:rPr>
                      <w:rFonts w:hint="default" w:ascii="Times New Roman" w:hAnsi="Times New Roman" w:cs="Times New Roman"/>
                      <w:b w:val="0"/>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/a）</w:t>
                  </w:r>
                </w:p>
              </w:tc>
              <w:tc>
                <w:tcPr>
                  <w:tcW w:w="495" w:type="dxa"/>
                  <w:vMerge w:val="restart"/>
                  <w:tcBorders>
                    <w:tl2br w:val="nil"/>
                    <w:tr2bl w:val="nil"/>
                  </w:tcBorders>
                  <w:noWrap w:val="0"/>
                  <w:vAlign w:val="center"/>
                </w:tcPr>
                <w:p w14:paraId="3E74B554">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排放</w:t>
                  </w:r>
                </w:p>
                <w:p w14:paraId="368BD473">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去向</w:t>
                  </w:r>
                </w:p>
              </w:tc>
              <w:tc>
                <w:tcPr>
                  <w:tcW w:w="787" w:type="dxa"/>
                  <w:vMerge w:val="restart"/>
                  <w:tcBorders>
                    <w:tl2br w:val="nil"/>
                    <w:tr2bl w:val="nil"/>
                  </w:tcBorders>
                  <w:noWrap w:val="0"/>
                  <w:vAlign w:val="center"/>
                </w:tcPr>
                <w:p w14:paraId="59C164AB">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排放</w:t>
                  </w:r>
                </w:p>
                <w:p w14:paraId="79147BB3">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规律</w:t>
                  </w:r>
                </w:p>
              </w:tc>
              <w:tc>
                <w:tcPr>
                  <w:tcW w:w="2696" w:type="dxa"/>
                  <w:gridSpan w:val="3"/>
                  <w:tcBorders>
                    <w:tl2br w:val="nil"/>
                    <w:tr2bl w:val="nil"/>
                  </w:tcBorders>
                  <w:noWrap w:val="0"/>
                  <w:vAlign w:val="center"/>
                </w:tcPr>
                <w:p w14:paraId="535E44FD">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受纳污水处理厂信息</w:t>
                  </w:r>
                </w:p>
              </w:tc>
            </w:tr>
            <w:tr w14:paraId="1AA55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100" w:type="dxa"/>
                  <w:vMerge w:val="continue"/>
                  <w:tcBorders>
                    <w:tl2br w:val="nil"/>
                    <w:tr2bl w:val="nil"/>
                  </w:tcBorders>
                  <w:noWrap w:val="0"/>
                  <w:vAlign w:val="center"/>
                </w:tcPr>
                <w:p w14:paraId="7D1876ED">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tcBorders>
                    <w:tl2br w:val="nil"/>
                    <w:tr2bl w:val="nil"/>
                  </w:tcBorders>
                  <w:noWrap w:val="0"/>
                  <w:vAlign w:val="center"/>
                </w:tcPr>
                <w:p w14:paraId="3361D3FD">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经度（°）</w:t>
                  </w:r>
                </w:p>
              </w:tc>
              <w:tc>
                <w:tcPr>
                  <w:tcW w:w="990" w:type="dxa"/>
                  <w:tcBorders>
                    <w:tl2br w:val="nil"/>
                    <w:tr2bl w:val="nil"/>
                  </w:tcBorders>
                  <w:noWrap w:val="0"/>
                  <w:vAlign w:val="center"/>
                </w:tcPr>
                <w:p w14:paraId="4A9D02E4">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纬度（°）</w:t>
                  </w:r>
                </w:p>
              </w:tc>
              <w:tc>
                <w:tcPr>
                  <w:tcW w:w="945" w:type="dxa"/>
                  <w:vMerge w:val="continue"/>
                  <w:tcBorders>
                    <w:tl2br w:val="nil"/>
                    <w:tr2bl w:val="nil"/>
                  </w:tcBorders>
                  <w:noWrap w:val="0"/>
                  <w:vAlign w:val="center"/>
                </w:tcPr>
                <w:p w14:paraId="682925F2">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495" w:type="dxa"/>
                  <w:vMerge w:val="continue"/>
                  <w:tcBorders>
                    <w:tl2br w:val="nil"/>
                    <w:tr2bl w:val="nil"/>
                  </w:tcBorders>
                  <w:noWrap w:val="0"/>
                  <w:vAlign w:val="center"/>
                </w:tcPr>
                <w:p w14:paraId="39363184">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787" w:type="dxa"/>
                  <w:vMerge w:val="continue"/>
                  <w:tcBorders>
                    <w:tl2br w:val="nil"/>
                    <w:tr2bl w:val="nil"/>
                  </w:tcBorders>
                  <w:noWrap w:val="0"/>
                  <w:vAlign w:val="center"/>
                </w:tcPr>
                <w:p w14:paraId="57CEB49A">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563" w:type="dxa"/>
                  <w:tcBorders>
                    <w:tl2br w:val="nil"/>
                    <w:tr2bl w:val="nil"/>
                  </w:tcBorders>
                  <w:noWrap w:val="0"/>
                  <w:vAlign w:val="center"/>
                </w:tcPr>
                <w:p w14:paraId="32A0E7FB">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名称</w:t>
                  </w:r>
                </w:p>
              </w:tc>
              <w:tc>
                <w:tcPr>
                  <w:tcW w:w="1096" w:type="dxa"/>
                  <w:tcBorders>
                    <w:tl2br w:val="nil"/>
                    <w:tr2bl w:val="nil"/>
                  </w:tcBorders>
                  <w:noWrap w:val="0"/>
                  <w:vAlign w:val="center"/>
                </w:tcPr>
                <w:p w14:paraId="3DEB928D">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污染物</w:t>
                  </w:r>
                </w:p>
                <w:p w14:paraId="583A9CAF">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种类</w:t>
                  </w:r>
                </w:p>
              </w:tc>
              <w:tc>
                <w:tcPr>
                  <w:tcW w:w="1037" w:type="dxa"/>
                  <w:tcBorders>
                    <w:tl2br w:val="nil"/>
                    <w:tr2bl w:val="nil"/>
                  </w:tcBorders>
                  <w:noWrap w:val="0"/>
                  <w:vAlign w:val="center"/>
                </w:tcPr>
                <w:p w14:paraId="1E5CE8F4">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国家或地方污染物排放标准浓度限值（mg/L）</w:t>
                  </w:r>
                </w:p>
              </w:tc>
            </w:tr>
            <w:tr w14:paraId="7218C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100" w:type="dxa"/>
                  <w:vMerge w:val="restart"/>
                  <w:tcBorders>
                    <w:tl2br w:val="nil"/>
                    <w:tr2bl w:val="nil"/>
                  </w:tcBorders>
                  <w:noWrap w:val="0"/>
                  <w:vAlign w:val="center"/>
                </w:tcPr>
                <w:p w14:paraId="23DD9A13">
                  <w:pPr>
                    <w:pStyle w:val="272"/>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厂区总</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口</w:t>
                  </w:r>
                </w:p>
                <w:p w14:paraId="42870B87">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DW001</w:t>
                  </w:r>
                </w:p>
              </w:tc>
              <w:tc>
                <w:tcPr>
                  <w:tcW w:w="1080" w:type="dxa"/>
                  <w:vMerge w:val="restart"/>
                  <w:tcBorders>
                    <w:tl2br w:val="nil"/>
                    <w:tr2bl w:val="nil"/>
                  </w:tcBorders>
                  <w:noWrap w:val="0"/>
                  <w:vAlign w:val="center"/>
                </w:tcPr>
                <w:p w14:paraId="5596F010">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111.786933</w:t>
                  </w:r>
                </w:p>
              </w:tc>
              <w:tc>
                <w:tcPr>
                  <w:tcW w:w="990" w:type="dxa"/>
                  <w:vMerge w:val="restart"/>
                  <w:tcBorders>
                    <w:tl2br w:val="nil"/>
                    <w:tr2bl w:val="nil"/>
                  </w:tcBorders>
                  <w:noWrap w:val="0"/>
                  <w:vAlign w:val="center"/>
                </w:tcPr>
                <w:p w14:paraId="6A303A11">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34.772033</w:t>
                  </w:r>
                </w:p>
              </w:tc>
              <w:tc>
                <w:tcPr>
                  <w:tcW w:w="945" w:type="dxa"/>
                  <w:vMerge w:val="restart"/>
                  <w:tcBorders>
                    <w:tl2br w:val="nil"/>
                    <w:tr2bl w:val="nil"/>
                  </w:tcBorders>
                  <w:noWrap w:val="0"/>
                  <w:vAlign w:val="center"/>
                </w:tcPr>
                <w:p w14:paraId="5BCBDA20">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7115.31</w:t>
                  </w:r>
                </w:p>
              </w:tc>
              <w:tc>
                <w:tcPr>
                  <w:tcW w:w="495" w:type="dxa"/>
                  <w:vMerge w:val="restart"/>
                  <w:tcBorders>
                    <w:tl2br w:val="nil"/>
                    <w:tr2bl w:val="nil"/>
                  </w:tcBorders>
                  <w:noWrap w:val="0"/>
                  <w:vAlign w:val="center"/>
                </w:tcPr>
                <w:p w14:paraId="3D35E30F">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污</w:t>
                  </w:r>
                </w:p>
                <w:p w14:paraId="70A34228">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水</w:t>
                  </w:r>
                </w:p>
                <w:p w14:paraId="3B551782">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处</w:t>
                  </w:r>
                </w:p>
                <w:p w14:paraId="7D5D1D92">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理</w:t>
                  </w:r>
                </w:p>
                <w:p w14:paraId="49158571">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厂</w:t>
                  </w:r>
                </w:p>
              </w:tc>
              <w:tc>
                <w:tcPr>
                  <w:tcW w:w="787" w:type="dxa"/>
                  <w:vMerge w:val="restart"/>
                  <w:tcBorders>
                    <w:tl2br w:val="nil"/>
                    <w:tr2bl w:val="nil"/>
                  </w:tcBorders>
                  <w:noWrap w:val="0"/>
                  <w:vAlign w:val="center"/>
                </w:tcPr>
                <w:p w14:paraId="31BAE915">
                  <w:pPr>
                    <w:pStyle w:val="272"/>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间断排放，流量不稳定且无规律，但不属于冲击型排放</w:t>
                  </w:r>
                </w:p>
              </w:tc>
              <w:tc>
                <w:tcPr>
                  <w:tcW w:w="563" w:type="dxa"/>
                  <w:vMerge w:val="restart"/>
                  <w:tcBorders>
                    <w:tl2br w:val="nil"/>
                    <w:tr2bl w:val="nil"/>
                  </w:tcBorders>
                  <w:noWrap w:val="0"/>
                  <w:vAlign w:val="center"/>
                </w:tcPr>
                <w:p w14:paraId="29ADB9DD">
                  <w:pPr>
                    <w:pStyle w:val="272"/>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渑池县</w:t>
                  </w:r>
                  <w:r>
                    <w:rPr>
                      <w:rFonts w:hint="default" w:ascii="Times New Roman" w:hAnsi="Times New Roman" w:cs="Times New Roman"/>
                      <w:color w:val="000000" w:themeColor="text1"/>
                      <w:highlight w:val="none"/>
                      <w:lang w:eastAsia="zh-CN"/>
                      <w14:textFill>
                        <w14:solidFill>
                          <w14:schemeClr w14:val="tx1"/>
                        </w14:solidFill>
                      </w14:textFill>
                    </w:rPr>
                    <w:t>第二污水处理厂</w:t>
                  </w:r>
                </w:p>
              </w:tc>
              <w:tc>
                <w:tcPr>
                  <w:tcW w:w="1096" w:type="dxa"/>
                  <w:tcBorders>
                    <w:tl2br w:val="nil"/>
                    <w:tr2bl w:val="nil"/>
                  </w:tcBorders>
                  <w:noWrap w:val="0"/>
                  <w:vAlign w:val="center"/>
                </w:tcPr>
                <w:p w14:paraId="26BCEA94">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COD</w:t>
                  </w:r>
                </w:p>
              </w:tc>
              <w:tc>
                <w:tcPr>
                  <w:tcW w:w="1037" w:type="dxa"/>
                  <w:tcBorders>
                    <w:tl2br w:val="nil"/>
                    <w:tr2bl w:val="nil"/>
                  </w:tcBorders>
                  <w:noWrap w:val="0"/>
                  <w:vAlign w:val="center"/>
                </w:tcPr>
                <w:p w14:paraId="16CB0853">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30</w:t>
                  </w:r>
                </w:p>
              </w:tc>
            </w:tr>
            <w:tr w14:paraId="57DB7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100" w:type="dxa"/>
                  <w:vMerge w:val="continue"/>
                  <w:tcBorders>
                    <w:tl2br w:val="nil"/>
                    <w:tr2bl w:val="nil"/>
                  </w:tcBorders>
                  <w:noWrap w:val="0"/>
                  <w:vAlign w:val="center"/>
                </w:tcPr>
                <w:p w14:paraId="08C36BAF">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p>
              </w:tc>
              <w:tc>
                <w:tcPr>
                  <w:tcW w:w="1080" w:type="dxa"/>
                  <w:vMerge w:val="continue"/>
                  <w:tcBorders>
                    <w:tl2br w:val="nil"/>
                    <w:tr2bl w:val="nil"/>
                  </w:tcBorders>
                  <w:noWrap w:val="0"/>
                  <w:vAlign w:val="center"/>
                </w:tcPr>
                <w:p w14:paraId="238B8711">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tcBorders>
                    <w:tl2br w:val="nil"/>
                    <w:tr2bl w:val="nil"/>
                  </w:tcBorders>
                  <w:noWrap w:val="0"/>
                  <w:vAlign w:val="center"/>
                </w:tcPr>
                <w:p w14:paraId="76356576">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45" w:type="dxa"/>
                  <w:vMerge w:val="continue"/>
                  <w:tcBorders>
                    <w:tl2br w:val="nil"/>
                    <w:tr2bl w:val="nil"/>
                  </w:tcBorders>
                  <w:noWrap w:val="0"/>
                  <w:vAlign w:val="center"/>
                </w:tcPr>
                <w:p w14:paraId="3D63ACDE">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495" w:type="dxa"/>
                  <w:vMerge w:val="continue"/>
                  <w:tcBorders>
                    <w:tl2br w:val="nil"/>
                    <w:tr2bl w:val="nil"/>
                  </w:tcBorders>
                  <w:noWrap w:val="0"/>
                  <w:vAlign w:val="center"/>
                </w:tcPr>
                <w:p w14:paraId="16C1754A">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787" w:type="dxa"/>
                  <w:vMerge w:val="continue"/>
                  <w:tcBorders>
                    <w:tl2br w:val="nil"/>
                    <w:tr2bl w:val="nil"/>
                  </w:tcBorders>
                  <w:noWrap w:val="0"/>
                  <w:vAlign w:val="center"/>
                </w:tcPr>
                <w:p w14:paraId="63F80B1D">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563" w:type="dxa"/>
                  <w:vMerge w:val="continue"/>
                  <w:tcBorders>
                    <w:tl2br w:val="nil"/>
                    <w:tr2bl w:val="nil"/>
                  </w:tcBorders>
                  <w:noWrap w:val="0"/>
                  <w:vAlign w:val="center"/>
                </w:tcPr>
                <w:p w14:paraId="3F280DE9">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96" w:type="dxa"/>
                  <w:tcBorders>
                    <w:tl2br w:val="nil"/>
                    <w:tr2bl w:val="nil"/>
                  </w:tcBorders>
                  <w:noWrap w:val="0"/>
                  <w:vAlign w:val="center"/>
                </w:tcPr>
                <w:p w14:paraId="02815B19">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BOD</w:t>
                  </w:r>
                  <w:r>
                    <w:rPr>
                      <w:rFonts w:hint="default" w:ascii="Times New Roman" w:hAnsi="Times New Roman" w:eastAsia="宋体" w:cs="Times New Roman"/>
                      <w:bCs/>
                      <w:color w:val="000000" w:themeColor="text1"/>
                      <w:kern w:val="2"/>
                      <w:sz w:val="21"/>
                      <w:szCs w:val="21"/>
                      <w:highlight w:val="none"/>
                      <w:vertAlign w:val="subscript"/>
                      <w:lang w:val="en-US" w:eastAsia="zh-CN" w:bidi="ar-SA"/>
                      <w14:textFill>
                        <w14:solidFill>
                          <w14:schemeClr w14:val="tx1"/>
                        </w14:solidFill>
                      </w14:textFill>
                    </w:rPr>
                    <w:t>5</w:t>
                  </w:r>
                </w:p>
              </w:tc>
              <w:tc>
                <w:tcPr>
                  <w:tcW w:w="1037" w:type="dxa"/>
                  <w:tcBorders>
                    <w:tl2br w:val="nil"/>
                    <w:tr2bl w:val="nil"/>
                  </w:tcBorders>
                  <w:noWrap w:val="0"/>
                  <w:vAlign w:val="center"/>
                </w:tcPr>
                <w:p w14:paraId="72EACF6E">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6</w:t>
                  </w:r>
                </w:p>
              </w:tc>
            </w:tr>
            <w:tr w14:paraId="1047A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100" w:type="dxa"/>
                  <w:vMerge w:val="continue"/>
                  <w:tcBorders>
                    <w:tl2br w:val="nil"/>
                    <w:tr2bl w:val="nil"/>
                  </w:tcBorders>
                  <w:noWrap w:val="0"/>
                  <w:vAlign w:val="center"/>
                </w:tcPr>
                <w:p w14:paraId="63FBA185">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p>
              </w:tc>
              <w:tc>
                <w:tcPr>
                  <w:tcW w:w="1080" w:type="dxa"/>
                  <w:vMerge w:val="continue"/>
                  <w:tcBorders>
                    <w:tl2br w:val="nil"/>
                    <w:tr2bl w:val="nil"/>
                  </w:tcBorders>
                  <w:noWrap w:val="0"/>
                  <w:vAlign w:val="center"/>
                </w:tcPr>
                <w:p w14:paraId="3C1972F5">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tcBorders>
                    <w:tl2br w:val="nil"/>
                    <w:tr2bl w:val="nil"/>
                  </w:tcBorders>
                  <w:noWrap w:val="0"/>
                  <w:vAlign w:val="center"/>
                </w:tcPr>
                <w:p w14:paraId="343721B6">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45" w:type="dxa"/>
                  <w:vMerge w:val="continue"/>
                  <w:tcBorders>
                    <w:tl2br w:val="nil"/>
                    <w:tr2bl w:val="nil"/>
                  </w:tcBorders>
                  <w:noWrap w:val="0"/>
                  <w:vAlign w:val="center"/>
                </w:tcPr>
                <w:p w14:paraId="752FA67F">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495" w:type="dxa"/>
                  <w:vMerge w:val="continue"/>
                  <w:tcBorders>
                    <w:tl2br w:val="nil"/>
                    <w:tr2bl w:val="nil"/>
                  </w:tcBorders>
                  <w:noWrap w:val="0"/>
                  <w:vAlign w:val="center"/>
                </w:tcPr>
                <w:p w14:paraId="593E5912">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787" w:type="dxa"/>
                  <w:vMerge w:val="continue"/>
                  <w:tcBorders>
                    <w:tl2br w:val="nil"/>
                    <w:tr2bl w:val="nil"/>
                  </w:tcBorders>
                  <w:noWrap w:val="0"/>
                  <w:vAlign w:val="center"/>
                </w:tcPr>
                <w:p w14:paraId="4ADF47CF">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563" w:type="dxa"/>
                  <w:vMerge w:val="continue"/>
                  <w:tcBorders>
                    <w:tl2br w:val="nil"/>
                    <w:tr2bl w:val="nil"/>
                  </w:tcBorders>
                  <w:noWrap w:val="0"/>
                  <w:vAlign w:val="center"/>
                </w:tcPr>
                <w:p w14:paraId="0DDB14E3">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96" w:type="dxa"/>
                  <w:tcBorders>
                    <w:tl2br w:val="nil"/>
                    <w:tr2bl w:val="nil"/>
                  </w:tcBorders>
                  <w:noWrap w:val="0"/>
                  <w:vAlign w:val="center"/>
                </w:tcPr>
                <w:p w14:paraId="4F3478CA">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SS</w:t>
                  </w:r>
                </w:p>
              </w:tc>
              <w:tc>
                <w:tcPr>
                  <w:tcW w:w="1037" w:type="dxa"/>
                  <w:tcBorders>
                    <w:tl2br w:val="nil"/>
                    <w:tr2bl w:val="nil"/>
                  </w:tcBorders>
                  <w:noWrap w:val="0"/>
                  <w:vAlign w:val="center"/>
                </w:tcPr>
                <w:p w14:paraId="56252A50">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r>
            <w:tr w14:paraId="00A5B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100" w:type="dxa"/>
                  <w:vMerge w:val="continue"/>
                  <w:tcBorders>
                    <w:tl2br w:val="nil"/>
                    <w:tr2bl w:val="nil"/>
                  </w:tcBorders>
                  <w:noWrap w:val="0"/>
                  <w:vAlign w:val="center"/>
                </w:tcPr>
                <w:p w14:paraId="7BDC3600">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p>
              </w:tc>
              <w:tc>
                <w:tcPr>
                  <w:tcW w:w="1080" w:type="dxa"/>
                  <w:vMerge w:val="continue"/>
                  <w:tcBorders>
                    <w:tl2br w:val="nil"/>
                    <w:tr2bl w:val="nil"/>
                  </w:tcBorders>
                  <w:noWrap w:val="0"/>
                  <w:vAlign w:val="center"/>
                </w:tcPr>
                <w:p w14:paraId="792C3A99">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tcBorders>
                    <w:tl2br w:val="nil"/>
                    <w:tr2bl w:val="nil"/>
                  </w:tcBorders>
                  <w:noWrap w:val="0"/>
                  <w:vAlign w:val="center"/>
                </w:tcPr>
                <w:p w14:paraId="7438F292">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45" w:type="dxa"/>
                  <w:vMerge w:val="continue"/>
                  <w:tcBorders>
                    <w:tl2br w:val="nil"/>
                    <w:tr2bl w:val="nil"/>
                  </w:tcBorders>
                  <w:noWrap w:val="0"/>
                  <w:vAlign w:val="center"/>
                </w:tcPr>
                <w:p w14:paraId="70DF5A8B">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495" w:type="dxa"/>
                  <w:vMerge w:val="continue"/>
                  <w:tcBorders>
                    <w:tl2br w:val="nil"/>
                    <w:tr2bl w:val="nil"/>
                  </w:tcBorders>
                  <w:noWrap w:val="0"/>
                  <w:vAlign w:val="center"/>
                </w:tcPr>
                <w:p w14:paraId="74AE67D7">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787" w:type="dxa"/>
                  <w:vMerge w:val="continue"/>
                  <w:tcBorders>
                    <w:tl2br w:val="nil"/>
                    <w:tr2bl w:val="nil"/>
                  </w:tcBorders>
                  <w:noWrap w:val="0"/>
                  <w:vAlign w:val="center"/>
                </w:tcPr>
                <w:p w14:paraId="3D5D82F5">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563" w:type="dxa"/>
                  <w:vMerge w:val="continue"/>
                  <w:tcBorders>
                    <w:tl2br w:val="nil"/>
                    <w:tr2bl w:val="nil"/>
                  </w:tcBorders>
                  <w:noWrap w:val="0"/>
                  <w:vAlign w:val="center"/>
                </w:tcPr>
                <w:p w14:paraId="3B59BBA0">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96" w:type="dxa"/>
                  <w:tcBorders>
                    <w:tl2br w:val="nil"/>
                    <w:tr2bl w:val="nil"/>
                  </w:tcBorders>
                  <w:noWrap w:val="0"/>
                  <w:vAlign w:val="center"/>
                </w:tcPr>
                <w:p w14:paraId="4B31C928">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NH</w:t>
                  </w:r>
                  <w:r>
                    <w:rPr>
                      <w:rFonts w:hint="default" w:ascii="Times New Roman" w:hAnsi="Times New Roman" w:eastAsia="宋体" w:cs="Times New Roman"/>
                      <w:bCs/>
                      <w:color w:val="000000" w:themeColor="text1"/>
                      <w:kern w:val="2"/>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-N</w:t>
                  </w:r>
                </w:p>
              </w:tc>
              <w:tc>
                <w:tcPr>
                  <w:tcW w:w="1037" w:type="dxa"/>
                  <w:tcBorders>
                    <w:tl2br w:val="nil"/>
                    <w:tr2bl w:val="nil"/>
                  </w:tcBorders>
                  <w:noWrap w:val="0"/>
                  <w:vAlign w:val="center"/>
                </w:tcPr>
                <w:p w14:paraId="5E72FF7E">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1.5</w:t>
                  </w:r>
                </w:p>
              </w:tc>
            </w:tr>
            <w:tr w14:paraId="0198C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100" w:type="dxa"/>
                  <w:vMerge w:val="continue"/>
                  <w:tcBorders>
                    <w:tl2br w:val="nil"/>
                    <w:tr2bl w:val="nil"/>
                  </w:tcBorders>
                  <w:noWrap w:val="0"/>
                  <w:vAlign w:val="center"/>
                </w:tcPr>
                <w:p w14:paraId="5129E230">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p>
              </w:tc>
              <w:tc>
                <w:tcPr>
                  <w:tcW w:w="1080" w:type="dxa"/>
                  <w:vMerge w:val="continue"/>
                  <w:tcBorders>
                    <w:tl2br w:val="nil"/>
                    <w:tr2bl w:val="nil"/>
                  </w:tcBorders>
                  <w:noWrap w:val="0"/>
                  <w:vAlign w:val="center"/>
                </w:tcPr>
                <w:p w14:paraId="51A17021">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tcBorders>
                    <w:tl2br w:val="nil"/>
                    <w:tr2bl w:val="nil"/>
                  </w:tcBorders>
                  <w:noWrap w:val="0"/>
                  <w:vAlign w:val="center"/>
                </w:tcPr>
                <w:p w14:paraId="769EED78">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45" w:type="dxa"/>
                  <w:vMerge w:val="continue"/>
                  <w:tcBorders>
                    <w:tl2br w:val="nil"/>
                    <w:tr2bl w:val="nil"/>
                  </w:tcBorders>
                  <w:noWrap w:val="0"/>
                  <w:vAlign w:val="center"/>
                </w:tcPr>
                <w:p w14:paraId="0F966146">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495" w:type="dxa"/>
                  <w:vMerge w:val="continue"/>
                  <w:tcBorders>
                    <w:tl2br w:val="nil"/>
                    <w:tr2bl w:val="nil"/>
                  </w:tcBorders>
                  <w:noWrap w:val="0"/>
                  <w:vAlign w:val="center"/>
                </w:tcPr>
                <w:p w14:paraId="4E4401BE">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787" w:type="dxa"/>
                  <w:vMerge w:val="continue"/>
                  <w:tcBorders>
                    <w:tl2br w:val="nil"/>
                    <w:tr2bl w:val="nil"/>
                  </w:tcBorders>
                  <w:noWrap w:val="0"/>
                  <w:vAlign w:val="center"/>
                </w:tcPr>
                <w:p w14:paraId="2255A650">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563" w:type="dxa"/>
                  <w:vMerge w:val="continue"/>
                  <w:tcBorders>
                    <w:tl2br w:val="nil"/>
                    <w:tr2bl w:val="nil"/>
                  </w:tcBorders>
                  <w:noWrap w:val="0"/>
                  <w:vAlign w:val="center"/>
                </w:tcPr>
                <w:p w14:paraId="50AEE4E1">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96" w:type="dxa"/>
                  <w:tcBorders>
                    <w:tl2br w:val="nil"/>
                    <w:tr2bl w:val="nil"/>
                  </w:tcBorders>
                  <w:noWrap w:val="0"/>
                  <w:vAlign w:val="center"/>
                </w:tcPr>
                <w:p w14:paraId="380810DC">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动植物油</w:t>
                  </w:r>
                </w:p>
              </w:tc>
              <w:tc>
                <w:tcPr>
                  <w:tcW w:w="1037" w:type="dxa"/>
                  <w:tcBorders>
                    <w:tl2br w:val="nil"/>
                    <w:tr2bl w:val="nil"/>
                  </w:tcBorders>
                  <w:noWrap w:val="0"/>
                  <w:vAlign w:val="center"/>
                </w:tcPr>
                <w:p w14:paraId="6EBB2C21">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p>
              </w:tc>
            </w:tr>
            <w:tr w14:paraId="257A94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100" w:type="dxa"/>
                  <w:vMerge w:val="continue"/>
                  <w:tcBorders>
                    <w:tl2br w:val="nil"/>
                    <w:tr2bl w:val="nil"/>
                  </w:tcBorders>
                  <w:noWrap w:val="0"/>
                  <w:vAlign w:val="center"/>
                </w:tcPr>
                <w:p w14:paraId="1C3991B0">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p>
              </w:tc>
              <w:tc>
                <w:tcPr>
                  <w:tcW w:w="1080" w:type="dxa"/>
                  <w:vMerge w:val="continue"/>
                  <w:tcBorders>
                    <w:tl2br w:val="nil"/>
                    <w:tr2bl w:val="nil"/>
                  </w:tcBorders>
                  <w:noWrap w:val="0"/>
                  <w:vAlign w:val="center"/>
                </w:tcPr>
                <w:p w14:paraId="2FDF38E6">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tcBorders>
                    <w:tl2br w:val="nil"/>
                    <w:tr2bl w:val="nil"/>
                  </w:tcBorders>
                  <w:noWrap w:val="0"/>
                  <w:vAlign w:val="center"/>
                </w:tcPr>
                <w:p w14:paraId="79865F26">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45" w:type="dxa"/>
                  <w:vMerge w:val="continue"/>
                  <w:tcBorders>
                    <w:tl2br w:val="nil"/>
                    <w:tr2bl w:val="nil"/>
                  </w:tcBorders>
                  <w:noWrap w:val="0"/>
                  <w:vAlign w:val="center"/>
                </w:tcPr>
                <w:p w14:paraId="0E95EC64">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495" w:type="dxa"/>
                  <w:vMerge w:val="continue"/>
                  <w:tcBorders>
                    <w:tl2br w:val="nil"/>
                    <w:tr2bl w:val="nil"/>
                  </w:tcBorders>
                  <w:noWrap w:val="0"/>
                  <w:vAlign w:val="center"/>
                </w:tcPr>
                <w:p w14:paraId="0A1B54FF">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787" w:type="dxa"/>
                  <w:vMerge w:val="continue"/>
                  <w:tcBorders>
                    <w:tl2br w:val="nil"/>
                    <w:tr2bl w:val="nil"/>
                  </w:tcBorders>
                  <w:noWrap w:val="0"/>
                  <w:vAlign w:val="center"/>
                </w:tcPr>
                <w:p w14:paraId="590F7F58">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563" w:type="dxa"/>
                  <w:vMerge w:val="continue"/>
                  <w:tcBorders>
                    <w:tl2br w:val="nil"/>
                    <w:tr2bl w:val="nil"/>
                  </w:tcBorders>
                  <w:noWrap w:val="0"/>
                  <w:vAlign w:val="center"/>
                </w:tcPr>
                <w:p w14:paraId="1BA3AD46">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96" w:type="dxa"/>
                  <w:tcBorders>
                    <w:tl2br w:val="nil"/>
                    <w:tr2bl w:val="nil"/>
                  </w:tcBorders>
                  <w:noWrap w:val="0"/>
                  <w:vAlign w:val="center"/>
                </w:tcPr>
                <w:p w14:paraId="6540CC50">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粪大肠菌群</w:t>
                  </w:r>
                </w:p>
              </w:tc>
              <w:tc>
                <w:tcPr>
                  <w:tcW w:w="1037" w:type="dxa"/>
                  <w:tcBorders>
                    <w:tl2br w:val="nil"/>
                    <w:tr2bl w:val="nil"/>
                  </w:tcBorders>
                  <w:noWrap w:val="0"/>
                  <w:vAlign w:val="center"/>
                </w:tcPr>
                <w:p w14:paraId="0643D13B">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20000个/L</w:t>
                  </w:r>
                </w:p>
              </w:tc>
            </w:tr>
            <w:tr w14:paraId="3BFA0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100" w:type="dxa"/>
                  <w:vMerge w:val="continue"/>
                  <w:tcBorders>
                    <w:tl2br w:val="nil"/>
                    <w:tr2bl w:val="nil"/>
                  </w:tcBorders>
                  <w:noWrap w:val="0"/>
                  <w:vAlign w:val="center"/>
                </w:tcPr>
                <w:p w14:paraId="66805D34">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p>
              </w:tc>
              <w:tc>
                <w:tcPr>
                  <w:tcW w:w="1080" w:type="dxa"/>
                  <w:vMerge w:val="continue"/>
                  <w:tcBorders>
                    <w:tl2br w:val="nil"/>
                    <w:tr2bl w:val="nil"/>
                  </w:tcBorders>
                  <w:noWrap w:val="0"/>
                  <w:vAlign w:val="center"/>
                </w:tcPr>
                <w:p w14:paraId="746E825D">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tcBorders>
                    <w:tl2br w:val="nil"/>
                    <w:tr2bl w:val="nil"/>
                  </w:tcBorders>
                  <w:noWrap w:val="0"/>
                  <w:vAlign w:val="center"/>
                </w:tcPr>
                <w:p w14:paraId="1A1BD76E">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45" w:type="dxa"/>
                  <w:vMerge w:val="continue"/>
                  <w:tcBorders>
                    <w:tl2br w:val="nil"/>
                    <w:tr2bl w:val="nil"/>
                  </w:tcBorders>
                  <w:noWrap w:val="0"/>
                  <w:vAlign w:val="center"/>
                </w:tcPr>
                <w:p w14:paraId="4B667C22">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495" w:type="dxa"/>
                  <w:vMerge w:val="continue"/>
                  <w:tcBorders>
                    <w:tl2br w:val="nil"/>
                    <w:tr2bl w:val="nil"/>
                  </w:tcBorders>
                  <w:noWrap w:val="0"/>
                  <w:vAlign w:val="center"/>
                </w:tcPr>
                <w:p w14:paraId="4F8C9CAD">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787" w:type="dxa"/>
                  <w:vMerge w:val="continue"/>
                  <w:tcBorders>
                    <w:tl2br w:val="nil"/>
                    <w:tr2bl w:val="nil"/>
                  </w:tcBorders>
                  <w:noWrap w:val="0"/>
                  <w:vAlign w:val="center"/>
                </w:tcPr>
                <w:p w14:paraId="09D1F94A">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563" w:type="dxa"/>
                  <w:vMerge w:val="continue"/>
                  <w:tcBorders>
                    <w:tl2br w:val="nil"/>
                    <w:tr2bl w:val="nil"/>
                  </w:tcBorders>
                  <w:noWrap w:val="0"/>
                  <w:vAlign w:val="center"/>
                </w:tcPr>
                <w:p w14:paraId="7A08BF26">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96" w:type="dxa"/>
                  <w:tcBorders>
                    <w:tl2br w:val="nil"/>
                    <w:tr2bl w:val="nil"/>
                  </w:tcBorders>
                  <w:noWrap w:val="0"/>
                  <w:vAlign w:val="center"/>
                </w:tcPr>
                <w:p w14:paraId="232B3FF8">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阴离子表面活性剂</w:t>
                  </w:r>
                </w:p>
              </w:tc>
              <w:tc>
                <w:tcPr>
                  <w:tcW w:w="1037" w:type="dxa"/>
                  <w:tcBorders>
                    <w:tl2br w:val="nil"/>
                    <w:tr2bl w:val="nil"/>
                  </w:tcBorders>
                  <w:noWrap w:val="0"/>
                  <w:vAlign w:val="center"/>
                </w:tcPr>
                <w:p w14:paraId="555F3928">
                  <w:pPr>
                    <w:pStyle w:val="272"/>
                    <w:keepNext w:val="0"/>
                    <w:keepLines w:val="0"/>
                    <w:pageBreakBefore w:val="0"/>
                    <w:widowControl w:val="0"/>
                    <w:kinsoku/>
                    <w:wordWrap/>
                    <w:overflowPunct/>
                    <w:topLinePunct w:val="0"/>
                    <w:autoSpaceDE/>
                    <w:autoSpaceDN/>
                    <w:bidi w:val="0"/>
                    <w:adjustRightInd/>
                    <w:snapToGrid/>
                    <w:spacing w:line="0" w:lineRule="atLeast"/>
                    <w:ind w:left="-105" w:leftChars="-50" w:right="-105" w:rightChars="-5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0.3</w:t>
                  </w:r>
                </w:p>
              </w:tc>
            </w:tr>
          </w:tbl>
          <w:p w14:paraId="6A586C8A">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line="240" w:lineRule="auto"/>
              <w:ind w:firstLine="0"/>
              <w:textAlignment w:val="auto"/>
              <w:rPr>
                <w:rFonts w:hint="eastAsia" w:ascii="黑体" w:hAnsi="黑体" w:eastAsia="黑体"/>
                <w:bCs/>
                <w:color w:val="000000" w:themeColor="text1"/>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4"/>
                <w:highlight w:val="none"/>
                <w:lang w:val="en-US" w:eastAsia="zh-CN"/>
                <w14:textFill>
                  <w14:solidFill>
                    <w14:schemeClr w14:val="tx1"/>
                  </w14:solidFill>
                </w14:textFill>
              </w:rPr>
              <w:t>废水</w:t>
            </w:r>
            <w:r>
              <w:rPr>
                <w:rFonts w:hint="eastAsia" w:ascii="黑体" w:hAnsi="黑体" w:eastAsia="黑体"/>
                <w:bCs/>
                <w:color w:val="000000" w:themeColor="text1"/>
                <w:highlight w:val="none"/>
                <w:lang w:val="en-US" w:eastAsia="zh-CN"/>
                <w14:textFill>
                  <w14:solidFill>
                    <w14:schemeClr w14:val="tx1"/>
                  </w14:solidFill>
                </w14:textFill>
              </w:rPr>
              <w:t>污染物排放执行标准表</w:t>
            </w:r>
          </w:p>
          <w:tbl>
            <w:tblPr>
              <w:tblStyle w:val="34"/>
              <w:tblW w:w="80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303"/>
              <w:gridCol w:w="2128"/>
              <w:gridCol w:w="2129"/>
              <w:gridCol w:w="1878"/>
            </w:tblGrid>
            <w:tr w14:paraId="5FD94C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restart"/>
                  <w:tcBorders>
                    <w:tl2br w:val="nil"/>
                    <w:tr2bl w:val="nil"/>
                  </w:tcBorders>
                  <w:noWrap w:val="0"/>
                  <w:vAlign w:val="center"/>
                </w:tcPr>
                <w:p w14:paraId="18ECF1D3">
                  <w:pPr>
                    <w:jc w:val="cente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序号</w:t>
                  </w:r>
                </w:p>
              </w:tc>
              <w:tc>
                <w:tcPr>
                  <w:tcW w:w="1303" w:type="dxa"/>
                  <w:vMerge w:val="restart"/>
                  <w:tcBorders>
                    <w:tl2br w:val="nil"/>
                    <w:tr2bl w:val="nil"/>
                  </w:tcBorders>
                  <w:noWrap w:val="0"/>
                  <w:vAlign w:val="center"/>
                </w:tcPr>
                <w:p w14:paraId="1E5C19EB">
                  <w:pPr>
                    <w:jc w:val="cente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排放口编号</w:t>
                  </w:r>
                </w:p>
              </w:tc>
              <w:tc>
                <w:tcPr>
                  <w:tcW w:w="2128" w:type="dxa"/>
                  <w:vMerge w:val="restart"/>
                  <w:tcBorders>
                    <w:tl2br w:val="nil"/>
                    <w:tr2bl w:val="nil"/>
                  </w:tcBorders>
                  <w:noWrap w:val="0"/>
                  <w:vAlign w:val="center"/>
                </w:tcPr>
                <w:p w14:paraId="036A1AF6">
                  <w:pPr>
                    <w:jc w:val="cente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污染物种类</w:t>
                  </w:r>
                </w:p>
              </w:tc>
              <w:tc>
                <w:tcPr>
                  <w:tcW w:w="4007" w:type="dxa"/>
                  <w:gridSpan w:val="2"/>
                  <w:tcBorders>
                    <w:tl2br w:val="nil"/>
                    <w:tr2bl w:val="nil"/>
                  </w:tcBorders>
                  <w:noWrap w:val="0"/>
                  <w:vAlign w:val="center"/>
                </w:tcPr>
                <w:p w14:paraId="157DBA0A">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14:textFill>
                        <w14:solidFill>
                          <w14:schemeClr w14:val="tx1"/>
                        </w14:solidFill>
                      </w14:textFill>
                    </w:rPr>
                    <w:t>国家或地方污染物排放标准及其他按规定商定的排放协议</w:t>
                  </w:r>
                </w:p>
              </w:tc>
            </w:tr>
            <w:tr w14:paraId="3BFB7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tcBorders>
                    <w:tl2br w:val="nil"/>
                    <w:tr2bl w:val="nil"/>
                  </w:tcBorders>
                  <w:noWrap w:val="0"/>
                  <w:vAlign w:val="center"/>
                </w:tcPr>
                <w:p w14:paraId="0F2EA793">
                  <w:pPr>
                    <w:jc w:val="cente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pPr>
                </w:p>
              </w:tc>
              <w:tc>
                <w:tcPr>
                  <w:tcW w:w="1303" w:type="dxa"/>
                  <w:vMerge w:val="continue"/>
                  <w:tcBorders>
                    <w:tl2br w:val="nil"/>
                    <w:tr2bl w:val="nil"/>
                  </w:tcBorders>
                  <w:noWrap w:val="0"/>
                  <w:vAlign w:val="center"/>
                </w:tcPr>
                <w:p w14:paraId="045CFE4E">
                  <w:pPr>
                    <w:jc w:val="cente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pPr>
                </w:p>
              </w:tc>
              <w:tc>
                <w:tcPr>
                  <w:tcW w:w="2128" w:type="dxa"/>
                  <w:vMerge w:val="continue"/>
                  <w:tcBorders>
                    <w:tl2br w:val="nil"/>
                    <w:tr2bl w:val="nil"/>
                  </w:tcBorders>
                  <w:noWrap w:val="0"/>
                  <w:vAlign w:val="center"/>
                </w:tcPr>
                <w:p w14:paraId="6BE62AA8">
                  <w:pPr>
                    <w:jc w:val="cente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pPr>
                </w:p>
              </w:tc>
              <w:tc>
                <w:tcPr>
                  <w:tcW w:w="2129" w:type="dxa"/>
                  <w:tcBorders>
                    <w:tl2br w:val="nil"/>
                    <w:tr2bl w:val="nil"/>
                  </w:tcBorders>
                  <w:noWrap w:val="0"/>
                  <w:vAlign w:val="center"/>
                </w:tcPr>
                <w:p w14:paraId="238C40E1">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14:textFill>
                        <w14:solidFill>
                          <w14:schemeClr w14:val="tx1"/>
                        </w14:solidFill>
                      </w14:textFill>
                    </w:rPr>
                    <w:t>名称</w:t>
                  </w:r>
                </w:p>
              </w:tc>
              <w:tc>
                <w:tcPr>
                  <w:tcW w:w="1878" w:type="dxa"/>
                  <w:tcBorders>
                    <w:tl2br w:val="nil"/>
                    <w:tr2bl w:val="nil"/>
                  </w:tcBorders>
                  <w:noWrap w:val="0"/>
                  <w:vAlign w:val="center"/>
                </w:tcPr>
                <w:p w14:paraId="5DF3F839">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14:textFill>
                        <w14:solidFill>
                          <w14:schemeClr w14:val="tx1"/>
                        </w14:solidFill>
                      </w14:textFill>
                    </w:rPr>
                    <w:t>浓度限值（mg/L）</w:t>
                  </w:r>
                </w:p>
              </w:tc>
            </w:tr>
            <w:tr w14:paraId="64C8A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restart"/>
                  <w:tcBorders>
                    <w:tl2br w:val="nil"/>
                    <w:tr2bl w:val="nil"/>
                  </w:tcBorders>
                  <w:noWrap w:val="0"/>
                  <w:vAlign w:val="center"/>
                </w:tcPr>
                <w:p w14:paraId="6E7D3C56">
                  <w:pPr>
                    <w:jc w:val="cente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1</w:t>
                  </w:r>
                </w:p>
              </w:tc>
              <w:tc>
                <w:tcPr>
                  <w:tcW w:w="1303" w:type="dxa"/>
                  <w:vMerge w:val="restart"/>
                  <w:tcBorders>
                    <w:tl2br w:val="nil"/>
                    <w:tr2bl w:val="nil"/>
                  </w:tcBorders>
                  <w:noWrap w:val="0"/>
                  <w:vAlign w:val="center"/>
                </w:tcPr>
                <w:p w14:paraId="1A47A0AF">
                  <w:pPr>
                    <w:jc w:val="cente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厂区总排口DW001</w:t>
                  </w:r>
                </w:p>
              </w:tc>
              <w:tc>
                <w:tcPr>
                  <w:tcW w:w="2128" w:type="dxa"/>
                  <w:tcBorders>
                    <w:tl2br w:val="nil"/>
                    <w:tr2bl w:val="nil"/>
                  </w:tcBorders>
                  <w:noWrap w:val="0"/>
                  <w:vAlign w:val="center"/>
                </w:tcPr>
                <w:p w14:paraId="4C12D869">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COD</w:t>
                  </w:r>
                </w:p>
              </w:tc>
              <w:tc>
                <w:tcPr>
                  <w:tcW w:w="2129" w:type="dxa"/>
                  <w:vMerge w:val="restart"/>
                  <w:tcBorders>
                    <w:tl2br w:val="nil"/>
                    <w:tr2bl w:val="nil"/>
                  </w:tcBorders>
                  <w:noWrap w:val="0"/>
                  <w:vAlign w:val="center"/>
                </w:tcPr>
                <w:p w14:paraId="74004001">
                  <w:pPr>
                    <w:jc w:val="center"/>
                    <w:rPr>
                      <w:rFonts w:hint="default" w:ascii="Times New Roman" w:hAnsi="Times New Roman" w:cs="Times New Roman"/>
                      <w:b w:val="0"/>
                      <w:bCs/>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lang w:val="en-US" w:eastAsia="zh-CN"/>
                      <w14:textFill>
                        <w14:solidFill>
                          <w14:schemeClr w14:val="tx1"/>
                        </w14:solidFill>
                      </w14:textFill>
                    </w:rPr>
                    <w:t>《医疗机构水污染物排放标准》（GB18466-2005）表1</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标准</w:t>
                  </w:r>
                </w:p>
              </w:tc>
              <w:tc>
                <w:tcPr>
                  <w:tcW w:w="1878" w:type="dxa"/>
                  <w:tcBorders>
                    <w:tl2br w:val="nil"/>
                    <w:tr2bl w:val="nil"/>
                  </w:tcBorders>
                  <w:noWrap w:val="0"/>
                  <w:vAlign w:val="center"/>
                </w:tcPr>
                <w:p w14:paraId="26BC9A2B">
                  <w:pPr>
                    <w:jc w:val="cente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60</w:t>
                  </w:r>
                </w:p>
              </w:tc>
            </w:tr>
            <w:tr w14:paraId="4BC33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tcBorders>
                    <w:tl2br w:val="nil"/>
                    <w:tr2bl w:val="nil"/>
                  </w:tcBorders>
                  <w:noWrap w:val="0"/>
                  <w:vAlign w:val="center"/>
                </w:tcPr>
                <w:p w14:paraId="793785AA">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303" w:type="dxa"/>
                  <w:vMerge w:val="continue"/>
                  <w:tcBorders>
                    <w:tl2br w:val="nil"/>
                    <w:tr2bl w:val="nil"/>
                  </w:tcBorders>
                  <w:noWrap w:val="0"/>
                  <w:vAlign w:val="center"/>
                </w:tcPr>
                <w:p w14:paraId="614FB326">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2128" w:type="dxa"/>
                  <w:tcBorders>
                    <w:tl2br w:val="nil"/>
                    <w:tr2bl w:val="nil"/>
                  </w:tcBorders>
                  <w:noWrap w:val="0"/>
                  <w:vAlign w:val="center"/>
                </w:tcPr>
                <w:p w14:paraId="7375E212">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BOD</w:t>
                  </w:r>
                  <w:r>
                    <w:rPr>
                      <w:rFonts w:hint="default" w:ascii="Times New Roman" w:hAnsi="Times New Roman" w:eastAsia="宋体" w:cs="Times New Roman"/>
                      <w:bCs/>
                      <w:color w:val="000000" w:themeColor="text1"/>
                      <w:kern w:val="2"/>
                      <w:sz w:val="21"/>
                      <w:szCs w:val="21"/>
                      <w:highlight w:val="none"/>
                      <w:vertAlign w:val="subscript"/>
                      <w:lang w:val="en-US" w:eastAsia="zh-CN" w:bidi="ar-SA"/>
                      <w14:textFill>
                        <w14:solidFill>
                          <w14:schemeClr w14:val="tx1"/>
                        </w14:solidFill>
                      </w14:textFill>
                    </w:rPr>
                    <w:t>5</w:t>
                  </w:r>
                </w:p>
              </w:tc>
              <w:tc>
                <w:tcPr>
                  <w:tcW w:w="2129" w:type="dxa"/>
                  <w:vMerge w:val="continue"/>
                  <w:tcBorders>
                    <w:tl2br w:val="nil"/>
                    <w:tr2bl w:val="nil"/>
                  </w:tcBorders>
                  <w:noWrap w:val="0"/>
                  <w:vAlign w:val="center"/>
                </w:tcPr>
                <w:p w14:paraId="2067D8CD">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878" w:type="dxa"/>
                  <w:tcBorders>
                    <w:tl2br w:val="nil"/>
                    <w:tr2bl w:val="nil"/>
                  </w:tcBorders>
                  <w:noWrap w:val="0"/>
                  <w:vAlign w:val="center"/>
                </w:tcPr>
                <w:p w14:paraId="1C4B6FFC">
                  <w:pPr>
                    <w:jc w:val="cente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20</w:t>
                  </w:r>
                </w:p>
              </w:tc>
            </w:tr>
            <w:tr w14:paraId="398EC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tcBorders>
                    <w:tl2br w:val="nil"/>
                    <w:tr2bl w:val="nil"/>
                  </w:tcBorders>
                  <w:noWrap w:val="0"/>
                  <w:vAlign w:val="center"/>
                </w:tcPr>
                <w:p w14:paraId="22FAC46E">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303" w:type="dxa"/>
                  <w:vMerge w:val="continue"/>
                  <w:tcBorders>
                    <w:tl2br w:val="nil"/>
                    <w:tr2bl w:val="nil"/>
                  </w:tcBorders>
                  <w:noWrap w:val="0"/>
                  <w:vAlign w:val="center"/>
                </w:tcPr>
                <w:p w14:paraId="0F3CA89C">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2128" w:type="dxa"/>
                  <w:tcBorders>
                    <w:tl2br w:val="nil"/>
                    <w:tr2bl w:val="nil"/>
                  </w:tcBorders>
                  <w:noWrap w:val="0"/>
                  <w:vAlign w:val="center"/>
                </w:tcPr>
                <w:p w14:paraId="76909395">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SS</w:t>
                  </w:r>
                </w:p>
              </w:tc>
              <w:tc>
                <w:tcPr>
                  <w:tcW w:w="2129" w:type="dxa"/>
                  <w:vMerge w:val="continue"/>
                  <w:tcBorders>
                    <w:tl2br w:val="nil"/>
                    <w:tr2bl w:val="nil"/>
                  </w:tcBorders>
                  <w:noWrap w:val="0"/>
                  <w:vAlign w:val="center"/>
                </w:tcPr>
                <w:p w14:paraId="3FA39017">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878" w:type="dxa"/>
                  <w:tcBorders>
                    <w:tl2br w:val="nil"/>
                    <w:tr2bl w:val="nil"/>
                  </w:tcBorders>
                  <w:noWrap w:val="0"/>
                  <w:vAlign w:val="center"/>
                </w:tcPr>
                <w:p w14:paraId="263D1018">
                  <w:pPr>
                    <w:jc w:val="cente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20</w:t>
                  </w:r>
                </w:p>
              </w:tc>
            </w:tr>
            <w:tr w14:paraId="5633E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tcBorders>
                    <w:tl2br w:val="nil"/>
                    <w:tr2bl w:val="nil"/>
                  </w:tcBorders>
                  <w:noWrap w:val="0"/>
                  <w:vAlign w:val="center"/>
                </w:tcPr>
                <w:p w14:paraId="45A93BB4">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303" w:type="dxa"/>
                  <w:vMerge w:val="continue"/>
                  <w:tcBorders>
                    <w:tl2br w:val="nil"/>
                    <w:tr2bl w:val="nil"/>
                  </w:tcBorders>
                  <w:noWrap w:val="0"/>
                  <w:vAlign w:val="center"/>
                </w:tcPr>
                <w:p w14:paraId="73DD0415">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2128" w:type="dxa"/>
                  <w:tcBorders>
                    <w:tl2br w:val="nil"/>
                    <w:tr2bl w:val="nil"/>
                  </w:tcBorders>
                  <w:noWrap w:val="0"/>
                  <w:vAlign w:val="center"/>
                </w:tcPr>
                <w:p w14:paraId="2EEA2F02">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NH</w:t>
                  </w:r>
                  <w:r>
                    <w:rPr>
                      <w:rFonts w:hint="default" w:ascii="Times New Roman" w:hAnsi="Times New Roman" w:eastAsia="宋体" w:cs="Times New Roman"/>
                      <w:bCs/>
                      <w:color w:val="000000" w:themeColor="text1"/>
                      <w:kern w:val="2"/>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-N</w:t>
                  </w:r>
                </w:p>
              </w:tc>
              <w:tc>
                <w:tcPr>
                  <w:tcW w:w="2129" w:type="dxa"/>
                  <w:vMerge w:val="continue"/>
                  <w:tcBorders>
                    <w:tl2br w:val="nil"/>
                    <w:tr2bl w:val="nil"/>
                  </w:tcBorders>
                  <w:noWrap w:val="0"/>
                  <w:vAlign w:val="center"/>
                </w:tcPr>
                <w:p w14:paraId="38338445">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878" w:type="dxa"/>
                  <w:tcBorders>
                    <w:tl2br w:val="nil"/>
                    <w:tr2bl w:val="nil"/>
                  </w:tcBorders>
                  <w:noWrap w:val="0"/>
                  <w:vAlign w:val="center"/>
                </w:tcPr>
                <w:p w14:paraId="03DBDE97">
                  <w:pPr>
                    <w:jc w:val="cente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15</w:t>
                  </w:r>
                </w:p>
              </w:tc>
            </w:tr>
            <w:tr w14:paraId="0BF14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tcBorders>
                    <w:tl2br w:val="nil"/>
                    <w:tr2bl w:val="nil"/>
                  </w:tcBorders>
                  <w:noWrap w:val="0"/>
                  <w:vAlign w:val="center"/>
                </w:tcPr>
                <w:p w14:paraId="18E56C9F">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303" w:type="dxa"/>
                  <w:vMerge w:val="continue"/>
                  <w:tcBorders>
                    <w:tl2br w:val="nil"/>
                    <w:tr2bl w:val="nil"/>
                  </w:tcBorders>
                  <w:noWrap w:val="0"/>
                  <w:vAlign w:val="center"/>
                </w:tcPr>
                <w:p w14:paraId="74308929">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2128" w:type="dxa"/>
                  <w:tcBorders>
                    <w:tl2br w:val="nil"/>
                    <w:tr2bl w:val="nil"/>
                  </w:tcBorders>
                  <w:noWrap w:val="0"/>
                  <w:vAlign w:val="center"/>
                </w:tcPr>
                <w:p w14:paraId="44943371">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动植物油</w:t>
                  </w:r>
                </w:p>
              </w:tc>
              <w:tc>
                <w:tcPr>
                  <w:tcW w:w="2129" w:type="dxa"/>
                  <w:vMerge w:val="continue"/>
                  <w:tcBorders>
                    <w:tl2br w:val="nil"/>
                    <w:tr2bl w:val="nil"/>
                  </w:tcBorders>
                  <w:noWrap w:val="0"/>
                  <w:vAlign w:val="center"/>
                </w:tcPr>
                <w:p w14:paraId="08F35E03">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878" w:type="dxa"/>
                  <w:tcBorders>
                    <w:tl2br w:val="nil"/>
                    <w:tr2bl w:val="nil"/>
                  </w:tcBorders>
                  <w:noWrap w:val="0"/>
                  <w:vAlign w:val="center"/>
                </w:tcPr>
                <w:p w14:paraId="39DFBE6A">
                  <w:pPr>
                    <w:jc w:val="center"/>
                    <w:rPr>
                      <w:rFonts w:hint="default" w:ascii="Times New Roman" w:hAnsi="Times New Roman"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5</w:t>
                  </w:r>
                </w:p>
              </w:tc>
            </w:tr>
            <w:tr w14:paraId="52492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tcBorders>
                    <w:tl2br w:val="nil"/>
                    <w:tr2bl w:val="nil"/>
                  </w:tcBorders>
                  <w:noWrap w:val="0"/>
                  <w:vAlign w:val="center"/>
                </w:tcPr>
                <w:p w14:paraId="7028951F">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303" w:type="dxa"/>
                  <w:vMerge w:val="continue"/>
                  <w:tcBorders>
                    <w:tl2br w:val="nil"/>
                    <w:tr2bl w:val="nil"/>
                  </w:tcBorders>
                  <w:noWrap w:val="0"/>
                  <w:vAlign w:val="center"/>
                </w:tcPr>
                <w:p w14:paraId="45AF9B44">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2128" w:type="dxa"/>
                  <w:tcBorders>
                    <w:tl2br w:val="nil"/>
                    <w:tr2bl w:val="nil"/>
                  </w:tcBorders>
                  <w:noWrap w:val="0"/>
                  <w:vAlign w:val="center"/>
                </w:tcPr>
                <w:p w14:paraId="522A0881">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粪大肠菌群</w:t>
                  </w:r>
                </w:p>
              </w:tc>
              <w:tc>
                <w:tcPr>
                  <w:tcW w:w="2129" w:type="dxa"/>
                  <w:vMerge w:val="continue"/>
                  <w:tcBorders>
                    <w:tl2br w:val="nil"/>
                    <w:tr2bl w:val="nil"/>
                  </w:tcBorders>
                  <w:noWrap w:val="0"/>
                  <w:vAlign w:val="center"/>
                </w:tcPr>
                <w:p w14:paraId="0CEE0FED">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878" w:type="dxa"/>
                  <w:tcBorders>
                    <w:tl2br w:val="nil"/>
                    <w:tr2bl w:val="nil"/>
                  </w:tcBorders>
                  <w:noWrap w:val="0"/>
                  <w:vAlign w:val="center"/>
                </w:tcPr>
                <w:p w14:paraId="766F0DA7">
                  <w:pPr>
                    <w:jc w:val="center"/>
                    <w:rPr>
                      <w:rFonts w:hint="default" w:ascii="Times New Roman" w:hAnsi="Times New Roman"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100（MPN/L）</w:t>
                  </w:r>
                </w:p>
              </w:tc>
            </w:tr>
            <w:tr w14:paraId="37D54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dxa"/>
                  <w:vMerge w:val="continue"/>
                  <w:tcBorders>
                    <w:tl2br w:val="nil"/>
                    <w:tr2bl w:val="nil"/>
                  </w:tcBorders>
                  <w:noWrap w:val="0"/>
                  <w:vAlign w:val="center"/>
                </w:tcPr>
                <w:p w14:paraId="585929C7">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303" w:type="dxa"/>
                  <w:vMerge w:val="continue"/>
                  <w:tcBorders>
                    <w:tl2br w:val="nil"/>
                    <w:tr2bl w:val="nil"/>
                  </w:tcBorders>
                  <w:noWrap w:val="0"/>
                  <w:vAlign w:val="center"/>
                </w:tcPr>
                <w:p w14:paraId="173FFFC0">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2128" w:type="dxa"/>
                  <w:tcBorders>
                    <w:tl2br w:val="nil"/>
                    <w:tr2bl w:val="nil"/>
                  </w:tcBorders>
                  <w:noWrap w:val="0"/>
                  <w:vAlign w:val="center"/>
                </w:tcPr>
                <w:p w14:paraId="5241B43D">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阴离子表面活性剂</w:t>
                  </w:r>
                </w:p>
              </w:tc>
              <w:tc>
                <w:tcPr>
                  <w:tcW w:w="2129" w:type="dxa"/>
                  <w:vMerge w:val="continue"/>
                  <w:tcBorders>
                    <w:tl2br w:val="nil"/>
                    <w:tr2bl w:val="nil"/>
                  </w:tcBorders>
                  <w:noWrap w:val="0"/>
                  <w:vAlign w:val="center"/>
                </w:tcPr>
                <w:p w14:paraId="093A6E34">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878" w:type="dxa"/>
                  <w:tcBorders>
                    <w:tl2br w:val="nil"/>
                    <w:tr2bl w:val="nil"/>
                  </w:tcBorders>
                  <w:noWrap w:val="0"/>
                  <w:vAlign w:val="center"/>
                </w:tcPr>
                <w:p w14:paraId="51EC845A">
                  <w:pPr>
                    <w:jc w:val="center"/>
                    <w:rPr>
                      <w:rFonts w:hint="default" w:ascii="Times New Roman" w:hAnsi="Times New Roman"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5</w:t>
                  </w:r>
                </w:p>
              </w:tc>
            </w:tr>
          </w:tbl>
          <w:p w14:paraId="54610701">
            <w:pPr>
              <w:pStyle w:val="20"/>
              <w:keepNext w:val="0"/>
              <w:keepLines w:val="0"/>
              <w:pageBreakBefore w:val="0"/>
              <w:widowControl w:val="0"/>
              <w:kinsoku/>
              <w:wordWrap/>
              <w:overflowPunct/>
              <w:topLinePunct w:val="0"/>
              <w:autoSpaceDE/>
              <w:autoSpaceDN/>
              <w:bidi w:val="0"/>
              <w:adjustRightInd/>
              <w:snapToGrid/>
              <w:spacing w:before="157" w:beforeLines="50" w:line="420" w:lineRule="auto"/>
              <w:ind w:firstLine="48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废水监测计划</w:t>
            </w:r>
          </w:p>
          <w:p w14:paraId="00BF69E5">
            <w:pPr>
              <w:adjustRightInd w:val="0"/>
              <w:spacing w:line="360" w:lineRule="auto"/>
              <w:ind w:firstLine="480" w:firstLineChars="200"/>
              <w:rPr>
                <w:rFonts w:hint="default" w:ascii="Times New Roman" w:hAnsi="Times New Roman" w:cs="Times New Roman"/>
                <w:color w:val="000000" w:themeColor="text1"/>
                <w:sz w:val="24"/>
                <w:highlight w:val="none"/>
                <w:lang w:bidi="ar"/>
                <w14:textFill>
                  <w14:solidFill>
                    <w14:schemeClr w14:val="tx1"/>
                  </w14:solidFill>
                </w14:textFill>
              </w:rPr>
            </w:pPr>
            <w:r>
              <w:rPr>
                <w:color w:val="000000" w:themeColor="text1"/>
                <w:sz w:val="24"/>
                <w:highlight w:val="none"/>
                <w:lang w:bidi="ar"/>
                <w14:textFill>
                  <w14:solidFill>
                    <w14:schemeClr w14:val="tx1"/>
                  </w14:solidFill>
                </w14:textFill>
              </w:rPr>
              <w:t>按照</w:t>
            </w:r>
            <w:r>
              <w:rPr>
                <w:bCs/>
                <w:color w:val="000000" w:themeColor="text1"/>
                <w:sz w:val="24"/>
                <w:highlight w:val="none"/>
                <w14:textFill>
                  <w14:solidFill>
                    <w14:schemeClr w14:val="tx1"/>
                  </w14:solidFill>
                </w14:textFill>
              </w:rPr>
              <w:t>《排污单位自行监测技</w:t>
            </w:r>
            <w:r>
              <w:rPr>
                <w:rFonts w:hint="default" w:ascii="Times New Roman" w:hAnsi="Times New Roman" w:cs="Times New Roman"/>
                <w:bCs/>
                <w:color w:val="000000" w:themeColor="text1"/>
                <w:sz w:val="24"/>
                <w:highlight w:val="none"/>
                <w14:textFill>
                  <w14:solidFill>
                    <w14:schemeClr w14:val="tx1"/>
                  </w14:solidFill>
                </w14:textFill>
              </w:rPr>
              <w:t>术指南 总则》（HJ819-2017）的要求</w:t>
            </w:r>
            <w:r>
              <w:rPr>
                <w:rFonts w:hint="default" w:ascii="Times New Roman" w:hAnsi="Times New Roman" w:cs="Times New Roman"/>
                <w:color w:val="000000" w:themeColor="text1"/>
                <w:sz w:val="24"/>
                <w:highlight w:val="none"/>
                <w:lang w:bidi="ar"/>
                <w14:textFill>
                  <w14:solidFill>
                    <w14:schemeClr w14:val="tx1"/>
                  </w14:solidFill>
                </w14:textFill>
              </w:rPr>
              <w:t>，项目</w:t>
            </w:r>
            <w:r>
              <w:rPr>
                <w:rFonts w:hint="eastAsia" w:ascii="Times New Roman" w:hAnsi="Times New Roman" w:cs="Times New Roman"/>
                <w:color w:val="000000" w:themeColor="text1"/>
                <w:sz w:val="24"/>
                <w:highlight w:val="none"/>
                <w:lang w:val="en-US" w:eastAsia="zh-CN" w:bidi="ar"/>
                <w14:textFill>
                  <w14:solidFill>
                    <w14:schemeClr w14:val="tx1"/>
                  </w14:solidFill>
                </w14:textFill>
              </w:rPr>
              <w:t>废水</w:t>
            </w:r>
            <w:r>
              <w:rPr>
                <w:rFonts w:hint="default" w:ascii="Times New Roman" w:hAnsi="Times New Roman" w:cs="Times New Roman"/>
                <w:color w:val="000000" w:themeColor="text1"/>
                <w:sz w:val="24"/>
                <w:highlight w:val="none"/>
                <w:lang w:bidi="ar"/>
                <w14:textFill>
                  <w14:solidFill>
                    <w14:schemeClr w14:val="tx1"/>
                  </w14:solidFill>
                </w14:textFill>
              </w:rPr>
              <w:t>监测计划见下表。</w:t>
            </w:r>
          </w:p>
          <w:p w14:paraId="20B3AFC8">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ind w:firstLine="0"/>
              <w:textAlignment w:val="auto"/>
              <w:rPr>
                <w:rFonts w:hint="default" w:ascii="黑体" w:hAnsi="黑体" w:eastAsia="黑体"/>
                <w:bCs/>
                <w:color w:val="000000" w:themeColor="text1"/>
                <w:highlight w:val="none"/>
                <w:lang w:eastAsia="zh-CN"/>
                <w14:textFill>
                  <w14:solidFill>
                    <w14:schemeClr w14:val="tx1"/>
                  </w14:solidFill>
                </w14:textFill>
              </w:rPr>
            </w:pPr>
            <w:r>
              <w:rPr>
                <w:rFonts w:hint="eastAsia" w:ascii="黑体" w:hAnsi="黑体" w:eastAsia="黑体"/>
                <w:bCs/>
                <w:color w:val="000000" w:themeColor="text1"/>
                <w:highlight w:val="none"/>
                <w:lang w:val="en-US" w:eastAsia="zh-CN"/>
                <w14:textFill>
                  <w14:solidFill>
                    <w14:schemeClr w14:val="tx1"/>
                  </w14:solidFill>
                </w14:textFill>
              </w:rPr>
              <w:t xml:space="preserve">   项目</w:t>
            </w:r>
            <w:r>
              <w:rPr>
                <w:rFonts w:hint="eastAsia" w:ascii="Times New Roman" w:hAnsi="Times New Roman" w:cs="Times New Roman"/>
                <w:bCs/>
                <w:color w:val="000000" w:themeColor="text1"/>
                <w:kern w:val="2"/>
                <w:sz w:val="24"/>
                <w:highlight w:val="none"/>
                <w:lang w:val="en-US" w:eastAsia="zh-CN"/>
                <w14:textFill>
                  <w14:solidFill>
                    <w14:schemeClr w14:val="tx1"/>
                  </w14:solidFill>
                </w14:textFill>
              </w:rPr>
              <w:t>废水</w:t>
            </w:r>
            <w:r>
              <w:rPr>
                <w:rFonts w:hint="eastAsia" w:ascii="黑体" w:hAnsi="黑体" w:eastAsia="黑体"/>
                <w:bCs/>
                <w:color w:val="000000" w:themeColor="text1"/>
                <w:highlight w:val="none"/>
                <w:lang w:val="en-US" w:eastAsia="zh-CN"/>
                <w14:textFill>
                  <w14:solidFill>
                    <w14:schemeClr w14:val="tx1"/>
                  </w14:solidFill>
                </w14:textFill>
              </w:rPr>
              <w:t>监测计划一览表</w:t>
            </w:r>
          </w:p>
          <w:tbl>
            <w:tblPr>
              <w:tblStyle w:val="34"/>
              <w:tblW w:w="81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344"/>
              <w:gridCol w:w="2322"/>
              <w:gridCol w:w="1417"/>
              <w:gridCol w:w="1930"/>
            </w:tblGrid>
            <w:tr w14:paraId="56F0D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87" w:type="dxa"/>
                  <w:tcBorders>
                    <w:tl2br w:val="nil"/>
                    <w:tr2bl w:val="nil"/>
                  </w:tcBorders>
                  <w:noWrap w:val="0"/>
                  <w:vAlign w:val="center"/>
                </w:tcPr>
                <w:p w14:paraId="389DAC91">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14:textFill>
                        <w14:solidFill>
                          <w14:schemeClr w14:val="tx1"/>
                        </w14:solidFill>
                      </w14:textFill>
                    </w:rPr>
                    <w:t>环境要素</w:t>
                  </w:r>
                </w:p>
              </w:tc>
              <w:tc>
                <w:tcPr>
                  <w:tcW w:w="1344" w:type="dxa"/>
                  <w:tcBorders>
                    <w:tl2br w:val="nil"/>
                    <w:tr2bl w:val="nil"/>
                  </w:tcBorders>
                  <w:noWrap w:val="0"/>
                  <w:vAlign w:val="center"/>
                </w:tcPr>
                <w:p w14:paraId="23F6D82B">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14:textFill>
                        <w14:solidFill>
                          <w14:schemeClr w14:val="tx1"/>
                        </w14:solidFill>
                      </w14:textFill>
                    </w:rPr>
                    <w:t>监测点位</w:t>
                  </w:r>
                </w:p>
              </w:tc>
              <w:tc>
                <w:tcPr>
                  <w:tcW w:w="2322" w:type="dxa"/>
                  <w:tcBorders>
                    <w:tl2br w:val="nil"/>
                    <w:tr2bl w:val="nil"/>
                  </w:tcBorders>
                  <w:noWrap w:val="0"/>
                  <w:vAlign w:val="center"/>
                </w:tcPr>
                <w:p w14:paraId="29CEF0B0">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14:textFill>
                        <w14:solidFill>
                          <w14:schemeClr w14:val="tx1"/>
                        </w14:solidFill>
                      </w14:textFill>
                    </w:rPr>
                    <w:t>监测指标</w:t>
                  </w:r>
                </w:p>
              </w:tc>
              <w:tc>
                <w:tcPr>
                  <w:tcW w:w="1417" w:type="dxa"/>
                  <w:tcBorders>
                    <w:tl2br w:val="nil"/>
                    <w:tr2bl w:val="nil"/>
                  </w:tcBorders>
                  <w:noWrap w:val="0"/>
                  <w:vAlign w:val="center"/>
                </w:tcPr>
                <w:p w14:paraId="2FDEB485">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14:textFill>
                        <w14:solidFill>
                          <w14:schemeClr w14:val="tx1"/>
                        </w14:solidFill>
                      </w14:textFill>
                    </w:rPr>
                    <w:t>监测频次</w:t>
                  </w:r>
                </w:p>
              </w:tc>
              <w:tc>
                <w:tcPr>
                  <w:tcW w:w="1930" w:type="dxa"/>
                  <w:tcBorders>
                    <w:tl2br w:val="nil"/>
                    <w:tr2bl w:val="nil"/>
                  </w:tcBorders>
                  <w:noWrap w:val="0"/>
                  <w:vAlign w:val="center"/>
                </w:tcPr>
                <w:p w14:paraId="54FBA1CD">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14:textFill>
                        <w14:solidFill>
                          <w14:schemeClr w14:val="tx1"/>
                        </w14:solidFill>
                      </w14:textFill>
                    </w:rPr>
                    <w:t>执行排放标准</w:t>
                  </w:r>
                </w:p>
              </w:tc>
            </w:tr>
            <w:tr w14:paraId="4984B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87" w:type="dxa"/>
                  <w:vMerge w:val="restart"/>
                  <w:tcBorders>
                    <w:tl2br w:val="nil"/>
                    <w:tr2bl w:val="nil"/>
                  </w:tcBorders>
                  <w:noWrap w:val="0"/>
                  <w:vAlign w:val="center"/>
                </w:tcPr>
                <w:p w14:paraId="09FA9954">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14:textFill>
                        <w14:solidFill>
                          <w14:schemeClr w14:val="tx1"/>
                        </w14:solidFill>
                      </w14:textFill>
                    </w:rPr>
                    <w:t>废水</w:t>
                  </w:r>
                </w:p>
              </w:tc>
              <w:tc>
                <w:tcPr>
                  <w:tcW w:w="1344" w:type="dxa"/>
                  <w:vMerge w:val="restart"/>
                  <w:tcBorders>
                    <w:tl2br w:val="nil"/>
                    <w:tr2bl w:val="nil"/>
                  </w:tcBorders>
                  <w:noWrap w:val="0"/>
                  <w:vAlign w:val="center"/>
                </w:tcPr>
                <w:p w14:paraId="1AC41E29">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厂区总排口</w:t>
                  </w:r>
                </w:p>
                <w:p w14:paraId="53A98391">
                  <w:pPr>
                    <w:pStyle w:val="20"/>
                    <w:ind w:left="0" w:leftChars="0" w:firstLine="0" w:firstLineChars="0"/>
                    <w:jc w:val="center"/>
                    <w:rPr>
                      <w:rFonts w:hint="default"/>
                      <w:color w:val="000000" w:themeColor="text1"/>
                      <w:highlight w:val="none"/>
                      <w:lang w:val="en-US"/>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DW001</w:t>
                  </w:r>
                </w:p>
              </w:tc>
              <w:tc>
                <w:tcPr>
                  <w:tcW w:w="2322" w:type="dxa"/>
                  <w:tcBorders>
                    <w:tl2br w:val="nil"/>
                    <w:tr2bl w:val="nil"/>
                  </w:tcBorders>
                  <w:noWrap w:val="0"/>
                  <w:vAlign w:val="center"/>
                </w:tcPr>
                <w:p w14:paraId="4E585740">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COD、SS</w:t>
                  </w:r>
                </w:p>
              </w:tc>
              <w:tc>
                <w:tcPr>
                  <w:tcW w:w="1417" w:type="dxa"/>
                  <w:tcBorders>
                    <w:tl2br w:val="nil"/>
                    <w:tr2bl w:val="nil"/>
                  </w:tcBorders>
                  <w:noWrap w:val="0"/>
                  <w:vAlign w:val="center"/>
                </w:tcPr>
                <w:p w14:paraId="411B0755">
                  <w:pPr>
                    <w:jc w:val="cente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14:textFill>
                        <w14:solidFill>
                          <w14:schemeClr w14:val="tx1"/>
                        </w14:solidFill>
                      </w14:textFill>
                    </w:rPr>
                    <w:t>每</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周</w:t>
                  </w:r>
                  <w:r>
                    <w:rPr>
                      <w:rFonts w:hint="default" w:ascii="Times New Roman" w:hAnsi="Times New Roman" w:cs="Times New Roman"/>
                      <w:b w:val="0"/>
                      <w:bCs/>
                      <w:color w:val="000000" w:themeColor="text1"/>
                      <w:sz w:val="21"/>
                      <w:szCs w:val="21"/>
                      <w:highlight w:val="none"/>
                      <w:u w:val="none"/>
                      <w14:textFill>
                        <w14:solidFill>
                          <w14:schemeClr w14:val="tx1"/>
                        </w14:solidFill>
                      </w14:textFill>
                    </w:rPr>
                    <w:t>一次</w:t>
                  </w:r>
                </w:p>
              </w:tc>
              <w:tc>
                <w:tcPr>
                  <w:tcW w:w="1930" w:type="dxa"/>
                  <w:vMerge w:val="restart"/>
                  <w:tcBorders>
                    <w:tl2br w:val="nil"/>
                    <w:tr2bl w:val="nil"/>
                  </w:tcBorders>
                  <w:noWrap w:val="0"/>
                  <w:vAlign w:val="center"/>
                </w:tcPr>
                <w:p w14:paraId="0CA406B3">
                  <w:pPr>
                    <w:jc w:val="center"/>
                    <w:rPr>
                      <w:rFonts w:hint="default" w:ascii="Times New Roman" w:hAnsi="Times New Roman" w:cs="Times New Roman"/>
                      <w:b w:val="0"/>
                      <w:bCs/>
                      <w:color w:val="000000" w:themeColor="text1"/>
                      <w:sz w:val="21"/>
                      <w:szCs w:val="21"/>
                      <w:highlight w:val="none"/>
                      <w:u w:val="none"/>
                      <w:lang w:val="en-US"/>
                      <w14:textFill>
                        <w14:solidFill>
                          <w14:schemeClr w14:val="tx1"/>
                        </w14:solidFill>
                      </w14:textFill>
                    </w:rPr>
                  </w:pPr>
                  <w:r>
                    <w:rPr>
                      <w:rFonts w:hint="default" w:ascii="Times New Roman" w:hAnsi="Times New Roman" w:cs="Times New Roman"/>
                      <w:b w:val="0"/>
                      <w:bCs/>
                      <w:color w:val="000000" w:themeColor="text1"/>
                      <w:sz w:val="21"/>
                      <w:szCs w:val="21"/>
                      <w:highlight w:val="none"/>
                      <w:u w:val="none"/>
                      <w:lang w:val="en-US" w:eastAsia="zh-CN"/>
                      <w14:textFill>
                        <w14:solidFill>
                          <w14:schemeClr w14:val="tx1"/>
                        </w14:solidFill>
                      </w14:textFill>
                    </w:rPr>
                    <w:t>《医疗机构水污染物排放标准》（GB18466-2005）表1</w:t>
                  </w: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标准</w:t>
                  </w:r>
                </w:p>
              </w:tc>
            </w:tr>
            <w:tr w14:paraId="0E5D7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087" w:type="dxa"/>
                  <w:vMerge w:val="continue"/>
                  <w:tcBorders>
                    <w:tl2br w:val="nil"/>
                    <w:tr2bl w:val="nil"/>
                  </w:tcBorders>
                  <w:noWrap w:val="0"/>
                  <w:vAlign w:val="center"/>
                </w:tcPr>
                <w:p w14:paraId="29C27D21">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344" w:type="dxa"/>
                  <w:vMerge w:val="continue"/>
                  <w:tcBorders>
                    <w:tl2br w:val="nil"/>
                    <w:tr2bl w:val="nil"/>
                  </w:tcBorders>
                  <w:noWrap w:val="0"/>
                  <w:vAlign w:val="center"/>
                </w:tcPr>
                <w:p w14:paraId="51B81BBB">
                  <w:pPr>
                    <w:jc w:val="cente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pPr>
                </w:p>
              </w:tc>
              <w:tc>
                <w:tcPr>
                  <w:tcW w:w="2322" w:type="dxa"/>
                  <w:tcBorders>
                    <w:tl2br w:val="nil"/>
                    <w:tr2bl w:val="nil"/>
                  </w:tcBorders>
                  <w:noWrap w:val="0"/>
                  <w:vAlign w:val="center"/>
                </w:tcPr>
                <w:p w14:paraId="358493D3">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BOD</w:t>
                  </w:r>
                  <w:r>
                    <w:rPr>
                      <w:rFonts w:hint="default" w:ascii="Times New Roman" w:hAnsi="Times New Roman" w:eastAsia="宋体" w:cs="Times New Roman"/>
                      <w:bCs/>
                      <w:color w:val="000000" w:themeColor="text1"/>
                      <w:kern w:val="2"/>
                      <w:sz w:val="21"/>
                      <w:szCs w:val="21"/>
                      <w:highlight w:val="none"/>
                      <w:vertAlign w:val="subscript"/>
                      <w:lang w:val="en-US" w:eastAsia="zh-CN" w:bidi="ar-SA"/>
                      <w14:textFill>
                        <w14:solidFill>
                          <w14:schemeClr w14:val="tx1"/>
                        </w14:solidFill>
                      </w14:textFill>
                    </w:rPr>
                    <w:t>5</w:t>
                  </w: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动植物油</w:t>
                  </w: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阴离子表面活性剂</w:t>
                  </w:r>
                </w:p>
              </w:tc>
              <w:tc>
                <w:tcPr>
                  <w:tcW w:w="1417" w:type="dxa"/>
                  <w:tcBorders>
                    <w:tl2br w:val="nil"/>
                    <w:tr2bl w:val="nil"/>
                  </w:tcBorders>
                  <w:noWrap w:val="0"/>
                  <w:vAlign w:val="center"/>
                </w:tcPr>
                <w:p w14:paraId="7C8C9F53">
                  <w:pPr>
                    <w:jc w:val="cente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每季度一次</w:t>
                  </w:r>
                </w:p>
              </w:tc>
              <w:tc>
                <w:tcPr>
                  <w:tcW w:w="1930" w:type="dxa"/>
                  <w:vMerge w:val="continue"/>
                  <w:tcBorders>
                    <w:tl2br w:val="nil"/>
                    <w:tr2bl w:val="nil"/>
                  </w:tcBorders>
                  <w:noWrap w:val="0"/>
                  <w:vAlign w:val="center"/>
                </w:tcPr>
                <w:p w14:paraId="734F44A3">
                  <w:pPr>
                    <w:jc w:val="center"/>
                    <w:rPr>
                      <w:rFonts w:hint="default" w:ascii="Times New Roman" w:hAnsi="Times New Roman" w:cs="Times New Roman"/>
                      <w:b w:val="0"/>
                      <w:bCs/>
                      <w:color w:val="000000" w:themeColor="text1"/>
                      <w:sz w:val="21"/>
                      <w:szCs w:val="21"/>
                      <w:highlight w:val="none"/>
                      <w:u w:val="none"/>
                      <w:lang w:val="en-US"/>
                      <w14:textFill>
                        <w14:solidFill>
                          <w14:schemeClr w14:val="tx1"/>
                        </w14:solidFill>
                      </w14:textFill>
                    </w:rPr>
                  </w:pPr>
                </w:p>
              </w:tc>
            </w:tr>
            <w:tr w14:paraId="64D64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87" w:type="dxa"/>
                  <w:vMerge w:val="continue"/>
                  <w:tcBorders>
                    <w:tl2br w:val="nil"/>
                    <w:tr2bl w:val="nil"/>
                  </w:tcBorders>
                  <w:noWrap w:val="0"/>
                  <w:vAlign w:val="center"/>
                </w:tcPr>
                <w:p w14:paraId="1176171F">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344" w:type="dxa"/>
                  <w:vMerge w:val="continue"/>
                  <w:tcBorders>
                    <w:tl2br w:val="nil"/>
                    <w:tr2bl w:val="nil"/>
                  </w:tcBorders>
                  <w:noWrap w:val="0"/>
                  <w:vAlign w:val="center"/>
                </w:tcPr>
                <w:p w14:paraId="60DD3BF1">
                  <w:pPr>
                    <w:jc w:val="cente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pPr>
                </w:p>
              </w:tc>
              <w:tc>
                <w:tcPr>
                  <w:tcW w:w="2322" w:type="dxa"/>
                  <w:tcBorders>
                    <w:tl2br w:val="nil"/>
                    <w:tr2bl w:val="nil"/>
                  </w:tcBorders>
                  <w:noWrap w:val="0"/>
                  <w:vAlign w:val="center"/>
                </w:tcPr>
                <w:p w14:paraId="70FDFE21">
                  <w:pPr>
                    <w:pStyle w:val="20"/>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NH</w:t>
                  </w:r>
                  <w:r>
                    <w:rPr>
                      <w:rFonts w:hint="default" w:ascii="Times New Roman" w:hAnsi="Times New Roman" w:eastAsia="宋体" w:cs="Times New Roman"/>
                      <w:bCs/>
                      <w:color w:val="000000" w:themeColor="text1"/>
                      <w:kern w:val="2"/>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-N</w:t>
                  </w:r>
                </w:p>
              </w:tc>
              <w:tc>
                <w:tcPr>
                  <w:tcW w:w="1417" w:type="dxa"/>
                  <w:tcBorders>
                    <w:tl2br w:val="nil"/>
                    <w:tr2bl w:val="nil"/>
                  </w:tcBorders>
                  <w:noWrap w:val="0"/>
                  <w:vAlign w:val="center"/>
                </w:tcPr>
                <w:p w14:paraId="570DD924">
                  <w:pPr>
                    <w:jc w:val="center"/>
                    <w:rPr>
                      <w:rFonts w:hint="eastAsia"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每年一次</w:t>
                  </w:r>
                </w:p>
              </w:tc>
              <w:tc>
                <w:tcPr>
                  <w:tcW w:w="1930" w:type="dxa"/>
                  <w:vMerge w:val="continue"/>
                  <w:tcBorders>
                    <w:tl2br w:val="nil"/>
                    <w:tr2bl w:val="nil"/>
                  </w:tcBorders>
                  <w:noWrap w:val="0"/>
                  <w:vAlign w:val="center"/>
                </w:tcPr>
                <w:p w14:paraId="34F4591A">
                  <w:pPr>
                    <w:jc w:val="center"/>
                    <w:rPr>
                      <w:rFonts w:hint="default" w:ascii="Times New Roman" w:hAnsi="Times New Roman" w:cs="Times New Roman"/>
                      <w:b w:val="0"/>
                      <w:bCs/>
                      <w:color w:val="000000" w:themeColor="text1"/>
                      <w:sz w:val="21"/>
                      <w:szCs w:val="21"/>
                      <w:highlight w:val="none"/>
                      <w:u w:val="none"/>
                      <w:lang w:val="en-US"/>
                      <w14:textFill>
                        <w14:solidFill>
                          <w14:schemeClr w14:val="tx1"/>
                        </w14:solidFill>
                      </w14:textFill>
                    </w:rPr>
                  </w:pPr>
                </w:p>
              </w:tc>
            </w:tr>
            <w:tr w14:paraId="183CE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87" w:type="dxa"/>
                  <w:vMerge w:val="continue"/>
                  <w:tcBorders>
                    <w:tl2br w:val="nil"/>
                    <w:tr2bl w:val="nil"/>
                  </w:tcBorders>
                  <w:noWrap w:val="0"/>
                  <w:vAlign w:val="center"/>
                </w:tcPr>
                <w:p w14:paraId="67D36B42">
                  <w:pPr>
                    <w:jc w:val="center"/>
                    <w:rPr>
                      <w:rFonts w:hint="default" w:ascii="Times New Roman" w:hAnsi="Times New Roman" w:cs="Times New Roman"/>
                      <w:b w:val="0"/>
                      <w:bCs/>
                      <w:color w:val="000000" w:themeColor="text1"/>
                      <w:sz w:val="21"/>
                      <w:szCs w:val="21"/>
                      <w:highlight w:val="none"/>
                      <w:u w:val="none"/>
                      <w14:textFill>
                        <w14:solidFill>
                          <w14:schemeClr w14:val="tx1"/>
                        </w14:solidFill>
                      </w14:textFill>
                    </w:rPr>
                  </w:pPr>
                </w:p>
              </w:tc>
              <w:tc>
                <w:tcPr>
                  <w:tcW w:w="1344" w:type="dxa"/>
                  <w:vMerge w:val="continue"/>
                  <w:tcBorders>
                    <w:tl2br w:val="nil"/>
                    <w:tr2bl w:val="nil"/>
                  </w:tcBorders>
                  <w:noWrap w:val="0"/>
                  <w:vAlign w:val="center"/>
                </w:tcPr>
                <w:p w14:paraId="60A0A6F4">
                  <w:pPr>
                    <w:jc w:val="cente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pPr>
                </w:p>
              </w:tc>
              <w:tc>
                <w:tcPr>
                  <w:tcW w:w="2322" w:type="dxa"/>
                  <w:tcBorders>
                    <w:tl2br w:val="nil"/>
                    <w:tr2bl w:val="nil"/>
                  </w:tcBorders>
                  <w:noWrap w:val="0"/>
                  <w:vAlign w:val="center"/>
                </w:tcPr>
                <w:p w14:paraId="30784295">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粪大肠菌群</w:t>
                  </w:r>
                </w:p>
              </w:tc>
              <w:tc>
                <w:tcPr>
                  <w:tcW w:w="1417" w:type="dxa"/>
                  <w:tcBorders>
                    <w:tl2br w:val="nil"/>
                    <w:tr2bl w:val="nil"/>
                  </w:tcBorders>
                  <w:noWrap w:val="0"/>
                  <w:vAlign w:val="center"/>
                </w:tcPr>
                <w:p w14:paraId="6AE06690">
                  <w:pPr>
                    <w:jc w:val="center"/>
                    <w:rPr>
                      <w:rFonts w:hint="default" w:ascii="Times New Roman" w:hAnsi="Times New Roman" w:eastAsia="宋体" w:cs="Times New Roman"/>
                      <w:b w:val="0"/>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u w:val="none"/>
                      <w:lang w:val="en-US" w:eastAsia="zh-CN"/>
                      <w14:textFill>
                        <w14:solidFill>
                          <w14:schemeClr w14:val="tx1"/>
                        </w14:solidFill>
                      </w14:textFill>
                    </w:rPr>
                    <w:t>每月一次</w:t>
                  </w:r>
                </w:p>
              </w:tc>
              <w:tc>
                <w:tcPr>
                  <w:tcW w:w="1930" w:type="dxa"/>
                  <w:vMerge w:val="continue"/>
                  <w:tcBorders>
                    <w:tl2br w:val="nil"/>
                    <w:tr2bl w:val="nil"/>
                  </w:tcBorders>
                  <w:noWrap w:val="0"/>
                  <w:vAlign w:val="center"/>
                </w:tcPr>
                <w:p w14:paraId="7F4EEDF9">
                  <w:pPr>
                    <w:jc w:val="center"/>
                    <w:rPr>
                      <w:rFonts w:hint="default" w:ascii="Times New Roman" w:hAnsi="Times New Roman" w:cs="Times New Roman"/>
                      <w:b w:val="0"/>
                      <w:bCs/>
                      <w:color w:val="000000" w:themeColor="text1"/>
                      <w:sz w:val="21"/>
                      <w:szCs w:val="21"/>
                      <w:highlight w:val="none"/>
                      <w:u w:val="none"/>
                      <w:lang w:val="en-US"/>
                      <w14:textFill>
                        <w14:solidFill>
                          <w14:schemeClr w14:val="tx1"/>
                        </w14:solidFill>
                      </w14:textFill>
                    </w:rPr>
                  </w:pPr>
                </w:p>
              </w:tc>
            </w:tr>
          </w:tbl>
          <w:p w14:paraId="6BC357F5">
            <w:pPr>
              <w:keepNext w:val="0"/>
              <w:keepLines w:val="0"/>
              <w:pageBreakBefore w:val="0"/>
              <w:widowControl w:val="0"/>
              <w:kinsoku/>
              <w:wordWrap/>
              <w:overflowPunct/>
              <w:topLinePunct w:val="0"/>
              <w:autoSpaceDE/>
              <w:autoSpaceDN/>
              <w:bidi w:val="0"/>
              <w:adjustRightInd/>
              <w:snapToGrid/>
              <w:spacing w:before="157" w:beforeLines="50" w:line="420" w:lineRule="auto"/>
              <w:ind w:firstLine="480" w:firstLineChars="200"/>
              <w:textAlignment w:val="auto"/>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（5）废水环境影响评价结论</w:t>
            </w:r>
          </w:p>
          <w:p w14:paraId="06E17537">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leftChars="0" w:firstLine="480" w:firstLineChars="200"/>
              <w:textAlignment w:val="auto"/>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扩建</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项目废水经院内污水处理站处理并消毒</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达到《医疗机构水污染物排放标准》（GB18466-2005）表1标准后，</w:t>
            </w:r>
            <w:r>
              <w:rPr>
                <w:rFonts w:hint="default" w:ascii="Times New Roman" w:hAnsi="Times New Roman" w:cs="Times New Roman"/>
                <w:color w:val="000000" w:themeColor="text1"/>
                <w:sz w:val="24"/>
                <w:szCs w:val="24"/>
                <w:highlight w:val="none"/>
                <w:u w:val="none"/>
                <w:lang w:val="en-US" w:eastAsia="zh-CN"/>
                <w14:textFill>
                  <w14:solidFill>
                    <w14:schemeClr w14:val="tx1"/>
                  </w14:solidFill>
                </w14:textFill>
              </w:rPr>
              <w:t>通过总排口（DW001）由市政污水管网进入渑池县第二污水处理厂进一步处理，最终排入涧河</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综上所述，</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扩建项目废水处理措施可行</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，地表水环境影响是可以接受的。</w:t>
            </w:r>
          </w:p>
          <w:p w14:paraId="5B51281C">
            <w:pPr>
              <w:adjustRightInd w:val="0"/>
              <w:snapToGrid w:val="0"/>
              <w:spacing w:line="520" w:lineRule="exact"/>
              <w:jc w:val="left"/>
              <w:outlineLvl w:val="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三、声环境影响分析</w:t>
            </w:r>
          </w:p>
          <w:p w14:paraId="6D909D09">
            <w:pPr>
              <w:pStyle w:val="20"/>
              <w:keepNext w:val="0"/>
              <w:keepLines w:val="0"/>
              <w:pageBreakBefore w:val="0"/>
              <w:widowControl w:val="0"/>
              <w:kinsoku/>
              <w:wordWrap/>
              <w:overflowPunct/>
              <w:topLinePunct w:val="0"/>
              <w:autoSpaceDE/>
              <w:autoSpaceDN/>
              <w:bidi w:val="0"/>
              <w:adjustRightInd/>
              <w:snapToGrid/>
              <w:spacing w:before="157" w:beforeLines="50" w:line="360" w:lineRule="auto"/>
              <w:ind w:firstLine="48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噪声源强及治理措施</w:t>
            </w:r>
          </w:p>
          <w:p w14:paraId="033BB781">
            <w:pPr>
              <w:pStyle w:val="20"/>
              <w:keepNext w:val="0"/>
              <w:keepLines w:val="0"/>
              <w:pageBreakBefore w:val="0"/>
              <w:widowControl w:val="0"/>
              <w:kinsoku/>
              <w:wordWrap/>
              <w:overflowPunct/>
              <w:topLinePunct w:val="0"/>
              <w:autoSpaceDE/>
              <w:autoSpaceDN/>
              <w:bidi w:val="0"/>
              <w:adjustRightInd/>
              <w:snapToGrid/>
              <w:spacing w:before="157" w:beforeLines="50" w:line="420" w:lineRule="auto"/>
              <w:ind w:firstLine="480"/>
              <w:textAlignment w:val="auto"/>
              <w:rPr>
                <w:rFonts w:hint="eastAsia" w:hAnsi="宋体"/>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扩建项目</w:t>
            </w:r>
            <w:r>
              <w:rPr>
                <w:rFonts w:hint="default" w:ascii="Times New Roman" w:hAnsi="Times New Roman" w:cs="Times New Roman"/>
                <w:color w:val="000000" w:themeColor="text1"/>
                <w:sz w:val="24"/>
                <w:szCs w:val="24"/>
                <w:highlight w:val="none"/>
                <w14:textFill>
                  <w14:solidFill>
                    <w14:schemeClr w14:val="tx1"/>
                  </w14:solidFill>
                </w14:textFill>
              </w:rPr>
              <w:t>噪声主要为</w:t>
            </w:r>
            <w:r>
              <w:rPr>
                <w:rFonts w:hint="default" w:ascii="Times New Roman" w:hAnsi="Times New Roman" w:cs="Times New Roman"/>
                <w:color w:val="000000" w:themeColor="text1"/>
                <w:sz w:val="24"/>
                <w:szCs w:val="24"/>
                <w:highlight w:val="none"/>
                <w:lang w:eastAsia="zh-CN"/>
                <w14:textFill>
                  <w14:solidFill>
                    <w14:schemeClr w14:val="tx1"/>
                  </w14:solidFill>
                </w14:textFill>
              </w:rPr>
              <w:t>各种</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空调机组</w:t>
            </w:r>
            <w:r>
              <w:rPr>
                <w:rFonts w:hint="default" w:ascii="Times New Roman" w:hAnsi="Times New Roman" w:cs="Times New Roman"/>
                <w:color w:val="000000" w:themeColor="text1"/>
                <w:sz w:val="24"/>
                <w:szCs w:val="24"/>
                <w:highlight w:val="none"/>
                <w:lang w:eastAsia="zh-CN"/>
                <w14:textFill>
                  <w14:solidFill>
                    <w14:schemeClr w14:val="tx1"/>
                  </w14:solidFill>
                </w14:textFill>
              </w:rPr>
              <w:t>、风机、泵</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等</w:t>
            </w:r>
            <w:r>
              <w:rPr>
                <w:rFonts w:hint="default" w:ascii="Times New Roman" w:hAnsi="Times New Roman" w:cs="Times New Roman"/>
                <w:color w:val="000000" w:themeColor="text1"/>
                <w:sz w:val="24"/>
                <w:szCs w:val="24"/>
                <w:highlight w:val="none"/>
                <w14:textFill>
                  <w14:solidFill>
                    <w14:schemeClr w14:val="tx1"/>
                  </w14:solidFill>
                </w14:textFill>
              </w:rPr>
              <w:t>产生的噪声，其噪声值大约在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60</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85</w:t>
            </w:r>
            <w:r>
              <w:rPr>
                <w:rFonts w:hint="default" w:ascii="Times New Roman" w:hAnsi="Times New Roman" w:cs="Times New Roman"/>
                <w:color w:val="000000" w:themeColor="text1"/>
                <w:sz w:val="24"/>
                <w:szCs w:val="24"/>
                <w:highlight w:val="none"/>
                <w14:textFill>
                  <w14:solidFill>
                    <w14:schemeClr w14:val="tx1"/>
                  </w14:solidFill>
                </w14:textFill>
              </w:rPr>
              <w:t>dB(A)左右。企业</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拟</w:t>
            </w:r>
            <w:r>
              <w:rPr>
                <w:rFonts w:hint="default" w:ascii="Times New Roman" w:hAnsi="Times New Roman" w:cs="Times New Roman"/>
                <w:color w:val="000000" w:themeColor="text1"/>
                <w:sz w:val="24"/>
                <w:szCs w:val="24"/>
                <w:highlight w:val="none"/>
                <w14:textFill>
                  <w14:solidFill>
                    <w14:schemeClr w14:val="tx1"/>
                  </w14:solidFill>
                </w14:textFill>
              </w:rPr>
              <w:t>选用先进的、噪音低的设备，</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并采用</w:t>
            </w:r>
            <w:r>
              <w:rPr>
                <w:rFonts w:hint="default" w:ascii="Times New Roman" w:hAnsi="Times New Roman" w:cs="Times New Roman"/>
                <w:color w:val="000000" w:themeColor="text1"/>
                <w:sz w:val="24"/>
                <w:szCs w:val="24"/>
                <w:highlight w:val="none"/>
                <w14:textFill>
                  <w14:solidFill>
                    <w14:schemeClr w14:val="tx1"/>
                  </w14:solidFill>
                </w14:textFill>
              </w:rPr>
              <w:t>基础减振及建筑隔声</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措施</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降噪效果约20</w:t>
            </w:r>
            <w:r>
              <w:rPr>
                <w:rFonts w:hint="default" w:ascii="Times New Roman" w:hAnsi="Times New Roman" w:cs="Times New Roman"/>
                <w:b w:val="0"/>
                <w:bCs w:val="0"/>
                <w:color w:val="000000" w:themeColor="text1"/>
                <w:highlight w:val="none"/>
                <w:u w:val="none"/>
                <w14:textFill>
                  <w14:solidFill>
                    <w14:schemeClr w14:val="tx1"/>
                  </w14:solidFill>
                </w14:textFill>
              </w:rPr>
              <w:t>dB(A)</w:t>
            </w:r>
            <w:r>
              <w:rPr>
                <w:rFonts w:hint="eastAsia" w:ascii="Times New Roman" w:hAnsi="Times New Roman" w:cs="Times New Roman"/>
                <w:b w:val="0"/>
                <w:bCs w:val="0"/>
                <w:color w:val="000000" w:themeColor="text1"/>
                <w:highlight w:val="none"/>
                <w:u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具体噪声源强见下表</w:t>
            </w:r>
            <w:r>
              <w:rPr>
                <w:rFonts w:hint="eastAsia" w:hAnsi="宋体"/>
                <w:color w:val="000000" w:themeColor="text1"/>
                <w:sz w:val="24"/>
                <w:highlight w:val="none"/>
                <w14:textFill>
                  <w14:solidFill>
                    <w14:schemeClr w14:val="tx1"/>
                  </w14:solidFill>
                </w14:textFill>
              </w:rPr>
              <w:t>。</w:t>
            </w:r>
          </w:p>
          <w:p w14:paraId="0D9CF0F5">
            <w:pPr>
              <w:pStyle w:val="191"/>
              <w:spacing w:line="360" w:lineRule="auto"/>
              <w:rPr>
                <w:rFonts w:hint="default"/>
                <w:color w:val="000000" w:themeColor="text1"/>
                <w:highlight w:val="none"/>
                <w14:textFill>
                  <w14:solidFill>
                    <w14:schemeClr w14:val="tx1"/>
                  </w14:solidFill>
                </w14:textFill>
              </w:rPr>
            </w:pPr>
          </w:p>
        </w:tc>
      </w:tr>
    </w:tbl>
    <w:p w14:paraId="0A7A7CF1">
      <w:pPr>
        <w:adjustRightInd w:val="0"/>
        <w:snapToGrid w:val="0"/>
        <w:spacing w:line="360" w:lineRule="auto"/>
        <w:rPr>
          <w:rFonts w:hint="eastAsia" w:ascii="宋体" w:cs="宋体"/>
          <w:b/>
          <w:color w:val="000000" w:themeColor="text1"/>
          <w:kern w:val="0"/>
          <w:sz w:val="28"/>
          <w:szCs w:val="28"/>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6"/>
      </w:tblGrid>
      <w:tr w14:paraId="1BD9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66" w:type="dxa"/>
            <w:noWrap w:val="0"/>
            <w:vAlign w:val="top"/>
          </w:tcPr>
          <w:p w14:paraId="703CB952">
            <w:pPr>
              <w:pStyle w:val="10"/>
              <w:rPr>
                <w:color w:val="000000" w:themeColor="text1"/>
                <w:vertAlign w:val="baseline"/>
                <w14:textFill>
                  <w14:solidFill>
                    <w14:schemeClr w14:val="tx1"/>
                  </w14:solidFill>
                </w14:textFill>
              </w:rPr>
            </w:pPr>
          </w:p>
          <w:p w14:paraId="1BD6F1C9">
            <w:pPr>
              <w:pStyle w:val="104"/>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ind w:firstLine="0"/>
              <w:textAlignment w:val="auto"/>
              <w:rPr>
                <w:rFonts w:hint="default" w:ascii="Times New Roman" w:hAnsi="Times New Roman" w:eastAsia="黑体" w:cs="Times New Roman"/>
                <w:b w:val="0"/>
                <w:bCs w:val="0"/>
                <w:color w:val="000000" w:themeColor="text1"/>
                <w:szCs w:val="24"/>
                <w:u w:val="none"/>
                <w:lang w:bidi="ar-SA"/>
                <w14:textFill>
                  <w14:solidFill>
                    <w14:schemeClr w14:val="tx1"/>
                  </w14:solidFill>
                </w14:textFill>
              </w:rPr>
            </w:pPr>
            <w:r>
              <w:rPr>
                <w:rFonts w:hint="default" w:ascii="Times New Roman" w:hAnsi="Times New Roman" w:eastAsia="黑体" w:cs="Times New Roman"/>
                <w:b w:val="0"/>
                <w:bCs w:val="0"/>
                <w:color w:val="000000" w:themeColor="text1"/>
                <w:szCs w:val="24"/>
                <w:u w:val="none"/>
                <w:lang w:bidi="ar-SA"/>
                <w14:textFill>
                  <w14:solidFill>
                    <w14:schemeClr w14:val="tx1"/>
                  </w14:solidFill>
                </w14:textFill>
              </w:rPr>
              <w:t>工业企业噪声源强调查清单（室外声源）</w:t>
            </w:r>
          </w:p>
          <w:tbl>
            <w:tblPr>
              <w:tblStyle w:val="34"/>
              <w:tblW w:w="4999"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227"/>
              <w:gridCol w:w="650"/>
              <w:gridCol w:w="950"/>
              <w:gridCol w:w="1300"/>
              <w:gridCol w:w="950"/>
              <w:gridCol w:w="1000"/>
              <w:gridCol w:w="933"/>
              <w:gridCol w:w="3215"/>
              <w:gridCol w:w="1306"/>
              <w:gridCol w:w="1436"/>
            </w:tblGrid>
            <w:tr w14:paraId="764D6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restart"/>
                  <w:noWrap w:val="0"/>
                  <w:vAlign w:val="center"/>
                </w:tcPr>
                <w:p w14:paraId="38800BD2">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序号</w:t>
                  </w:r>
                </w:p>
              </w:tc>
              <w:tc>
                <w:tcPr>
                  <w:tcW w:w="694" w:type="pct"/>
                  <w:gridSpan w:val="2"/>
                  <w:vMerge w:val="restart"/>
                  <w:noWrap w:val="0"/>
                  <w:vAlign w:val="center"/>
                </w:tcPr>
                <w:p w14:paraId="60B303FA">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建筑物名称</w:t>
                  </w:r>
                </w:p>
              </w:tc>
              <w:tc>
                <w:tcPr>
                  <w:tcW w:w="351" w:type="pct"/>
                  <w:vMerge w:val="restart"/>
                  <w:noWrap w:val="0"/>
                  <w:vAlign w:val="center"/>
                </w:tcPr>
                <w:p w14:paraId="56E2C4FB">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声源名称</w:t>
                  </w:r>
                </w:p>
              </w:tc>
              <w:tc>
                <w:tcPr>
                  <w:tcW w:w="480" w:type="pct"/>
                  <w:vMerge w:val="restart"/>
                  <w:noWrap w:val="0"/>
                  <w:vAlign w:val="center"/>
                </w:tcPr>
                <w:p w14:paraId="0C3CB7F1">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数量（台）</w:t>
                  </w:r>
                </w:p>
              </w:tc>
              <w:tc>
                <w:tcPr>
                  <w:tcW w:w="1066" w:type="pct"/>
                  <w:gridSpan w:val="3"/>
                  <w:noWrap w:val="0"/>
                  <w:vAlign w:val="center"/>
                </w:tcPr>
                <w:p w14:paraId="5487D928">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空间相对位置/m</w:t>
                  </w:r>
                </w:p>
              </w:tc>
              <w:tc>
                <w:tcPr>
                  <w:tcW w:w="1189" w:type="pct"/>
                  <w:noWrap w:val="0"/>
                  <w:vAlign w:val="center"/>
                </w:tcPr>
                <w:p w14:paraId="4958DCF9">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声源源强</w:t>
                  </w:r>
                </w:p>
              </w:tc>
              <w:tc>
                <w:tcPr>
                  <w:tcW w:w="483" w:type="pct"/>
                  <w:vMerge w:val="restart"/>
                  <w:noWrap w:val="0"/>
                  <w:vAlign w:val="center"/>
                </w:tcPr>
                <w:p w14:paraId="5B2F6EA9">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声源控制措施</w:t>
                  </w:r>
                </w:p>
              </w:tc>
              <w:tc>
                <w:tcPr>
                  <w:tcW w:w="531" w:type="pct"/>
                  <w:vMerge w:val="restart"/>
                  <w:noWrap w:val="0"/>
                  <w:vAlign w:val="center"/>
                </w:tcPr>
                <w:p w14:paraId="2DE2BDF4">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运行时段</w:t>
                  </w:r>
                </w:p>
              </w:tc>
            </w:tr>
            <w:tr w14:paraId="16EB1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continue"/>
                  <w:noWrap w:val="0"/>
                  <w:vAlign w:val="center"/>
                </w:tcPr>
                <w:p w14:paraId="3CC403D4">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c>
                <w:tcPr>
                  <w:tcW w:w="694" w:type="pct"/>
                  <w:gridSpan w:val="2"/>
                  <w:vMerge w:val="continue"/>
                  <w:noWrap w:val="0"/>
                  <w:vAlign w:val="center"/>
                </w:tcPr>
                <w:p w14:paraId="57E036D0">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c>
                <w:tcPr>
                  <w:tcW w:w="351" w:type="pct"/>
                  <w:vMerge w:val="continue"/>
                  <w:noWrap w:val="0"/>
                  <w:vAlign w:val="center"/>
                </w:tcPr>
                <w:p w14:paraId="659DD30F">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c>
                <w:tcPr>
                  <w:tcW w:w="480" w:type="pct"/>
                  <w:vMerge w:val="continue"/>
                  <w:noWrap w:val="0"/>
                  <w:vAlign w:val="center"/>
                </w:tcPr>
                <w:p w14:paraId="5E7313E2">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c>
                <w:tcPr>
                  <w:tcW w:w="351" w:type="pct"/>
                  <w:noWrap w:val="0"/>
                  <w:vAlign w:val="center"/>
                </w:tcPr>
                <w:p w14:paraId="252DBF68">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X</w:t>
                  </w:r>
                </w:p>
              </w:tc>
              <w:tc>
                <w:tcPr>
                  <w:tcW w:w="369" w:type="pct"/>
                  <w:noWrap w:val="0"/>
                  <w:vAlign w:val="center"/>
                </w:tcPr>
                <w:p w14:paraId="2ED5CE8A">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Y</w:t>
                  </w:r>
                </w:p>
              </w:tc>
              <w:tc>
                <w:tcPr>
                  <w:tcW w:w="345" w:type="pct"/>
                  <w:noWrap w:val="0"/>
                  <w:vAlign w:val="center"/>
                </w:tcPr>
                <w:p w14:paraId="522EAC0E">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Z</w:t>
                  </w:r>
                </w:p>
              </w:tc>
              <w:tc>
                <w:tcPr>
                  <w:tcW w:w="1189" w:type="pct"/>
                  <w:noWrap w:val="0"/>
                  <w:vAlign w:val="center"/>
                </w:tcPr>
                <w:p w14:paraId="5CFF99BF">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（声压级/距声源距离）/(dB(A)/m)</w:t>
                  </w:r>
                </w:p>
              </w:tc>
              <w:tc>
                <w:tcPr>
                  <w:tcW w:w="483" w:type="pct"/>
                  <w:vMerge w:val="continue"/>
                  <w:noWrap w:val="0"/>
                  <w:vAlign w:val="center"/>
                </w:tcPr>
                <w:p w14:paraId="18673AD0">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c>
                <w:tcPr>
                  <w:tcW w:w="531" w:type="pct"/>
                  <w:vMerge w:val="continue"/>
                  <w:noWrap w:val="0"/>
                  <w:vAlign w:val="center"/>
                </w:tcPr>
                <w:p w14:paraId="162B2D9A">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r>
            <w:tr w14:paraId="2F94B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restart"/>
                  <w:noWrap w:val="0"/>
                  <w:vAlign w:val="center"/>
                </w:tcPr>
                <w:p w14:paraId="0AA2370C">
                  <w:pPr>
                    <w:widowControl/>
                    <w:ind w:left="-105" w:leftChars="-50" w:right="-105" w:rightChars="-50"/>
                    <w:jc w:val="cente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w:t>
                  </w:r>
                </w:p>
              </w:tc>
              <w:tc>
                <w:tcPr>
                  <w:tcW w:w="453" w:type="pct"/>
                  <w:vMerge w:val="restart"/>
                  <w:noWrap w:val="0"/>
                  <w:vAlign w:val="center"/>
                </w:tcPr>
                <w:p w14:paraId="34106E17">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lang w:val="en-US" w:eastAsia="zh-CN"/>
                      <w14:textFill>
                        <w14:solidFill>
                          <w14:schemeClr w14:val="tx1"/>
                        </w14:solidFill>
                      </w14:textFill>
                    </w:rPr>
                    <w:t>精神病房楼</w:t>
                  </w:r>
                </w:p>
              </w:tc>
              <w:tc>
                <w:tcPr>
                  <w:tcW w:w="240" w:type="pct"/>
                  <w:noWrap w:val="0"/>
                  <w:vAlign w:val="center"/>
                </w:tcPr>
                <w:p w14:paraId="6337E752">
                  <w:pPr>
                    <w:widowControl/>
                    <w:ind w:left="-105" w:leftChars="-50" w:right="-105" w:rightChars="-50"/>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1F</w:t>
                  </w:r>
                </w:p>
              </w:tc>
              <w:tc>
                <w:tcPr>
                  <w:tcW w:w="351" w:type="pct"/>
                  <w:vMerge w:val="restart"/>
                  <w:noWrap w:val="0"/>
                  <w:vAlign w:val="center"/>
                </w:tcPr>
                <w:p w14:paraId="57A5D9A5">
                  <w:pPr>
                    <w:widowControl/>
                    <w:ind w:left="-105" w:leftChars="-50" w:right="-105" w:rightChars="-50"/>
                    <w:jc w:val="cente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空调机组</w:t>
                  </w:r>
                </w:p>
              </w:tc>
              <w:tc>
                <w:tcPr>
                  <w:tcW w:w="480" w:type="pct"/>
                  <w:noWrap w:val="0"/>
                  <w:vAlign w:val="center"/>
                </w:tcPr>
                <w:p w14:paraId="5BB09B08">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16</w:t>
                  </w:r>
                </w:p>
              </w:tc>
              <w:tc>
                <w:tcPr>
                  <w:tcW w:w="351" w:type="pct"/>
                  <w:noWrap w:val="0"/>
                  <w:vAlign w:val="center"/>
                </w:tcPr>
                <w:p w14:paraId="5D2C991B">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5~80</w:t>
                  </w:r>
                </w:p>
              </w:tc>
              <w:tc>
                <w:tcPr>
                  <w:tcW w:w="369" w:type="pct"/>
                  <w:noWrap w:val="0"/>
                  <w:vAlign w:val="center"/>
                </w:tcPr>
                <w:p w14:paraId="6C7B11C6">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-15~38</w:t>
                  </w:r>
                </w:p>
              </w:tc>
              <w:tc>
                <w:tcPr>
                  <w:tcW w:w="345" w:type="pct"/>
                  <w:noWrap w:val="0"/>
                  <w:vAlign w:val="center"/>
                </w:tcPr>
                <w:p w14:paraId="75202A99">
                  <w:pPr>
                    <w:widowControl/>
                    <w:ind w:left="-105" w:leftChars="-50" w:right="-105" w:rightChars="-50"/>
                    <w:jc w:val="cente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3</w:t>
                  </w:r>
                </w:p>
              </w:tc>
              <w:tc>
                <w:tcPr>
                  <w:tcW w:w="1189" w:type="pct"/>
                  <w:noWrap w:val="0"/>
                  <w:vAlign w:val="center"/>
                </w:tcPr>
                <w:p w14:paraId="1F07681C">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60/1</w:t>
                  </w:r>
                </w:p>
              </w:tc>
              <w:tc>
                <w:tcPr>
                  <w:tcW w:w="483" w:type="pct"/>
                  <w:vMerge w:val="restart"/>
                  <w:noWrap w:val="0"/>
                  <w:vAlign w:val="center"/>
                </w:tcPr>
                <w:p w14:paraId="488EF270">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基础减震</w:t>
                  </w:r>
                </w:p>
              </w:tc>
              <w:tc>
                <w:tcPr>
                  <w:tcW w:w="531" w:type="pct"/>
                  <w:vMerge w:val="restart"/>
                  <w:noWrap w:val="0"/>
                  <w:vAlign w:val="center"/>
                </w:tcPr>
                <w:p w14:paraId="6F64B9F3">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昼间、夜间</w:t>
                  </w:r>
                </w:p>
              </w:tc>
            </w:tr>
            <w:tr w14:paraId="6EC21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continue"/>
                  <w:noWrap w:val="0"/>
                  <w:vAlign w:val="center"/>
                </w:tcPr>
                <w:p w14:paraId="1009BDCF">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p>
              </w:tc>
              <w:tc>
                <w:tcPr>
                  <w:tcW w:w="453" w:type="pct"/>
                  <w:vMerge w:val="continue"/>
                  <w:noWrap w:val="0"/>
                  <w:vAlign w:val="center"/>
                </w:tcPr>
                <w:p w14:paraId="18E1D37F">
                  <w:pPr>
                    <w:widowControl/>
                    <w:ind w:left="-105" w:leftChars="-50" w:right="-105" w:rightChars="-50"/>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p>
              </w:tc>
              <w:tc>
                <w:tcPr>
                  <w:tcW w:w="240" w:type="pct"/>
                  <w:noWrap w:val="0"/>
                  <w:vAlign w:val="center"/>
                </w:tcPr>
                <w:p w14:paraId="63FC32B0">
                  <w:pPr>
                    <w:widowControl/>
                    <w:ind w:left="-105" w:leftChars="-50" w:right="-105" w:rightChars="-5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2F</w:t>
                  </w:r>
                </w:p>
              </w:tc>
              <w:tc>
                <w:tcPr>
                  <w:tcW w:w="351" w:type="pct"/>
                  <w:vMerge w:val="continue"/>
                  <w:noWrap w:val="0"/>
                  <w:vAlign w:val="center"/>
                </w:tcPr>
                <w:p w14:paraId="7BCB3794">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p>
              </w:tc>
              <w:tc>
                <w:tcPr>
                  <w:tcW w:w="480" w:type="pct"/>
                  <w:noWrap w:val="0"/>
                  <w:vAlign w:val="center"/>
                </w:tcPr>
                <w:p w14:paraId="4EA00DA3">
                  <w:pPr>
                    <w:widowControl/>
                    <w:ind w:left="-105" w:leftChars="-50" w:right="-105" w:rightChars="-50"/>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15</w:t>
                  </w:r>
                </w:p>
              </w:tc>
              <w:tc>
                <w:tcPr>
                  <w:tcW w:w="351" w:type="pct"/>
                  <w:noWrap w:val="0"/>
                  <w:vAlign w:val="center"/>
                </w:tcPr>
                <w:p w14:paraId="5FE17910">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5~80</w:t>
                  </w:r>
                </w:p>
              </w:tc>
              <w:tc>
                <w:tcPr>
                  <w:tcW w:w="369" w:type="pct"/>
                  <w:noWrap w:val="0"/>
                  <w:vAlign w:val="center"/>
                </w:tcPr>
                <w:p w14:paraId="2B346C8F">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-15~38</w:t>
                  </w:r>
                </w:p>
              </w:tc>
              <w:tc>
                <w:tcPr>
                  <w:tcW w:w="345" w:type="pct"/>
                  <w:noWrap w:val="0"/>
                  <w:vAlign w:val="center"/>
                </w:tcPr>
                <w:p w14:paraId="75B58D77">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7</w:t>
                  </w:r>
                </w:p>
              </w:tc>
              <w:tc>
                <w:tcPr>
                  <w:tcW w:w="1189" w:type="pct"/>
                  <w:noWrap w:val="0"/>
                  <w:vAlign w:val="center"/>
                </w:tcPr>
                <w:p w14:paraId="65AA348A">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60/1</w:t>
                  </w:r>
                </w:p>
              </w:tc>
              <w:tc>
                <w:tcPr>
                  <w:tcW w:w="483" w:type="pct"/>
                  <w:vMerge w:val="continue"/>
                  <w:noWrap w:val="0"/>
                  <w:vAlign w:val="center"/>
                </w:tcPr>
                <w:p w14:paraId="78906453">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c>
                <w:tcPr>
                  <w:tcW w:w="531" w:type="pct"/>
                  <w:vMerge w:val="continue"/>
                  <w:noWrap w:val="0"/>
                  <w:vAlign w:val="center"/>
                </w:tcPr>
                <w:p w14:paraId="32931982">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r>
            <w:tr w14:paraId="477ED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continue"/>
                  <w:noWrap w:val="0"/>
                  <w:vAlign w:val="center"/>
                </w:tcPr>
                <w:p w14:paraId="398F07A3">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p>
              </w:tc>
              <w:tc>
                <w:tcPr>
                  <w:tcW w:w="453" w:type="pct"/>
                  <w:vMerge w:val="continue"/>
                  <w:noWrap w:val="0"/>
                  <w:vAlign w:val="center"/>
                </w:tcPr>
                <w:p w14:paraId="59F338CC">
                  <w:pPr>
                    <w:widowControl/>
                    <w:ind w:left="-105" w:leftChars="-50" w:right="-105" w:rightChars="-50"/>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p>
              </w:tc>
              <w:tc>
                <w:tcPr>
                  <w:tcW w:w="240" w:type="pct"/>
                  <w:noWrap w:val="0"/>
                  <w:vAlign w:val="center"/>
                </w:tcPr>
                <w:p w14:paraId="773E2207">
                  <w:pPr>
                    <w:widowControl/>
                    <w:ind w:left="-105" w:leftChars="-50" w:right="-105" w:rightChars="-5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3F</w:t>
                  </w:r>
                </w:p>
              </w:tc>
              <w:tc>
                <w:tcPr>
                  <w:tcW w:w="351" w:type="pct"/>
                  <w:vMerge w:val="continue"/>
                  <w:noWrap w:val="0"/>
                  <w:vAlign w:val="center"/>
                </w:tcPr>
                <w:p w14:paraId="07918C29">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p>
              </w:tc>
              <w:tc>
                <w:tcPr>
                  <w:tcW w:w="480" w:type="pct"/>
                  <w:noWrap w:val="0"/>
                  <w:vAlign w:val="center"/>
                </w:tcPr>
                <w:p w14:paraId="36CF6720">
                  <w:pPr>
                    <w:widowControl/>
                    <w:ind w:left="-105" w:leftChars="-50" w:right="-105" w:rightChars="-50"/>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15</w:t>
                  </w:r>
                </w:p>
              </w:tc>
              <w:tc>
                <w:tcPr>
                  <w:tcW w:w="351" w:type="pct"/>
                  <w:noWrap w:val="0"/>
                  <w:vAlign w:val="center"/>
                </w:tcPr>
                <w:p w14:paraId="60F295D8">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5~80</w:t>
                  </w:r>
                </w:p>
              </w:tc>
              <w:tc>
                <w:tcPr>
                  <w:tcW w:w="369" w:type="pct"/>
                  <w:noWrap w:val="0"/>
                  <w:vAlign w:val="center"/>
                </w:tcPr>
                <w:p w14:paraId="2E45A13D">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-15~38</w:t>
                  </w:r>
                </w:p>
              </w:tc>
              <w:tc>
                <w:tcPr>
                  <w:tcW w:w="345" w:type="pct"/>
                  <w:noWrap w:val="0"/>
                  <w:vAlign w:val="center"/>
                </w:tcPr>
                <w:p w14:paraId="727E45E1">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10.8</w:t>
                  </w:r>
                </w:p>
              </w:tc>
              <w:tc>
                <w:tcPr>
                  <w:tcW w:w="1189" w:type="pct"/>
                  <w:noWrap w:val="0"/>
                  <w:vAlign w:val="center"/>
                </w:tcPr>
                <w:p w14:paraId="117993B3">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60/1</w:t>
                  </w:r>
                </w:p>
              </w:tc>
              <w:tc>
                <w:tcPr>
                  <w:tcW w:w="483" w:type="pct"/>
                  <w:vMerge w:val="continue"/>
                  <w:noWrap w:val="0"/>
                  <w:vAlign w:val="center"/>
                </w:tcPr>
                <w:p w14:paraId="1633AEA6">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c>
                <w:tcPr>
                  <w:tcW w:w="531" w:type="pct"/>
                  <w:vMerge w:val="continue"/>
                  <w:noWrap w:val="0"/>
                  <w:vAlign w:val="center"/>
                </w:tcPr>
                <w:p w14:paraId="667F19B2">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r>
            <w:tr w14:paraId="42E67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continue"/>
                  <w:noWrap w:val="0"/>
                  <w:vAlign w:val="center"/>
                </w:tcPr>
                <w:p w14:paraId="1198D803">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p>
              </w:tc>
              <w:tc>
                <w:tcPr>
                  <w:tcW w:w="453" w:type="pct"/>
                  <w:vMerge w:val="continue"/>
                  <w:noWrap w:val="0"/>
                  <w:vAlign w:val="center"/>
                </w:tcPr>
                <w:p w14:paraId="1B31AF5C">
                  <w:pPr>
                    <w:widowControl/>
                    <w:ind w:left="-105" w:leftChars="-50" w:right="-105" w:rightChars="-50"/>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p>
              </w:tc>
              <w:tc>
                <w:tcPr>
                  <w:tcW w:w="240" w:type="pct"/>
                  <w:noWrap w:val="0"/>
                  <w:vAlign w:val="center"/>
                </w:tcPr>
                <w:p w14:paraId="664FB342">
                  <w:pPr>
                    <w:widowControl/>
                    <w:ind w:left="-105" w:leftChars="-50" w:right="-105" w:rightChars="-5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4F</w:t>
                  </w:r>
                </w:p>
              </w:tc>
              <w:tc>
                <w:tcPr>
                  <w:tcW w:w="351" w:type="pct"/>
                  <w:vMerge w:val="continue"/>
                  <w:noWrap w:val="0"/>
                  <w:vAlign w:val="center"/>
                </w:tcPr>
                <w:p w14:paraId="5060F3C1">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p>
              </w:tc>
              <w:tc>
                <w:tcPr>
                  <w:tcW w:w="480" w:type="pct"/>
                  <w:noWrap w:val="0"/>
                  <w:vAlign w:val="center"/>
                </w:tcPr>
                <w:p w14:paraId="2DE8083C">
                  <w:pPr>
                    <w:widowControl/>
                    <w:ind w:left="-105" w:leftChars="-50" w:right="-105" w:rightChars="-50"/>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15</w:t>
                  </w:r>
                </w:p>
              </w:tc>
              <w:tc>
                <w:tcPr>
                  <w:tcW w:w="351" w:type="pct"/>
                  <w:noWrap w:val="0"/>
                  <w:vAlign w:val="center"/>
                </w:tcPr>
                <w:p w14:paraId="7C876B75">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5~80</w:t>
                  </w:r>
                </w:p>
              </w:tc>
              <w:tc>
                <w:tcPr>
                  <w:tcW w:w="369" w:type="pct"/>
                  <w:noWrap w:val="0"/>
                  <w:vAlign w:val="center"/>
                </w:tcPr>
                <w:p w14:paraId="1809C643">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-15~38</w:t>
                  </w:r>
                </w:p>
              </w:tc>
              <w:tc>
                <w:tcPr>
                  <w:tcW w:w="345" w:type="pct"/>
                  <w:noWrap w:val="0"/>
                  <w:vAlign w:val="center"/>
                </w:tcPr>
                <w:p w14:paraId="562F768C">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14.6</w:t>
                  </w:r>
                </w:p>
              </w:tc>
              <w:tc>
                <w:tcPr>
                  <w:tcW w:w="1189" w:type="pct"/>
                  <w:noWrap w:val="0"/>
                  <w:vAlign w:val="center"/>
                </w:tcPr>
                <w:p w14:paraId="7043F000">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60/1</w:t>
                  </w:r>
                </w:p>
              </w:tc>
              <w:tc>
                <w:tcPr>
                  <w:tcW w:w="483" w:type="pct"/>
                  <w:vMerge w:val="continue"/>
                  <w:noWrap w:val="0"/>
                  <w:vAlign w:val="center"/>
                </w:tcPr>
                <w:p w14:paraId="5AB9F254">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c>
                <w:tcPr>
                  <w:tcW w:w="531" w:type="pct"/>
                  <w:vMerge w:val="continue"/>
                  <w:noWrap w:val="0"/>
                  <w:vAlign w:val="center"/>
                </w:tcPr>
                <w:p w14:paraId="06D13498">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r>
            <w:tr w14:paraId="18B99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continue"/>
                  <w:noWrap w:val="0"/>
                  <w:vAlign w:val="center"/>
                </w:tcPr>
                <w:p w14:paraId="12FB47FE">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p>
              </w:tc>
              <w:tc>
                <w:tcPr>
                  <w:tcW w:w="453" w:type="pct"/>
                  <w:vMerge w:val="continue"/>
                  <w:noWrap w:val="0"/>
                  <w:vAlign w:val="center"/>
                </w:tcPr>
                <w:p w14:paraId="56863030">
                  <w:pPr>
                    <w:widowControl/>
                    <w:ind w:left="-105" w:leftChars="-50" w:right="-105" w:rightChars="-50"/>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p>
              </w:tc>
              <w:tc>
                <w:tcPr>
                  <w:tcW w:w="240" w:type="pct"/>
                  <w:noWrap w:val="0"/>
                  <w:vAlign w:val="center"/>
                </w:tcPr>
                <w:p w14:paraId="7508CE1C">
                  <w:pPr>
                    <w:widowControl/>
                    <w:ind w:left="-105" w:leftChars="-50" w:right="-105" w:rightChars="-5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5F</w:t>
                  </w:r>
                </w:p>
              </w:tc>
              <w:tc>
                <w:tcPr>
                  <w:tcW w:w="351" w:type="pct"/>
                  <w:vMerge w:val="continue"/>
                  <w:noWrap w:val="0"/>
                  <w:vAlign w:val="center"/>
                </w:tcPr>
                <w:p w14:paraId="5F22EA3E">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p>
              </w:tc>
              <w:tc>
                <w:tcPr>
                  <w:tcW w:w="480" w:type="pct"/>
                  <w:noWrap w:val="0"/>
                  <w:vAlign w:val="center"/>
                </w:tcPr>
                <w:p w14:paraId="7FACF373">
                  <w:pPr>
                    <w:widowControl/>
                    <w:ind w:left="-105" w:leftChars="-50" w:right="-105" w:rightChars="-50"/>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15</w:t>
                  </w:r>
                </w:p>
              </w:tc>
              <w:tc>
                <w:tcPr>
                  <w:tcW w:w="351" w:type="pct"/>
                  <w:noWrap w:val="0"/>
                  <w:vAlign w:val="center"/>
                </w:tcPr>
                <w:p w14:paraId="5517EF51">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5~80</w:t>
                  </w:r>
                </w:p>
              </w:tc>
              <w:tc>
                <w:tcPr>
                  <w:tcW w:w="369" w:type="pct"/>
                  <w:noWrap w:val="0"/>
                  <w:vAlign w:val="center"/>
                </w:tcPr>
                <w:p w14:paraId="31412E64">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-15~38</w:t>
                  </w:r>
                </w:p>
              </w:tc>
              <w:tc>
                <w:tcPr>
                  <w:tcW w:w="345" w:type="pct"/>
                  <w:noWrap w:val="0"/>
                  <w:vAlign w:val="center"/>
                </w:tcPr>
                <w:p w14:paraId="66F690D9">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18.4</w:t>
                  </w:r>
                </w:p>
              </w:tc>
              <w:tc>
                <w:tcPr>
                  <w:tcW w:w="1189" w:type="pct"/>
                  <w:noWrap w:val="0"/>
                  <w:vAlign w:val="center"/>
                </w:tcPr>
                <w:p w14:paraId="6A34B83F">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60/1</w:t>
                  </w:r>
                </w:p>
              </w:tc>
              <w:tc>
                <w:tcPr>
                  <w:tcW w:w="483" w:type="pct"/>
                  <w:vMerge w:val="continue"/>
                  <w:noWrap w:val="0"/>
                  <w:vAlign w:val="center"/>
                </w:tcPr>
                <w:p w14:paraId="66DE3D4F">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c>
                <w:tcPr>
                  <w:tcW w:w="531" w:type="pct"/>
                  <w:vMerge w:val="continue"/>
                  <w:noWrap w:val="0"/>
                  <w:vAlign w:val="center"/>
                </w:tcPr>
                <w:p w14:paraId="07CE40B1">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r>
            <w:tr w14:paraId="59A41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vMerge w:val="continue"/>
                  <w:noWrap w:val="0"/>
                  <w:vAlign w:val="center"/>
                </w:tcPr>
                <w:p w14:paraId="47F1059A">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p>
              </w:tc>
              <w:tc>
                <w:tcPr>
                  <w:tcW w:w="453" w:type="pct"/>
                  <w:vMerge w:val="continue"/>
                  <w:noWrap w:val="0"/>
                  <w:vAlign w:val="center"/>
                </w:tcPr>
                <w:p w14:paraId="0DC01B73">
                  <w:pPr>
                    <w:widowControl/>
                    <w:ind w:left="-105" w:leftChars="-50" w:right="-105" w:rightChars="-50"/>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p>
              </w:tc>
              <w:tc>
                <w:tcPr>
                  <w:tcW w:w="240" w:type="pct"/>
                  <w:noWrap w:val="0"/>
                  <w:vAlign w:val="center"/>
                </w:tcPr>
                <w:p w14:paraId="052E6D0B">
                  <w:pPr>
                    <w:widowControl/>
                    <w:ind w:left="-105" w:leftChars="-50" w:right="-105" w:rightChars="-50"/>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6F</w:t>
                  </w:r>
                </w:p>
              </w:tc>
              <w:tc>
                <w:tcPr>
                  <w:tcW w:w="351" w:type="pct"/>
                  <w:vMerge w:val="continue"/>
                  <w:noWrap w:val="0"/>
                  <w:vAlign w:val="center"/>
                </w:tcPr>
                <w:p w14:paraId="56B8D7F4">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p>
              </w:tc>
              <w:tc>
                <w:tcPr>
                  <w:tcW w:w="480" w:type="pct"/>
                  <w:noWrap w:val="0"/>
                  <w:vAlign w:val="center"/>
                </w:tcPr>
                <w:p w14:paraId="730BFECF">
                  <w:pPr>
                    <w:widowControl/>
                    <w:ind w:left="-105" w:leftChars="-50" w:right="-105" w:rightChars="-50"/>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15</w:t>
                  </w:r>
                </w:p>
              </w:tc>
              <w:tc>
                <w:tcPr>
                  <w:tcW w:w="351" w:type="pct"/>
                  <w:noWrap w:val="0"/>
                  <w:vAlign w:val="center"/>
                </w:tcPr>
                <w:p w14:paraId="4E2E5650">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5~80</w:t>
                  </w:r>
                </w:p>
              </w:tc>
              <w:tc>
                <w:tcPr>
                  <w:tcW w:w="369" w:type="pct"/>
                  <w:noWrap w:val="0"/>
                  <w:vAlign w:val="center"/>
                </w:tcPr>
                <w:p w14:paraId="21E23E2D">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-15~38</w:t>
                  </w:r>
                </w:p>
              </w:tc>
              <w:tc>
                <w:tcPr>
                  <w:tcW w:w="345" w:type="pct"/>
                  <w:noWrap w:val="0"/>
                  <w:vAlign w:val="center"/>
                </w:tcPr>
                <w:p w14:paraId="2FB6D76F">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22.2</w:t>
                  </w:r>
                </w:p>
              </w:tc>
              <w:tc>
                <w:tcPr>
                  <w:tcW w:w="1189" w:type="pct"/>
                  <w:noWrap w:val="0"/>
                  <w:vAlign w:val="center"/>
                </w:tcPr>
                <w:p w14:paraId="3D3B95AE">
                  <w:pPr>
                    <w:widowControl/>
                    <w:ind w:left="-105" w:leftChars="-50" w:right="-105" w:rightChars="-50"/>
                    <w:jc w:val="center"/>
                    <w:rPr>
                      <w:rFonts w:hint="eastAsia" w:ascii="Times New Roman" w:hAnsi="Times New Roman"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60/1</w:t>
                  </w:r>
                </w:p>
              </w:tc>
              <w:tc>
                <w:tcPr>
                  <w:tcW w:w="483" w:type="pct"/>
                  <w:vMerge w:val="continue"/>
                  <w:noWrap w:val="0"/>
                  <w:vAlign w:val="center"/>
                </w:tcPr>
                <w:p w14:paraId="63372D21">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c>
                <w:tcPr>
                  <w:tcW w:w="531" w:type="pct"/>
                  <w:vMerge w:val="continue"/>
                  <w:noWrap w:val="0"/>
                  <w:vAlign w:val="center"/>
                </w:tcPr>
                <w:p w14:paraId="3FEE849B">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r>
            <w:tr w14:paraId="5FC29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noWrap w:val="0"/>
                  <w:vAlign w:val="center"/>
                </w:tcPr>
                <w:p w14:paraId="612BFBEC">
                  <w:pPr>
                    <w:widowControl/>
                    <w:ind w:left="-105" w:leftChars="-50" w:right="-105" w:rightChars="-50"/>
                    <w:jc w:val="center"/>
                    <w:rPr>
                      <w:rFonts w:hint="eastAsia" w:ascii="Times New Roman" w:hAnsi="Times New Roman" w:eastAsia="宋体" w:cs="Times New Roman"/>
                      <w:bCs/>
                      <w:color w:val="000000" w:themeColor="text1"/>
                      <w:kern w:val="0"/>
                      <w:szCs w:val="21"/>
                      <w:lang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2</w:t>
                  </w:r>
                </w:p>
              </w:tc>
              <w:tc>
                <w:tcPr>
                  <w:tcW w:w="694" w:type="pct"/>
                  <w:gridSpan w:val="2"/>
                  <w:vMerge w:val="restart"/>
                  <w:noWrap w:val="0"/>
                  <w:vAlign w:val="center"/>
                </w:tcPr>
                <w:p w14:paraId="36C1584C">
                  <w:pPr>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废水处理站</w:t>
                  </w:r>
                </w:p>
              </w:tc>
              <w:tc>
                <w:tcPr>
                  <w:tcW w:w="351" w:type="pct"/>
                  <w:noWrap w:val="0"/>
                  <w:vAlign w:val="center"/>
                </w:tcPr>
                <w:p w14:paraId="52A3F1DA">
                  <w:pPr>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泵</w:t>
                  </w:r>
                </w:p>
              </w:tc>
              <w:tc>
                <w:tcPr>
                  <w:tcW w:w="480" w:type="pct"/>
                  <w:noWrap w:val="0"/>
                  <w:vAlign w:val="center"/>
                </w:tcPr>
                <w:p w14:paraId="1476DA15">
                  <w:pPr>
                    <w:widowControl/>
                    <w:ind w:left="-105" w:leftChars="-50" w:right="-105" w:rightChars="-50"/>
                    <w:jc w:val="center"/>
                    <w:rPr>
                      <w:rFonts w:hint="eastAsia" w:ascii="Times New Roman" w:hAnsi="Times New Roman" w:eastAsia="宋体" w:cs="Times New Roman"/>
                      <w:bCs/>
                      <w:color w:val="000000" w:themeColor="text1"/>
                      <w:kern w:val="0"/>
                      <w:szCs w:val="21"/>
                      <w:lang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w:t>
                  </w:r>
                </w:p>
              </w:tc>
              <w:tc>
                <w:tcPr>
                  <w:tcW w:w="351" w:type="pct"/>
                  <w:noWrap w:val="0"/>
                  <w:vAlign w:val="center"/>
                </w:tcPr>
                <w:p w14:paraId="5617776D">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-32</w:t>
                  </w:r>
                </w:p>
              </w:tc>
              <w:tc>
                <w:tcPr>
                  <w:tcW w:w="369" w:type="pct"/>
                  <w:noWrap w:val="0"/>
                  <w:vAlign w:val="center"/>
                </w:tcPr>
                <w:p w14:paraId="1B979B6C">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-45</w:t>
                  </w:r>
                </w:p>
              </w:tc>
              <w:tc>
                <w:tcPr>
                  <w:tcW w:w="345" w:type="pct"/>
                  <w:noWrap w:val="0"/>
                  <w:vAlign w:val="center"/>
                </w:tcPr>
                <w:p w14:paraId="6D11A885">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-2</w:t>
                  </w:r>
                </w:p>
              </w:tc>
              <w:tc>
                <w:tcPr>
                  <w:tcW w:w="1189" w:type="pct"/>
                  <w:noWrap w:val="0"/>
                  <w:vAlign w:val="center"/>
                </w:tcPr>
                <w:p w14:paraId="18A027A6">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85</w:t>
                  </w:r>
                  <w:r>
                    <w:rPr>
                      <w:rFonts w:hint="eastAsia" w:ascii="Times New Roman" w:hAnsi="Times New Roman" w:cs="Times New Roman"/>
                      <w:bCs/>
                      <w:color w:val="000000" w:themeColor="text1"/>
                      <w:kern w:val="0"/>
                      <w:szCs w:val="21"/>
                      <w:lang w:val="en-US" w:eastAsia="zh-CN"/>
                      <w14:textFill>
                        <w14:solidFill>
                          <w14:schemeClr w14:val="tx1"/>
                        </w14:solidFill>
                      </w14:textFill>
                    </w:rPr>
                    <w:t>/1</w:t>
                  </w:r>
                </w:p>
              </w:tc>
              <w:tc>
                <w:tcPr>
                  <w:tcW w:w="483" w:type="pct"/>
                  <w:noWrap w:val="0"/>
                  <w:vAlign w:val="center"/>
                </w:tcPr>
                <w:p w14:paraId="2A9C4EDA">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地下隔声，</w:t>
                  </w:r>
                  <w:r>
                    <w:rPr>
                      <w:rFonts w:hint="default" w:ascii="Times New Roman" w:hAnsi="Times New Roman" w:cs="Times New Roman"/>
                      <w:bCs/>
                      <w:color w:val="000000" w:themeColor="text1"/>
                      <w:kern w:val="0"/>
                      <w:szCs w:val="21"/>
                      <w14:textFill>
                        <w14:solidFill>
                          <w14:schemeClr w14:val="tx1"/>
                        </w14:solidFill>
                      </w14:textFill>
                    </w:rPr>
                    <w:t>软连接</w:t>
                  </w:r>
                </w:p>
              </w:tc>
              <w:tc>
                <w:tcPr>
                  <w:tcW w:w="531" w:type="pct"/>
                  <w:vMerge w:val="continue"/>
                  <w:noWrap w:val="0"/>
                  <w:vAlign w:val="center"/>
                </w:tcPr>
                <w:p w14:paraId="763A4F01">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r>
            <w:tr w14:paraId="6A836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 w:type="pct"/>
                  <w:noWrap w:val="0"/>
                  <w:vAlign w:val="center"/>
                </w:tcPr>
                <w:p w14:paraId="1B5D778E">
                  <w:pPr>
                    <w:widowControl/>
                    <w:ind w:left="-105" w:leftChars="-50" w:right="-105" w:rightChars="-50"/>
                    <w:jc w:val="cente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3</w:t>
                  </w:r>
                </w:p>
              </w:tc>
              <w:tc>
                <w:tcPr>
                  <w:tcW w:w="694" w:type="pct"/>
                  <w:gridSpan w:val="2"/>
                  <w:vMerge w:val="continue"/>
                  <w:noWrap w:val="0"/>
                  <w:vAlign w:val="center"/>
                </w:tcPr>
                <w:p w14:paraId="327C43F7">
                  <w:pPr>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c>
                <w:tcPr>
                  <w:tcW w:w="351" w:type="pct"/>
                  <w:noWrap w:val="0"/>
                  <w:vAlign w:val="center"/>
                </w:tcPr>
                <w:p w14:paraId="7378A653">
                  <w:pPr>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风机</w:t>
                  </w:r>
                </w:p>
              </w:tc>
              <w:tc>
                <w:tcPr>
                  <w:tcW w:w="480" w:type="pct"/>
                  <w:noWrap w:val="0"/>
                  <w:vAlign w:val="center"/>
                </w:tcPr>
                <w:p w14:paraId="30C665EC">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1</w:t>
                  </w:r>
                </w:p>
              </w:tc>
              <w:tc>
                <w:tcPr>
                  <w:tcW w:w="351" w:type="pct"/>
                  <w:noWrap w:val="0"/>
                  <w:vAlign w:val="center"/>
                </w:tcPr>
                <w:p w14:paraId="41BF2ECE">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-32</w:t>
                  </w:r>
                </w:p>
              </w:tc>
              <w:tc>
                <w:tcPr>
                  <w:tcW w:w="369" w:type="pct"/>
                  <w:noWrap w:val="0"/>
                  <w:vAlign w:val="center"/>
                </w:tcPr>
                <w:p w14:paraId="23F86125">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-60</w:t>
                  </w:r>
                </w:p>
              </w:tc>
              <w:tc>
                <w:tcPr>
                  <w:tcW w:w="345" w:type="pct"/>
                  <w:noWrap w:val="0"/>
                  <w:vAlign w:val="center"/>
                </w:tcPr>
                <w:p w14:paraId="781C3315">
                  <w:pPr>
                    <w:widowControl/>
                    <w:ind w:left="-105" w:leftChars="-50" w:right="-105" w:rightChars="-50"/>
                    <w:jc w:val="center"/>
                    <w:rPr>
                      <w:rFonts w:hint="eastAsia"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1</w:t>
                  </w:r>
                </w:p>
              </w:tc>
              <w:tc>
                <w:tcPr>
                  <w:tcW w:w="1189" w:type="pct"/>
                  <w:noWrap w:val="0"/>
                  <w:vAlign w:val="center"/>
                </w:tcPr>
                <w:p w14:paraId="1BD58EC2">
                  <w:pPr>
                    <w:widowControl/>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85/1</w:t>
                  </w:r>
                </w:p>
              </w:tc>
              <w:tc>
                <w:tcPr>
                  <w:tcW w:w="483" w:type="pct"/>
                  <w:noWrap w:val="0"/>
                  <w:vAlign w:val="center"/>
                </w:tcPr>
                <w:p w14:paraId="1EEC9512">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基础减震</w:t>
                  </w:r>
                </w:p>
              </w:tc>
              <w:tc>
                <w:tcPr>
                  <w:tcW w:w="531" w:type="pct"/>
                  <w:vMerge w:val="continue"/>
                  <w:noWrap w:val="0"/>
                  <w:vAlign w:val="center"/>
                </w:tcPr>
                <w:p w14:paraId="3681FF64">
                  <w:pPr>
                    <w:widowControl/>
                    <w:ind w:left="-105" w:leftChars="-50" w:right="-105" w:rightChars="-50"/>
                    <w:jc w:val="center"/>
                    <w:rPr>
                      <w:rFonts w:hint="default" w:ascii="Times New Roman" w:hAnsi="Times New Roman" w:cs="Times New Roman"/>
                      <w:bCs/>
                      <w:color w:val="000000" w:themeColor="text1"/>
                      <w:kern w:val="0"/>
                      <w:szCs w:val="21"/>
                      <w14:textFill>
                        <w14:solidFill>
                          <w14:schemeClr w14:val="tx1"/>
                        </w14:solidFill>
                      </w14:textFill>
                    </w:rPr>
                  </w:pPr>
                </w:p>
              </w:tc>
            </w:tr>
            <w:tr w14:paraId="1A401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1"/>
                  <w:noWrap w:val="0"/>
                  <w:vAlign w:val="center"/>
                </w:tcPr>
                <w:p w14:paraId="60E2747D">
                  <w:pPr>
                    <w:widowControl/>
                    <w:ind w:left="-105" w:leftChars="-50" w:right="-105" w:rightChars="-50"/>
                    <w:jc w:val="both"/>
                    <w:rPr>
                      <w:rFonts w:hint="default"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 w:val="0"/>
                      <w:bCs w:val="0"/>
                      <w:color w:val="000000" w:themeColor="text1"/>
                      <w:sz w:val="21"/>
                      <w:szCs w:val="21"/>
                      <w:u w:val="none"/>
                      <w:lang w:val="en-US" w:eastAsia="zh-CN"/>
                      <w14:textFill>
                        <w14:solidFill>
                          <w14:schemeClr w14:val="tx1"/>
                        </w14:solidFill>
                      </w14:textFill>
                    </w:rPr>
                    <w:t>注：以</w:t>
                  </w:r>
                  <w:r>
                    <w:rPr>
                      <w:rFonts w:hint="default" w:ascii="Times New Roman" w:hAnsi="Times New Roman" w:cs="Times New Roman"/>
                      <w:bCs/>
                      <w:color w:val="000000" w:themeColor="text1"/>
                      <w:kern w:val="0"/>
                      <w:szCs w:val="21"/>
                      <w:lang w:val="en-US" w:eastAsia="zh-CN"/>
                      <w14:textFill>
                        <w14:solidFill>
                          <w14:schemeClr w14:val="tx1"/>
                        </w14:solidFill>
                      </w14:textFill>
                    </w:rPr>
                    <w:t>精神病房楼</w:t>
                  </w:r>
                  <w:r>
                    <w:rPr>
                      <w:rFonts w:hint="eastAsia" w:ascii="Times New Roman" w:hAnsi="Times New Roman" w:cs="Times New Roman"/>
                      <w:b w:val="0"/>
                      <w:bCs w:val="0"/>
                      <w:color w:val="000000" w:themeColor="text1"/>
                      <w:sz w:val="21"/>
                      <w:szCs w:val="21"/>
                      <w:u w:val="none"/>
                      <w:lang w:val="en-US" w:eastAsia="zh-CN"/>
                      <w14:textFill>
                        <w14:solidFill>
                          <w14:schemeClr w14:val="tx1"/>
                        </w14:solidFill>
                      </w14:textFill>
                    </w:rPr>
                    <w:t>西南角地面作为坐标系原点。</w:t>
                  </w:r>
                </w:p>
              </w:tc>
            </w:tr>
          </w:tbl>
          <w:p w14:paraId="2419138C">
            <w:pPr>
              <w:pStyle w:val="20"/>
              <w:keepNext w:val="0"/>
              <w:keepLines w:val="0"/>
              <w:pageBreakBefore w:val="0"/>
              <w:widowControl w:val="0"/>
              <w:kinsoku/>
              <w:wordWrap/>
              <w:overflowPunct/>
              <w:topLinePunct w:val="0"/>
              <w:autoSpaceDE/>
              <w:autoSpaceDN/>
              <w:bidi w:val="0"/>
              <w:adjustRightInd/>
              <w:snapToGrid/>
              <w:spacing w:before="157" w:beforeLines="50" w:line="420" w:lineRule="auto"/>
              <w:ind w:firstLine="480" w:firstLineChars="200"/>
              <w:textAlignment w:val="auto"/>
              <w:rPr>
                <w:rFonts w:ascii="Times New Roman" w:hAnsi="Times New Roman"/>
                <w:color w:val="000000" w:themeColor="text1"/>
                <w:sz w:val="24"/>
                <w:lang w:bidi="ar"/>
                <w14:textFill>
                  <w14:solidFill>
                    <w14:schemeClr w14:val="tx1"/>
                  </w14:solidFill>
                </w14:textFill>
              </w:rPr>
            </w:pPr>
            <w:r>
              <w:rPr>
                <w:rFonts w:hint="eastAsia"/>
                <w:color w:val="000000" w:themeColor="text1"/>
                <w:sz w:val="24"/>
                <w14:textFill>
                  <w14:solidFill>
                    <w14:schemeClr w14:val="tx1"/>
                  </w14:solidFill>
                </w14:textFill>
              </w:rPr>
              <w:t>本次评价选用《环境影响评价</w:t>
            </w:r>
            <w:r>
              <w:rPr>
                <w:rFonts w:ascii="Times New Roman" w:hAnsi="Times New Roman"/>
                <w:color w:val="000000" w:themeColor="text1"/>
                <w:sz w:val="24"/>
                <w14:textFill>
                  <w14:solidFill>
                    <w14:schemeClr w14:val="tx1"/>
                  </w14:solidFill>
                </w14:textFill>
              </w:rPr>
              <w:t>技术导则 声环境》（HJ</w:t>
            </w:r>
            <w:r>
              <w:rPr>
                <w:rFonts w:hint="eastAsia" w:ascii="Times New Roman" w:hAnsi="Times New Roman"/>
                <w:color w:val="000000" w:themeColor="text1"/>
                <w:sz w:val="24"/>
                <w:lang w:val="en-US" w:eastAsia="zh-CN"/>
                <w14:textFill>
                  <w14:solidFill>
                    <w14:schemeClr w14:val="tx1"/>
                  </w14:solidFill>
                </w14:textFill>
              </w:rPr>
              <w:t xml:space="preserve"> </w:t>
            </w:r>
            <w:r>
              <w:rPr>
                <w:rFonts w:ascii="Times New Roman" w:hAnsi="Times New Roman"/>
                <w:color w:val="000000" w:themeColor="text1"/>
                <w:sz w:val="24"/>
                <w14:textFill>
                  <w14:solidFill>
                    <w14:schemeClr w14:val="tx1"/>
                  </w14:solidFill>
                </w14:textFill>
              </w:rPr>
              <w:t>2.4-20</w:t>
            </w:r>
            <w:r>
              <w:rPr>
                <w:rFonts w:hint="eastAsia" w:ascii="Times New Roman" w:hAnsi="Times New Roman"/>
                <w:color w:val="000000" w:themeColor="text1"/>
                <w:sz w:val="24"/>
                <w:lang w:val="en-US" w:eastAsia="zh-CN"/>
                <w14:textFill>
                  <w14:solidFill>
                    <w14:schemeClr w14:val="tx1"/>
                  </w14:solidFill>
                </w14:textFill>
              </w:rPr>
              <w:t>21</w:t>
            </w:r>
            <w:r>
              <w:rPr>
                <w:rFonts w:ascii="Times New Roman" w:hAnsi="Times New Roman"/>
                <w:color w:val="000000" w:themeColor="text1"/>
                <w:sz w:val="24"/>
                <w14:textFill>
                  <w14:solidFill>
                    <w14:schemeClr w14:val="tx1"/>
                  </w14:solidFill>
                </w14:textFill>
              </w:rPr>
              <w:t>）推荐的噪声预测模式预测各厂界噪声值。预测模式如下：</w:t>
            </w:r>
          </w:p>
          <w:p w14:paraId="2DD201B5">
            <w:pPr>
              <w:pStyle w:val="205"/>
              <w:spacing w:before="0" w:after="0"/>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①噪声源至某一预测点声级衰减计算方法：</w:t>
            </w:r>
          </w:p>
          <w:p w14:paraId="2306B221">
            <w:pPr>
              <w:pStyle w:val="243"/>
              <w:spacing w:before="0" w:after="0"/>
              <w:ind w:firstLine="0" w:firstLineChars="0"/>
              <w:jc w:val="center"/>
              <w:rPr>
                <w:rFonts w:ascii="Times New Roman" w:hAnsi="Times New Roman"/>
                <w:color w:val="000000" w:themeColor="text1"/>
                <w14:textFill>
                  <w14:solidFill>
                    <w14:schemeClr w14:val="tx1"/>
                  </w14:solidFill>
                </w14:textFill>
              </w:rPr>
            </w:pPr>
            <w:r>
              <w:rPr>
                <w:rFonts w:ascii="Times New Roman" w:hAnsi="Times New Roman"/>
                <w:i/>
                <w:color w:val="000000" w:themeColor="text1"/>
                <w14:textFill>
                  <w14:solidFill>
                    <w14:schemeClr w14:val="tx1"/>
                  </w14:solidFill>
                </w14:textFill>
              </w:rPr>
              <w:t>Leq</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r</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L</w:t>
            </w:r>
            <w:r>
              <w:rPr>
                <w:rFonts w:ascii="Times New Roman" w:hAnsi="Times New Roman"/>
                <w:color w:val="000000" w:themeColor="text1"/>
                <w:vertAlign w:val="subscript"/>
                <w14:textFill>
                  <w14:solidFill>
                    <w14:schemeClr w14:val="tx1"/>
                  </w14:solidFill>
                </w14:textFill>
              </w:rPr>
              <w:t>eq</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r</w:t>
            </w:r>
            <w:r>
              <w:rPr>
                <w:rFonts w:ascii="Times New Roman" w:hAnsi="Times New Roman"/>
                <w:color w:val="000000" w:themeColor="text1"/>
                <w:vertAlign w:val="subscript"/>
                <w14:textFill>
                  <w14:solidFill>
                    <w14:schemeClr w14:val="tx1"/>
                  </w14:solidFill>
                </w14:textFill>
              </w:rPr>
              <w:t>0</w:t>
            </w:r>
            <w:r>
              <w:rPr>
                <w:rFonts w:ascii="Times New Roman" w:hAnsi="Times New Roman"/>
                <w:color w:val="000000" w:themeColor="text1"/>
                <w14:textFill>
                  <w14:solidFill>
                    <w14:schemeClr w14:val="tx1"/>
                  </w14:solidFill>
                </w14:textFill>
              </w:rPr>
              <w:t>)－20lg(</w:t>
            </w:r>
            <w:r>
              <w:rPr>
                <w:rFonts w:ascii="Times New Roman" w:hAnsi="Times New Roman"/>
                <w:i/>
                <w:color w:val="000000" w:themeColor="text1"/>
                <w14:textFill>
                  <w14:solidFill>
                    <w14:schemeClr w14:val="tx1"/>
                  </w14:solidFill>
                </w14:textFill>
              </w:rPr>
              <w:t>r</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r</w:t>
            </w:r>
            <w:r>
              <w:rPr>
                <w:rFonts w:ascii="Times New Roman" w:hAnsi="Times New Roman"/>
                <w:color w:val="000000" w:themeColor="text1"/>
                <w:vertAlign w:val="subscript"/>
                <w14:textFill>
                  <w14:solidFill>
                    <w14:schemeClr w14:val="tx1"/>
                  </w14:solidFill>
                </w14:textFill>
              </w:rPr>
              <w:t>0</w:t>
            </w:r>
            <w:r>
              <w:rPr>
                <w:rFonts w:ascii="Times New Roman" w:hAnsi="Times New Roman"/>
                <w:color w:val="000000" w:themeColor="text1"/>
                <w14:textFill>
                  <w14:solidFill>
                    <w14:schemeClr w14:val="tx1"/>
                  </w14:solidFill>
                </w14:textFill>
              </w:rPr>
              <w:t>)</w:t>
            </w:r>
          </w:p>
          <w:p w14:paraId="4B22FD70">
            <w:pPr>
              <w:pStyle w:val="243"/>
              <w:spacing w:before="0" w:after="0"/>
              <w:ind w:firstLineChars="25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式中：</w:t>
            </w:r>
            <w:r>
              <w:rPr>
                <w:rFonts w:ascii="Times New Roman" w:hAnsi="Times New Roman"/>
                <w:i/>
                <w:color w:val="000000" w:themeColor="text1"/>
                <w14:textFill>
                  <w14:solidFill>
                    <w14:schemeClr w14:val="tx1"/>
                  </w14:solidFill>
                </w14:textFill>
              </w:rPr>
              <w:t>L</w:t>
            </w:r>
            <w:r>
              <w:rPr>
                <w:rFonts w:ascii="Times New Roman" w:hAnsi="Times New Roman"/>
                <w:color w:val="000000" w:themeColor="text1"/>
                <w:vertAlign w:val="subscript"/>
                <w14:textFill>
                  <w14:solidFill>
                    <w14:schemeClr w14:val="tx1"/>
                  </w14:solidFill>
                </w14:textFill>
              </w:rPr>
              <w:t>eq</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r</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L</w:t>
            </w:r>
            <w:r>
              <w:rPr>
                <w:rFonts w:ascii="Times New Roman" w:hAnsi="Times New Roman"/>
                <w:color w:val="000000" w:themeColor="text1"/>
                <w:vertAlign w:val="subscript"/>
                <w14:textFill>
                  <w14:solidFill>
                    <w14:schemeClr w14:val="tx1"/>
                  </w14:solidFill>
                </w14:textFill>
              </w:rPr>
              <w:t>eq</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r</w:t>
            </w:r>
            <w:r>
              <w:rPr>
                <w:rFonts w:ascii="Times New Roman" w:hAnsi="Times New Roman"/>
                <w:color w:val="000000" w:themeColor="text1"/>
                <w:vertAlign w:val="subscript"/>
                <w14:textFill>
                  <w14:solidFill>
                    <w14:schemeClr w14:val="tx1"/>
                  </w14:solidFill>
                </w14:textFill>
              </w:rPr>
              <w:t>0</w:t>
            </w:r>
            <w:r>
              <w:rPr>
                <w:rFonts w:ascii="Times New Roman" w:hAnsi="Times New Roman"/>
                <w:color w:val="000000" w:themeColor="text1"/>
                <w14:textFill>
                  <w14:solidFill>
                    <w14:schemeClr w14:val="tx1"/>
                  </w14:solidFill>
                </w14:textFill>
              </w:rPr>
              <w:t>)—分别为点声源在预测点产生的声级和参考位置</w:t>
            </w:r>
            <w:r>
              <w:rPr>
                <w:rFonts w:ascii="Times New Roman" w:hAnsi="Times New Roman"/>
                <w:i/>
                <w:color w:val="000000" w:themeColor="text1"/>
                <w14:textFill>
                  <w14:solidFill>
                    <w14:schemeClr w14:val="tx1"/>
                  </w14:solidFill>
                </w14:textFill>
              </w:rPr>
              <w:t>r</w:t>
            </w:r>
            <w:r>
              <w:rPr>
                <w:rFonts w:ascii="Times New Roman" w:hAnsi="Times New Roman"/>
                <w:color w:val="000000" w:themeColor="text1"/>
                <w:vertAlign w:val="subscript"/>
                <w14:textFill>
                  <w14:solidFill>
                    <w14:schemeClr w14:val="tx1"/>
                  </w14:solidFill>
                </w14:textFill>
              </w:rPr>
              <w:t>0</w:t>
            </w:r>
            <w:r>
              <w:rPr>
                <w:rFonts w:ascii="Times New Roman" w:hAnsi="Times New Roman"/>
                <w:color w:val="000000" w:themeColor="text1"/>
                <w14:textFill>
                  <w14:solidFill>
                    <w14:schemeClr w14:val="tx1"/>
                  </w14:solidFill>
                </w14:textFill>
              </w:rPr>
              <w:t>处的声级，dB(A)；</w:t>
            </w:r>
          </w:p>
          <w:p w14:paraId="1051C151">
            <w:pPr>
              <w:pStyle w:val="243"/>
              <w:spacing w:before="0" w:after="0"/>
              <w:ind w:firstLineChars="250"/>
              <w:rPr>
                <w:color w:val="000000" w:themeColor="text1"/>
                <w:vertAlign w:val="baseline"/>
                <w14:textFill>
                  <w14:solidFill>
                    <w14:schemeClr w14:val="tx1"/>
                  </w14:solidFill>
                </w14:textFill>
              </w:rPr>
            </w:pPr>
            <w:r>
              <w:rPr>
                <w:rFonts w:ascii="Times New Roman" w:hAnsi="Times New Roman"/>
                <w:i/>
                <w:color w:val="000000" w:themeColor="text1"/>
                <w14:textFill>
                  <w14:solidFill>
                    <w14:schemeClr w14:val="tx1"/>
                  </w14:solidFill>
                </w14:textFill>
              </w:rPr>
              <w:t>r</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r</w:t>
            </w:r>
            <w:r>
              <w:rPr>
                <w:rFonts w:ascii="Times New Roman" w:hAnsi="Times New Roman"/>
                <w:color w:val="000000" w:themeColor="text1"/>
                <w:vertAlign w:val="subscript"/>
                <w14:textFill>
                  <w14:solidFill>
                    <w14:schemeClr w14:val="tx1"/>
                  </w14:solidFill>
                </w14:textFill>
              </w:rPr>
              <w:t>0</w:t>
            </w:r>
            <w:r>
              <w:rPr>
                <w:rFonts w:ascii="Times New Roman" w:hAnsi="Times New Roman"/>
                <w:color w:val="000000" w:themeColor="text1"/>
                <w14:textFill>
                  <w14:solidFill>
                    <w14:schemeClr w14:val="tx1"/>
                  </w14:solidFill>
                </w14:textFill>
              </w:rPr>
              <w:t>—分别为预测点和参考位置距声源的距离，m。</w:t>
            </w:r>
          </w:p>
        </w:tc>
      </w:tr>
    </w:tbl>
    <w:p w14:paraId="20A48A30">
      <w:pPr>
        <w:pStyle w:val="3"/>
        <w:rPr>
          <w:rFonts w:hint="eastAsia"/>
          <w:color w:val="000000" w:themeColor="text1"/>
          <w14:textFill>
            <w14:solidFill>
              <w14:schemeClr w14:val="tx1"/>
            </w14:solidFill>
          </w14:textFill>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p w14:paraId="1EEF03C3">
      <w:pPr>
        <w:rPr>
          <w:rFonts w:hint="eastAsia"/>
          <w:color w:val="000000" w:themeColor="text1"/>
          <w14:textFill>
            <w14:solidFill>
              <w14:schemeClr w14:val="tx1"/>
            </w14:solidFill>
          </w14:textFill>
        </w:rPr>
      </w:pPr>
    </w:p>
    <w:tbl>
      <w:tblPr>
        <w:tblStyle w:val="3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9"/>
        <w:gridCol w:w="8309"/>
      </w:tblGrid>
      <w:tr w14:paraId="65F3A6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99" w:type="dxa"/>
            <w:noWrap w:val="0"/>
            <w:tcMar>
              <w:left w:w="28" w:type="dxa"/>
              <w:right w:w="28" w:type="dxa"/>
            </w:tcMar>
            <w:vAlign w:val="center"/>
          </w:tcPr>
          <w:p w14:paraId="339D3E45">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运营</w:t>
            </w:r>
          </w:p>
          <w:p w14:paraId="42DDE5A3">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期环</w:t>
            </w:r>
          </w:p>
          <w:p w14:paraId="2A9B4CB2">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境影</w:t>
            </w:r>
          </w:p>
          <w:p w14:paraId="0D29BFC5">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响和</w:t>
            </w:r>
          </w:p>
          <w:p w14:paraId="3EFE8BB9">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保护</w:t>
            </w:r>
          </w:p>
          <w:p w14:paraId="058D9065">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措施</w:t>
            </w:r>
          </w:p>
        </w:tc>
        <w:tc>
          <w:tcPr>
            <w:tcW w:w="8309" w:type="dxa"/>
            <w:noWrap w:val="0"/>
            <w:vAlign w:val="center"/>
          </w:tcPr>
          <w:p w14:paraId="54DFC9E8">
            <w:pPr>
              <w:pStyle w:val="205"/>
              <w:keepNext w:val="0"/>
              <w:keepLines w:val="0"/>
              <w:pageBreakBefore w:val="0"/>
              <w:kinsoku/>
              <w:wordWrap/>
              <w:overflowPunct/>
              <w:topLinePunct w:val="0"/>
              <w:autoSpaceDE/>
              <w:autoSpaceDN/>
              <w:bidi w:val="0"/>
              <w:adjustRightInd/>
              <w:snapToGrid/>
              <w:spacing w:before="0" w:after="0" w:line="396" w:lineRule="auto"/>
              <w:ind w:firstLine="48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②基准预测点噪声级叠加公式</w:t>
            </w:r>
          </w:p>
          <w:p w14:paraId="3CD66B12">
            <w:pPr>
              <w:pStyle w:val="243"/>
              <w:keepNext w:val="0"/>
              <w:keepLines w:val="0"/>
              <w:pageBreakBefore w:val="0"/>
              <w:kinsoku/>
              <w:wordWrap/>
              <w:overflowPunct/>
              <w:topLinePunct w:val="0"/>
              <w:autoSpaceDE/>
              <w:autoSpaceDN/>
              <w:bidi w:val="0"/>
              <w:adjustRightInd/>
              <w:snapToGrid/>
              <w:spacing w:before="0" w:after="0" w:line="396" w:lineRule="auto"/>
              <w:ind w:firstLine="0" w:firstLineChars="0"/>
              <w:jc w:val="center"/>
              <w:textAlignment w:val="auto"/>
              <w:rPr>
                <w:rFonts w:ascii="Times New Roman" w:hAnsi="Times New Roman"/>
                <w:color w:val="000000" w:themeColor="text1"/>
                <w14:textFill>
                  <w14:solidFill>
                    <w14:schemeClr w14:val="tx1"/>
                  </w14:solidFill>
                </w14:textFill>
              </w:rPr>
            </w:pPr>
            <w:r>
              <w:rPr>
                <w:rFonts w:hint="eastAsia" w:ascii="Times New Roman" w:hAnsi="Times New Roman"/>
                <w:i/>
                <w:iCs/>
                <w:color w:val="000000" w:themeColor="text1"/>
                <w:lang w:val="en-US" w:eastAsia="zh-CN"/>
                <w14:textFill>
                  <w14:solidFill>
                    <w14:schemeClr w14:val="tx1"/>
                  </w14:solidFill>
                </w14:textFill>
              </w:rPr>
              <w:t>L</w:t>
            </w:r>
            <w:r>
              <w:rPr>
                <w:rFonts w:hint="eastAsia" w:ascii="Times New Roman" w:hAnsi="Times New Roman"/>
                <w:color w:val="000000" w:themeColor="text1"/>
                <w:vertAlign w:val="subscript"/>
                <w:lang w:val="en-US" w:eastAsia="zh-CN"/>
                <w14:textFill>
                  <w14:solidFill>
                    <w14:schemeClr w14:val="tx1"/>
                  </w14:solidFill>
                </w14:textFill>
              </w:rPr>
              <w:t>P总</w:t>
            </w:r>
            <w:r>
              <w:rPr>
                <w:rFonts w:hint="eastAsia" w:ascii="Times New Roman" w:hAnsi="Times New Roman"/>
                <w:color w:val="000000" w:themeColor="text1"/>
                <w:lang w:val="en-US" w:eastAsia="zh-CN"/>
                <w14:textFill>
                  <w14:solidFill>
                    <w14:schemeClr w14:val="tx1"/>
                  </w14:solidFill>
                </w14:textFill>
              </w:rPr>
              <w:t>=</w:t>
            </w:r>
            <w:r>
              <w:rPr>
                <w:rFonts w:ascii="Times New Roman" w:hAnsi="Times New Roman"/>
                <w:color w:val="000000" w:themeColor="text1"/>
                <w:position w:val="-30"/>
                <w14:textFill>
                  <w14:solidFill>
                    <w14:schemeClr w14:val="tx1"/>
                  </w14:solidFill>
                </w14:textFill>
              </w:rPr>
              <w:object>
                <v:shape id="_x0000_i1034" o:spt="75" alt="" type="#_x0000_t75" style="height:42.4pt;width:97.15pt;" o:ole="t" filled="f" o:preferrelative="t" stroked="f" coordsize="21600,21600">
                  <v:path/>
                  <v:fill on="f" focussize="0,0"/>
                  <v:stroke on="f"/>
                  <v:imagedata r:id="rId40" o:title=""/>
                  <o:lock v:ext="edit" aspectratio="t"/>
                  <w10:wrap type="none"/>
                  <w10:anchorlock/>
                </v:shape>
                <o:OLEObject Type="Embed" ProgID="Equation.3" ShapeID="_x0000_i1034" DrawAspect="Content" ObjectID="_1468075734" r:id="rId39">
                  <o:LockedField>false</o:LockedField>
                </o:OLEObject>
              </w:object>
            </w:r>
          </w:p>
          <w:p w14:paraId="61656D47">
            <w:pPr>
              <w:pStyle w:val="195"/>
              <w:keepNext w:val="0"/>
              <w:keepLines w:val="0"/>
              <w:pageBreakBefore w:val="0"/>
              <w:kinsoku/>
              <w:wordWrap/>
              <w:overflowPunct/>
              <w:topLinePunct w:val="0"/>
              <w:autoSpaceDE/>
              <w:autoSpaceDN/>
              <w:bidi w:val="0"/>
              <w:adjustRightInd/>
              <w:snapToGrid/>
              <w:spacing w:before="0" w:after="0" w:line="396" w:lineRule="auto"/>
              <w:ind w:firstLine="480" w:firstLineChars="200"/>
              <w:textAlignment w:val="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式中：</w:t>
            </w:r>
            <w:r>
              <w:rPr>
                <w:rFonts w:ascii="Times New Roman" w:hAnsi="Times New Roman"/>
                <w:i/>
                <w:color w:val="000000" w:themeColor="text1"/>
                <w14:textFill>
                  <w14:solidFill>
                    <w14:schemeClr w14:val="tx1"/>
                  </w14:solidFill>
                </w14:textFill>
              </w:rPr>
              <w:t>L</w:t>
            </w:r>
            <w:r>
              <w:rPr>
                <w:rFonts w:ascii="Times New Roman" w:hAnsi="Times New Roman"/>
                <w:color w:val="000000" w:themeColor="text1"/>
                <w:vertAlign w:val="subscript"/>
                <w14:textFill>
                  <w14:solidFill>
                    <w14:schemeClr w14:val="tx1"/>
                  </w14:solidFill>
                </w14:textFill>
              </w:rPr>
              <w:t>P总</w:t>
            </w:r>
            <w:r>
              <w:rPr>
                <w:rFonts w:ascii="Times New Roman" w:hAnsi="Times New Roman"/>
                <w:color w:val="000000" w:themeColor="text1"/>
                <w14:textFill>
                  <w14:solidFill>
                    <w14:schemeClr w14:val="tx1"/>
                  </w14:solidFill>
                </w14:textFill>
              </w:rPr>
              <w:t>—叠加后总声级，dB(A)；</w:t>
            </w:r>
          </w:p>
          <w:p w14:paraId="454734D9">
            <w:pPr>
              <w:pStyle w:val="221"/>
              <w:keepNext w:val="0"/>
              <w:keepLines w:val="0"/>
              <w:pageBreakBefore w:val="0"/>
              <w:kinsoku/>
              <w:wordWrap/>
              <w:overflowPunct/>
              <w:topLinePunct w:val="0"/>
              <w:autoSpaceDE/>
              <w:autoSpaceDN/>
              <w:bidi w:val="0"/>
              <w:adjustRightInd/>
              <w:snapToGrid/>
              <w:spacing w:before="0" w:after="0" w:line="396" w:lineRule="auto"/>
              <w:ind w:firstLine="480" w:firstLineChars="200"/>
              <w:textAlignment w:val="auto"/>
              <w:rPr>
                <w:rFonts w:ascii="Times New Roman" w:hAnsi="Times New Roman"/>
                <w:color w:val="000000" w:themeColor="text1"/>
                <w14:textFill>
                  <w14:solidFill>
                    <w14:schemeClr w14:val="tx1"/>
                  </w14:solidFill>
                </w14:textFill>
              </w:rPr>
            </w:pPr>
            <w:r>
              <w:rPr>
                <w:rFonts w:ascii="Times New Roman" w:hAnsi="Times New Roman"/>
                <w:i/>
                <w:color w:val="000000" w:themeColor="text1"/>
                <w14:textFill>
                  <w14:solidFill>
                    <w14:schemeClr w14:val="tx1"/>
                  </w14:solidFill>
                </w14:textFill>
              </w:rPr>
              <w:t>L</w:t>
            </w:r>
            <w:r>
              <w:rPr>
                <w:rFonts w:ascii="Times New Roman" w:hAnsi="Times New Roman"/>
                <w:color w:val="000000" w:themeColor="text1"/>
                <w:vertAlign w:val="subscript"/>
                <w14:textFill>
                  <w14:solidFill>
                    <w14:schemeClr w14:val="tx1"/>
                  </w14:solidFill>
                </w14:textFill>
              </w:rPr>
              <w:t>P</w:t>
            </w:r>
            <w:r>
              <w:rPr>
                <w:rFonts w:ascii="Times New Roman" w:hAnsi="Times New Roman"/>
                <w:i/>
                <w:color w:val="000000" w:themeColor="text1"/>
                <w:vertAlign w:val="subscript"/>
                <w14:textFill>
                  <w14:solidFill>
                    <w14:schemeClr w14:val="tx1"/>
                  </w14:solidFill>
                </w14:textFill>
              </w:rPr>
              <w:t>i</w:t>
            </w:r>
            <w:r>
              <w:rPr>
                <w:rFonts w:ascii="Times New Roman" w:hAnsi="Times New Roman"/>
                <w:color w:val="000000" w:themeColor="text1"/>
                <w14:textFill>
                  <w14:solidFill>
                    <w14:schemeClr w14:val="tx1"/>
                  </w14:solidFill>
                </w14:textFill>
              </w:rPr>
              <w:t>—</w:t>
            </w:r>
            <w:r>
              <w:rPr>
                <w:rFonts w:ascii="Times New Roman" w:hAnsi="Times New Roman"/>
                <w:i/>
                <w:color w:val="000000" w:themeColor="text1"/>
                <w14:textFill>
                  <w14:solidFill>
                    <w14:schemeClr w14:val="tx1"/>
                  </w14:solidFill>
                </w14:textFill>
              </w:rPr>
              <w:t>i</w:t>
            </w:r>
            <w:r>
              <w:rPr>
                <w:rFonts w:ascii="Times New Roman" w:hAnsi="Times New Roman"/>
                <w:color w:val="000000" w:themeColor="text1"/>
                <w14:textFill>
                  <w14:solidFill>
                    <w14:schemeClr w14:val="tx1"/>
                  </w14:solidFill>
                </w14:textFill>
              </w:rPr>
              <w:t>声源点至基准预测点的声级，dB(A)；</w:t>
            </w:r>
          </w:p>
          <w:p w14:paraId="4594B531">
            <w:pPr>
              <w:pStyle w:val="221"/>
              <w:keepNext w:val="0"/>
              <w:keepLines w:val="0"/>
              <w:pageBreakBefore w:val="0"/>
              <w:kinsoku/>
              <w:wordWrap/>
              <w:overflowPunct/>
              <w:topLinePunct w:val="0"/>
              <w:autoSpaceDE/>
              <w:autoSpaceDN/>
              <w:bidi w:val="0"/>
              <w:adjustRightInd/>
              <w:snapToGrid/>
              <w:spacing w:before="0" w:after="0" w:line="396" w:lineRule="auto"/>
              <w:ind w:firstLine="480" w:firstLineChars="200"/>
              <w:textAlignment w:val="auto"/>
              <w:rPr>
                <w:rFonts w:ascii="Times New Roman" w:hAnsi="Times New Roman"/>
                <w:color w:val="000000" w:themeColor="text1"/>
                <w14:textFill>
                  <w14:solidFill>
                    <w14:schemeClr w14:val="tx1"/>
                  </w14:solidFill>
                </w14:textFill>
              </w:rPr>
            </w:pPr>
            <w:r>
              <w:rPr>
                <w:rFonts w:hint="eastAsia" w:ascii="Times New Roman" w:hAnsi="Times New Roman"/>
                <w:i/>
                <w:color w:val="000000" w:themeColor="text1"/>
                <w:lang w:val="en-US" w:eastAsia="zh-CN"/>
                <w14:textFill>
                  <w14:solidFill>
                    <w14:schemeClr w14:val="tx1"/>
                  </w14:solidFill>
                </w14:textFill>
              </w:rPr>
              <w:t>N</w:t>
            </w:r>
            <w:r>
              <w:rPr>
                <w:rFonts w:ascii="Times New Roman" w:hAnsi="Times New Roman"/>
                <w:color w:val="000000" w:themeColor="text1"/>
                <w14:textFill>
                  <w14:solidFill>
                    <w14:schemeClr w14:val="tx1"/>
                  </w14:solidFill>
                </w14:textFill>
              </w:rPr>
              <w:t>—噪声源数目。</w:t>
            </w:r>
          </w:p>
          <w:p w14:paraId="33112147">
            <w:pPr>
              <w:keepNext w:val="0"/>
              <w:keepLines w:val="0"/>
              <w:pageBreakBefore w:val="0"/>
              <w:widowControl w:val="0"/>
              <w:kinsoku/>
              <w:wordWrap/>
              <w:overflowPunct/>
              <w:topLinePunct w:val="0"/>
              <w:autoSpaceDE/>
              <w:autoSpaceDN/>
              <w:bidi w:val="0"/>
              <w:adjustRightInd/>
              <w:snapToGrid/>
              <w:spacing w:before="157" w:beforeLines="50" w:line="396" w:lineRule="auto"/>
              <w:ind w:firstLine="482"/>
              <w:jc w:val="left"/>
              <w:textAlignment w:val="auto"/>
              <w:rPr>
                <w:rFonts w:ascii="Times New Roman" w:hAnsi="Times New Roman"/>
                <w:bCs/>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t>③</w:t>
            </w:r>
            <w:r>
              <w:rPr>
                <w:rFonts w:ascii="Times New Roman" w:hAnsi="Times New Roman"/>
                <w:bCs/>
                <w:color w:val="000000" w:themeColor="text1"/>
                <w:sz w:val="24"/>
                <w14:textFill>
                  <w14:solidFill>
                    <w14:schemeClr w14:val="tx1"/>
                  </w14:solidFill>
                </w14:textFill>
              </w:rPr>
              <w:t>面声源几何发散衰减公式</w:t>
            </w:r>
          </w:p>
          <w:p w14:paraId="3E4E51C8">
            <w:pPr>
              <w:keepNext w:val="0"/>
              <w:keepLines w:val="0"/>
              <w:pageBreakBefore w:val="0"/>
              <w:kinsoku/>
              <w:wordWrap/>
              <w:overflowPunct/>
              <w:topLinePunct w:val="0"/>
              <w:autoSpaceDE/>
              <w:autoSpaceDN/>
              <w:bidi w:val="0"/>
              <w:adjustRightInd/>
              <w:snapToGrid/>
              <w:spacing w:line="396" w:lineRule="auto"/>
              <w:ind w:firstLine="480"/>
              <w:jc w:val="left"/>
              <w:textAlignment w:val="auto"/>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厂房外墙可视为面源。设距离为r，厂房外墙的宽度为a，长度为b（b&gt;a）。</w:t>
            </w:r>
          </w:p>
          <w:p w14:paraId="032BF12A">
            <w:pPr>
              <w:keepNext w:val="0"/>
              <w:keepLines w:val="0"/>
              <w:pageBreakBefore w:val="0"/>
              <w:kinsoku/>
              <w:wordWrap/>
              <w:overflowPunct/>
              <w:topLinePunct w:val="0"/>
              <w:autoSpaceDE/>
              <w:autoSpaceDN/>
              <w:bidi w:val="0"/>
              <w:adjustRightInd/>
              <w:snapToGrid/>
              <w:spacing w:line="396" w:lineRule="auto"/>
              <w:ind w:firstLine="480"/>
              <w:jc w:val="left"/>
              <w:textAlignment w:val="auto"/>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当r&lt;a/π时，噪声传播途中的声压级值与距离无关，几乎不衰减（Adiv≈0）；</w:t>
            </w:r>
          </w:p>
          <w:p w14:paraId="4A2B6080">
            <w:pPr>
              <w:keepNext w:val="0"/>
              <w:keepLines w:val="0"/>
              <w:pageBreakBefore w:val="0"/>
              <w:kinsoku/>
              <w:wordWrap/>
              <w:overflowPunct/>
              <w:topLinePunct w:val="0"/>
              <w:autoSpaceDE/>
              <w:autoSpaceDN/>
              <w:bidi w:val="0"/>
              <w:adjustRightInd/>
              <w:snapToGrid/>
              <w:spacing w:line="396" w:lineRule="auto"/>
              <w:ind w:firstLine="480"/>
              <w:jc w:val="left"/>
              <w:textAlignment w:val="auto"/>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当a/π&lt;r&lt;b/π时，距离加倍衰减3dB左右，类似线声源衰减特性（Adiv≈10lg（r/r</w:t>
            </w:r>
            <w:r>
              <w:rPr>
                <w:rFonts w:ascii="Times New Roman" w:hAnsi="Times New Roman"/>
                <w:bCs/>
                <w:color w:val="000000" w:themeColor="text1"/>
                <w:sz w:val="24"/>
                <w:vertAlign w:val="subscript"/>
                <w14:textFill>
                  <w14:solidFill>
                    <w14:schemeClr w14:val="tx1"/>
                  </w14:solidFill>
                </w14:textFill>
              </w:rPr>
              <w:t>0</w:t>
            </w:r>
            <w:r>
              <w:rPr>
                <w:rFonts w:ascii="Times New Roman" w:hAnsi="Times New Roman"/>
                <w:bCs/>
                <w:color w:val="000000" w:themeColor="text1"/>
                <w:sz w:val="24"/>
                <w14:textFill>
                  <w14:solidFill>
                    <w14:schemeClr w14:val="tx1"/>
                  </w14:solidFill>
                </w14:textFill>
              </w:rPr>
              <w:t>））；</w:t>
            </w:r>
          </w:p>
          <w:p w14:paraId="02840A5D">
            <w:pPr>
              <w:keepNext w:val="0"/>
              <w:keepLines w:val="0"/>
              <w:pageBreakBefore w:val="0"/>
              <w:kinsoku/>
              <w:wordWrap/>
              <w:overflowPunct/>
              <w:topLinePunct w:val="0"/>
              <w:autoSpaceDE/>
              <w:autoSpaceDN/>
              <w:bidi w:val="0"/>
              <w:adjustRightInd/>
              <w:snapToGrid/>
              <w:spacing w:line="396" w:lineRule="auto"/>
              <w:ind w:firstLine="480"/>
              <w:jc w:val="left"/>
              <w:textAlignment w:val="auto"/>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当r&gt;b/π时，距离加倍衰减趋近于6dB，类似点声源衰减特性（Adiv≈20lg（r/r</w:t>
            </w:r>
            <w:r>
              <w:rPr>
                <w:rFonts w:ascii="Times New Roman" w:hAnsi="Times New Roman"/>
                <w:bCs/>
                <w:color w:val="000000" w:themeColor="text1"/>
                <w:sz w:val="24"/>
                <w:vertAlign w:val="subscript"/>
                <w14:textFill>
                  <w14:solidFill>
                    <w14:schemeClr w14:val="tx1"/>
                  </w14:solidFill>
                </w14:textFill>
              </w:rPr>
              <w:t>0</w:t>
            </w:r>
            <w:r>
              <w:rPr>
                <w:rFonts w:ascii="Times New Roman" w:hAnsi="Times New Roman"/>
                <w:bCs/>
                <w:color w:val="000000" w:themeColor="text1"/>
                <w:sz w:val="24"/>
                <w14:textFill>
                  <w14:solidFill>
                    <w14:schemeClr w14:val="tx1"/>
                  </w14:solidFill>
                </w14:textFill>
              </w:rPr>
              <w:t>））；</w:t>
            </w:r>
          </w:p>
          <w:p w14:paraId="6E498047">
            <w:pPr>
              <w:keepNext w:val="0"/>
              <w:keepLines w:val="0"/>
              <w:pageBreakBefore w:val="0"/>
              <w:kinsoku/>
              <w:wordWrap/>
              <w:overflowPunct/>
              <w:topLinePunct w:val="0"/>
              <w:autoSpaceDE/>
              <w:autoSpaceDN/>
              <w:bidi w:val="0"/>
              <w:adjustRightInd/>
              <w:snapToGrid/>
              <w:spacing w:line="396" w:lineRule="auto"/>
              <w:ind w:firstLine="482"/>
              <w:jc w:val="left"/>
              <w:textAlignment w:val="auto"/>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其中：L(r)，L(r</w:t>
            </w:r>
            <w:r>
              <w:rPr>
                <w:rFonts w:ascii="Times New Roman" w:hAnsi="Times New Roman"/>
                <w:bCs/>
                <w:color w:val="000000" w:themeColor="text1"/>
                <w:sz w:val="24"/>
                <w:vertAlign w:val="subscript"/>
                <w14:textFill>
                  <w14:solidFill>
                    <w14:schemeClr w14:val="tx1"/>
                  </w14:solidFill>
                </w14:textFill>
              </w:rPr>
              <w:t>0</w:t>
            </w:r>
            <w:r>
              <w:rPr>
                <w:rFonts w:ascii="Times New Roman" w:hAnsi="Times New Roman"/>
                <w:bCs/>
                <w:color w:val="000000" w:themeColor="text1"/>
                <w:sz w:val="24"/>
                <w14:textFill>
                  <w14:solidFill>
                    <w14:schemeClr w14:val="tx1"/>
                  </w14:solidFill>
                </w14:textFill>
              </w:rPr>
              <w:t>)—分别是r和r</w:t>
            </w:r>
            <w:r>
              <w:rPr>
                <w:rFonts w:ascii="Times New Roman" w:hAnsi="Times New Roman"/>
                <w:bCs/>
                <w:color w:val="000000" w:themeColor="text1"/>
                <w:sz w:val="24"/>
                <w:vertAlign w:val="subscript"/>
                <w14:textFill>
                  <w14:solidFill>
                    <w14:schemeClr w14:val="tx1"/>
                  </w14:solidFill>
                </w14:textFill>
              </w:rPr>
              <w:t>0</w:t>
            </w:r>
            <w:r>
              <w:rPr>
                <w:rFonts w:ascii="Times New Roman" w:hAnsi="Times New Roman"/>
                <w:bCs/>
                <w:color w:val="000000" w:themeColor="text1"/>
                <w:sz w:val="24"/>
                <w14:textFill>
                  <w14:solidFill>
                    <w14:schemeClr w14:val="tx1"/>
                  </w14:solidFill>
                </w14:textFill>
              </w:rPr>
              <w:t>的声级，dB(A)；</w:t>
            </w:r>
          </w:p>
          <w:p w14:paraId="33135C19">
            <w:pPr>
              <w:keepNext w:val="0"/>
              <w:keepLines w:val="0"/>
              <w:pageBreakBefore w:val="0"/>
              <w:kinsoku/>
              <w:wordWrap/>
              <w:overflowPunct/>
              <w:topLinePunct w:val="0"/>
              <w:autoSpaceDE/>
              <w:autoSpaceDN/>
              <w:bidi w:val="0"/>
              <w:adjustRightInd/>
              <w:snapToGrid/>
              <w:spacing w:line="396" w:lineRule="auto"/>
              <w:ind w:firstLine="482"/>
              <w:jc w:val="left"/>
              <w:textAlignment w:val="auto"/>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r—点声源到受声点的</w:t>
            </w:r>
            <w:r>
              <w:rPr>
                <w:rFonts w:ascii="Times New Roman" w:hAnsi="Times New Roman" w:cs="Times New Roman"/>
                <w:bCs/>
                <w:color w:val="000000" w:themeColor="text1"/>
                <w:sz w:val="24"/>
                <w14:textFill>
                  <w14:solidFill>
                    <w14:schemeClr w14:val="tx1"/>
                  </w14:solidFill>
                </w14:textFill>
              </w:rPr>
              <w:t>距离</w:t>
            </w:r>
            <w:r>
              <w:rPr>
                <w:rFonts w:ascii="Times New Roman" w:hAnsi="Times New Roman"/>
                <w:bCs/>
                <w:color w:val="000000" w:themeColor="text1"/>
                <w:sz w:val="24"/>
                <w14:textFill>
                  <w14:solidFill>
                    <w14:schemeClr w14:val="tx1"/>
                  </w14:solidFill>
                </w14:textFill>
              </w:rPr>
              <w:t>，m。</w:t>
            </w:r>
          </w:p>
          <w:p w14:paraId="0E4760E2">
            <w:pPr>
              <w:keepNext w:val="0"/>
              <w:keepLines w:val="0"/>
              <w:pageBreakBefore w:val="0"/>
              <w:kinsoku/>
              <w:wordWrap/>
              <w:overflowPunct/>
              <w:topLinePunct w:val="0"/>
              <w:autoSpaceDE/>
              <w:autoSpaceDN/>
              <w:bidi w:val="0"/>
              <w:adjustRightInd/>
              <w:snapToGrid/>
              <w:spacing w:line="396" w:lineRule="auto"/>
              <w:ind w:firstLine="482"/>
              <w:jc w:val="left"/>
              <w:textAlignment w:val="auto"/>
              <w:rPr>
                <w:rFonts w:ascii="Times New Roman" w:hAnsi="Times New Roman"/>
                <w:b w:val="0"/>
                <w:bCs/>
                <w:color w:val="000000" w:themeColor="text1"/>
                <w:sz w:val="24"/>
                <w:u w:val="none"/>
                <w14:textFill>
                  <w14:solidFill>
                    <w14:schemeClr w14:val="tx1"/>
                  </w14:solidFill>
                </w14:textFill>
              </w:rPr>
            </w:pPr>
            <w:r>
              <w:rPr>
                <w:rFonts w:hint="eastAsia" w:ascii="Times New Roman" w:hAnsi="Times New Roman"/>
                <w:b w:val="0"/>
                <w:bCs/>
                <w:color w:val="000000" w:themeColor="text1"/>
                <w:sz w:val="24"/>
                <w:u w:val="none"/>
                <w:lang w:val="en-US" w:eastAsia="zh-CN"/>
                <w14:textFill>
                  <w14:solidFill>
                    <w14:schemeClr w14:val="tx1"/>
                  </w14:solidFill>
                </w14:textFill>
              </w:rPr>
              <w:t>经预测，项目各声源在</w:t>
            </w:r>
            <w:r>
              <w:rPr>
                <w:rFonts w:hint="eastAsia" w:ascii="Times New Roman" w:hAnsi="Times New Roman" w:cs="Times New Roman"/>
                <w:bCs/>
                <w:color w:val="000000" w:themeColor="text1"/>
                <w:sz w:val="24"/>
                <w:lang w:val="en-US" w:eastAsia="zh-CN"/>
                <w14:textFill>
                  <w14:solidFill>
                    <w14:schemeClr w14:val="tx1"/>
                  </w14:solidFill>
                </w14:textFill>
              </w:rPr>
              <w:t>四周</w:t>
            </w:r>
            <w:r>
              <w:rPr>
                <w:rFonts w:hint="eastAsia" w:ascii="Times New Roman" w:hAnsi="Times New Roman"/>
                <w:b w:val="0"/>
                <w:bCs/>
                <w:color w:val="000000" w:themeColor="text1"/>
                <w:sz w:val="24"/>
                <w:u w:val="none"/>
                <w:lang w:eastAsia="zh-CN"/>
                <w14:textFill>
                  <w14:solidFill>
                    <w14:schemeClr w14:val="tx1"/>
                  </w14:solidFill>
                </w14:textFill>
              </w:rPr>
              <w:t>厂界</w:t>
            </w:r>
            <w:r>
              <w:rPr>
                <w:rFonts w:hint="eastAsia" w:ascii="Times New Roman" w:hAnsi="Times New Roman"/>
                <w:b w:val="0"/>
                <w:bCs/>
                <w:color w:val="000000" w:themeColor="text1"/>
                <w:sz w:val="24"/>
                <w:u w:val="none"/>
                <w14:textFill>
                  <w14:solidFill>
                    <w14:schemeClr w14:val="tx1"/>
                  </w14:solidFill>
                </w14:textFill>
              </w:rPr>
              <w:t>噪声</w:t>
            </w:r>
            <w:r>
              <w:rPr>
                <w:rFonts w:hint="eastAsia" w:ascii="Times New Roman" w:hAnsi="Times New Roman"/>
                <w:b w:val="0"/>
                <w:bCs/>
                <w:color w:val="000000" w:themeColor="text1"/>
                <w:sz w:val="24"/>
                <w:u w:val="none"/>
                <w:lang w:val="en-US" w:eastAsia="zh-CN"/>
                <w14:textFill>
                  <w14:solidFill>
                    <w14:schemeClr w14:val="tx1"/>
                  </w14:solidFill>
                </w14:textFill>
              </w:rPr>
              <w:t>叠加贡献值</w:t>
            </w:r>
            <w:r>
              <w:rPr>
                <w:rFonts w:ascii="Times New Roman" w:hAnsi="Times New Roman"/>
                <w:b w:val="0"/>
                <w:bCs/>
                <w:color w:val="000000" w:themeColor="text1"/>
                <w:sz w:val="24"/>
                <w:u w:val="none"/>
                <w14:textFill>
                  <w14:solidFill>
                    <w14:schemeClr w14:val="tx1"/>
                  </w14:solidFill>
                </w14:textFill>
              </w:rPr>
              <w:t>结果见下表。</w:t>
            </w:r>
          </w:p>
          <w:p w14:paraId="4576BB6E">
            <w:pPr>
              <w:pStyle w:val="104"/>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 xml:space="preserve">    </w:t>
            </w:r>
            <w:r>
              <w:rPr>
                <w:rFonts w:hint="default" w:ascii="Times New Roman" w:hAnsi="Times New Roman" w:cs="Times New Roman"/>
                <w:b w:val="0"/>
                <w:bCs w:val="0"/>
                <w:color w:val="000000" w:themeColor="text1"/>
                <w:highlight w:val="none"/>
                <w:u w:val="none"/>
                <w:lang w:eastAsia="zh-CN"/>
                <w14:textFill>
                  <w14:solidFill>
                    <w14:schemeClr w14:val="tx1"/>
                  </w14:solidFill>
                </w14:textFill>
              </w:rPr>
              <w:t>噪声预测情况一览表</w:t>
            </w:r>
            <w:r>
              <w:rPr>
                <w:rFonts w:hint="default" w:ascii="Times New Roman" w:hAnsi="Times New Roman" w:cs="Times New Roman"/>
                <w:b w:val="0"/>
                <w:bCs w:val="0"/>
                <w:color w:val="000000" w:themeColor="text1"/>
                <w:highlight w:val="none"/>
                <w:u w:val="none"/>
                <w14:textFill>
                  <w14:solidFill>
                    <w14:schemeClr w14:val="tx1"/>
                  </w14:solidFill>
                </w14:textFill>
              </w:rPr>
              <w:t xml:space="preserve">   单位：dB(A)</w:t>
            </w:r>
          </w:p>
          <w:tbl>
            <w:tblPr>
              <w:tblStyle w:val="34"/>
              <w:tblW w:w="81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9"/>
              <w:gridCol w:w="896"/>
              <w:gridCol w:w="495"/>
              <w:gridCol w:w="555"/>
              <w:gridCol w:w="555"/>
              <w:gridCol w:w="525"/>
              <w:gridCol w:w="525"/>
              <w:gridCol w:w="510"/>
              <w:gridCol w:w="495"/>
              <w:gridCol w:w="555"/>
              <w:gridCol w:w="525"/>
              <w:gridCol w:w="540"/>
              <w:gridCol w:w="495"/>
              <w:gridCol w:w="484"/>
            </w:tblGrid>
            <w:tr w14:paraId="35DFF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vMerge w:val="restart"/>
                  <w:noWrap w:val="0"/>
                  <w:vAlign w:val="center"/>
                </w:tcPr>
                <w:p w14:paraId="3722F2C4">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噪声源</w:t>
                  </w:r>
                </w:p>
              </w:tc>
              <w:tc>
                <w:tcPr>
                  <w:tcW w:w="896" w:type="dxa"/>
                  <w:vMerge w:val="restart"/>
                  <w:noWrap w:val="0"/>
                  <w:vAlign w:val="center"/>
                </w:tcPr>
                <w:p w14:paraId="5F9AD088">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采取措施后叠加噪声值（</w:t>
                  </w:r>
                  <w:r>
                    <w:rPr>
                      <w:rFonts w:hint="default" w:ascii="Times New Roman" w:hAnsi="Times New Roman" w:cs="Times New Roman"/>
                      <w:b w:val="0"/>
                      <w:bCs w:val="0"/>
                      <w:color w:val="000000" w:themeColor="text1"/>
                      <w:highlight w:val="none"/>
                      <w:u w:val="none"/>
                      <w14:textFill>
                        <w14:solidFill>
                          <w14:schemeClr w14:val="tx1"/>
                        </w14:solidFill>
                      </w14:textFill>
                    </w:rPr>
                    <w:t>dB(A)</w:t>
                  </w: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w:t>
                  </w:r>
                </w:p>
              </w:tc>
              <w:tc>
                <w:tcPr>
                  <w:tcW w:w="1605" w:type="dxa"/>
                  <w:gridSpan w:val="3"/>
                  <w:noWrap w:val="0"/>
                  <w:vAlign w:val="center"/>
                </w:tcPr>
                <w:p w14:paraId="46C04ED7">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eastAsia="宋体"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东厂界</w:t>
                  </w:r>
                </w:p>
              </w:tc>
              <w:tc>
                <w:tcPr>
                  <w:tcW w:w="1560" w:type="dxa"/>
                  <w:gridSpan w:val="3"/>
                  <w:noWrap w:val="0"/>
                  <w:vAlign w:val="center"/>
                </w:tcPr>
                <w:p w14:paraId="462E2766">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eastAsia="宋体"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西厂界</w:t>
                  </w:r>
                </w:p>
              </w:tc>
              <w:tc>
                <w:tcPr>
                  <w:tcW w:w="1575" w:type="dxa"/>
                  <w:gridSpan w:val="3"/>
                  <w:noWrap w:val="0"/>
                  <w:vAlign w:val="center"/>
                </w:tcPr>
                <w:p w14:paraId="27BA9E56">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eastAsia="宋体"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南厂界</w:t>
                  </w:r>
                </w:p>
              </w:tc>
              <w:tc>
                <w:tcPr>
                  <w:tcW w:w="1519" w:type="dxa"/>
                  <w:gridSpan w:val="3"/>
                  <w:noWrap w:val="0"/>
                  <w:vAlign w:val="center"/>
                </w:tcPr>
                <w:p w14:paraId="08FDFDC6">
                  <w:pPr>
                    <w:pStyle w:val="80"/>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textAlignment w:val="baseline"/>
                    <w:rPr>
                      <w:rFonts w:hint="eastAsia" w:ascii="Times New Roman" w:hAnsi="Times New Roman" w:eastAsia="宋体"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北厂界</w:t>
                  </w:r>
                </w:p>
              </w:tc>
            </w:tr>
            <w:tr w14:paraId="22C3C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vMerge w:val="continue"/>
                  <w:noWrap w:val="0"/>
                  <w:vAlign w:val="center"/>
                </w:tcPr>
                <w:p w14:paraId="376492AE">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p>
              </w:tc>
              <w:tc>
                <w:tcPr>
                  <w:tcW w:w="896" w:type="dxa"/>
                  <w:vMerge w:val="continue"/>
                  <w:noWrap w:val="0"/>
                  <w:vAlign w:val="center"/>
                </w:tcPr>
                <w:p w14:paraId="5EDED490">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p>
              </w:tc>
              <w:tc>
                <w:tcPr>
                  <w:tcW w:w="495" w:type="dxa"/>
                  <w:vMerge w:val="restart"/>
                  <w:noWrap w:val="0"/>
                  <w:vAlign w:val="center"/>
                </w:tcPr>
                <w:p w14:paraId="77A65A42">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eastAsia="宋体"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距离（m）</w:t>
                  </w:r>
                </w:p>
              </w:tc>
              <w:tc>
                <w:tcPr>
                  <w:tcW w:w="1110" w:type="dxa"/>
                  <w:gridSpan w:val="2"/>
                  <w:noWrap w:val="0"/>
                  <w:vAlign w:val="center"/>
                </w:tcPr>
                <w:p w14:paraId="7CF0047B">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eastAsia="宋体"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贡献值</w:t>
                  </w:r>
                </w:p>
              </w:tc>
              <w:tc>
                <w:tcPr>
                  <w:tcW w:w="525" w:type="dxa"/>
                  <w:vMerge w:val="restart"/>
                  <w:noWrap w:val="0"/>
                  <w:vAlign w:val="center"/>
                </w:tcPr>
                <w:p w14:paraId="6003502B">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距离（m）</w:t>
                  </w:r>
                </w:p>
              </w:tc>
              <w:tc>
                <w:tcPr>
                  <w:tcW w:w="1035" w:type="dxa"/>
                  <w:gridSpan w:val="2"/>
                  <w:noWrap w:val="0"/>
                  <w:vAlign w:val="center"/>
                </w:tcPr>
                <w:p w14:paraId="01719AB8">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贡献值</w:t>
                  </w:r>
                </w:p>
              </w:tc>
              <w:tc>
                <w:tcPr>
                  <w:tcW w:w="495" w:type="dxa"/>
                  <w:vMerge w:val="restart"/>
                  <w:noWrap w:val="0"/>
                  <w:vAlign w:val="center"/>
                </w:tcPr>
                <w:p w14:paraId="417AFB5C">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距离（m）</w:t>
                  </w:r>
                </w:p>
              </w:tc>
              <w:tc>
                <w:tcPr>
                  <w:tcW w:w="1080" w:type="dxa"/>
                  <w:gridSpan w:val="2"/>
                  <w:noWrap w:val="0"/>
                  <w:vAlign w:val="center"/>
                </w:tcPr>
                <w:p w14:paraId="4766BF7B">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贡献值</w:t>
                  </w:r>
                </w:p>
              </w:tc>
              <w:tc>
                <w:tcPr>
                  <w:tcW w:w="540" w:type="dxa"/>
                  <w:vMerge w:val="restart"/>
                  <w:noWrap w:val="0"/>
                  <w:vAlign w:val="center"/>
                </w:tcPr>
                <w:p w14:paraId="65D88E01">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距离（m）</w:t>
                  </w:r>
                </w:p>
              </w:tc>
              <w:tc>
                <w:tcPr>
                  <w:tcW w:w="979" w:type="dxa"/>
                  <w:gridSpan w:val="2"/>
                  <w:noWrap w:val="0"/>
                  <w:vAlign w:val="center"/>
                </w:tcPr>
                <w:p w14:paraId="1D6B6E9E">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贡献值</w:t>
                  </w:r>
                </w:p>
              </w:tc>
            </w:tr>
            <w:tr w14:paraId="50BFB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vMerge w:val="continue"/>
                  <w:noWrap w:val="0"/>
                  <w:vAlign w:val="center"/>
                </w:tcPr>
                <w:p w14:paraId="40C150C6">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p>
              </w:tc>
              <w:tc>
                <w:tcPr>
                  <w:tcW w:w="896" w:type="dxa"/>
                  <w:vMerge w:val="continue"/>
                  <w:noWrap w:val="0"/>
                  <w:vAlign w:val="center"/>
                </w:tcPr>
                <w:p w14:paraId="2E282340">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p>
              </w:tc>
              <w:tc>
                <w:tcPr>
                  <w:tcW w:w="495" w:type="dxa"/>
                  <w:vMerge w:val="continue"/>
                  <w:noWrap w:val="0"/>
                  <w:vAlign w:val="center"/>
                </w:tcPr>
                <w:p w14:paraId="0E807A10">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p>
              </w:tc>
              <w:tc>
                <w:tcPr>
                  <w:tcW w:w="555" w:type="dxa"/>
                  <w:noWrap w:val="0"/>
                  <w:vAlign w:val="center"/>
                </w:tcPr>
                <w:p w14:paraId="74C6F838">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昼间</w:t>
                  </w:r>
                </w:p>
              </w:tc>
              <w:tc>
                <w:tcPr>
                  <w:tcW w:w="555" w:type="dxa"/>
                  <w:noWrap w:val="0"/>
                  <w:vAlign w:val="center"/>
                </w:tcPr>
                <w:p w14:paraId="14F3F1DB">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夜间</w:t>
                  </w:r>
                </w:p>
              </w:tc>
              <w:tc>
                <w:tcPr>
                  <w:tcW w:w="525" w:type="dxa"/>
                  <w:vMerge w:val="continue"/>
                  <w:noWrap w:val="0"/>
                  <w:vAlign w:val="center"/>
                </w:tcPr>
                <w:p w14:paraId="56E0F192">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p>
              </w:tc>
              <w:tc>
                <w:tcPr>
                  <w:tcW w:w="525" w:type="dxa"/>
                  <w:noWrap w:val="0"/>
                  <w:vAlign w:val="center"/>
                </w:tcPr>
                <w:p w14:paraId="1FEF2B22">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昼间</w:t>
                  </w:r>
                </w:p>
              </w:tc>
              <w:tc>
                <w:tcPr>
                  <w:tcW w:w="510" w:type="dxa"/>
                  <w:noWrap w:val="0"/>
                  <w:vAlign w:val="center"/>
                </w:tcPr>
                <w:p w14:paraId="75A26AD5">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夜间</w:t>
                  </w:r>
                </w:p>
              </w:tc>
              <w:tc>
                <w:tcPr>
                  <w:tcW w:w="495" w:type="dxa"/>
                  <w:vMerge w:val="continue"/>
                  <w:noWrap w:val="0"/>
                  <w:vAlign w:val="center"/>
                </w:tcPr>
                <w:p w14:paraId="0F68AA51">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p>
              </w:tc>
              <w:tc>
                <w:tcPr>
                  <w:tcW w:w="555" w:type="dxa"/>
                  <w:noWrap w:val="0"/>
                  <w:vAlign w:val="center"/>
                </w:tcPr>
                <w:p w14:paraId="3AE61124">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昼间</w:t>
                  </w:r>
                </w:p>
              </w:tc>
              <w:tc>
                <w:tcPr>
                  <w:tcW w:w="525" w:type="dxa"/>
                  <w:noWrap w:val="0"/>
                  <w:vAlign w:val="center"/>
                </w:tcPr>
                <w:p w14:paraId="5440E27C">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夜间</w:t>
                  </w:r>
                </w:p>
              </w:tc>
              <w:tc>
                <w:tcPr>
                  <w:tcW w:w="540" w:type="dxa"/>
                  <w:vMerge w:val="continue"/>
                  <w:noWrap w:val="0"/>
                  <w:vAlign w:val="center"/>
                </w:tcPr>
                <w:p w14:paraId="6D0413D9">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p>
              </w:tc>
              <w:tc>
                <w:tcPr>
                  <w:tcW w:w="495" w:type="dxa"/>
                  <w:noWrap w:val="0"/>
                  <w:vAlign w:val="center"/>
                </w:tcPr>
                <w:p w14:paraId="47DABA42">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昼间</w:t>
                  </w:r>
                </w:p>
              </w:tc>
              <w:tc>
                <w:tcPr>
                  <w:tcW w:w="484" w:type="dxa"/>
                  <w:noWrap w:val="0"/>
                  <w:vAlign w:val="center"/>
                </w:tcPr>
                <w:p w14:paraId="08EAEA46">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夜间</w:t>
                  </w:r>
                </w:p>
              </w:tc>
            </w:tr>
            <w:tr w14:paraId="589F9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noWrap w:val="0"/>
                  <w:vAlign w:val="center"/>
                </w:tcPr>
                <w:p w14:paraId="52EBA5D3">
                  <w:pPr>
                    <w:keepNext w:val="0"/>
                    <w:keepLines w:val="0"/>
                    <w:pageBreakBefore w:val="0"/>
                    <w:widowControl/>
                    <w:kinsoku/>
                    <w:wordWrap/>
                    <w:overflowPunct/>
                    <w:topLinePunct w:val="0"/>
                    <w:autoSpaceDE/>
                    <w:autoSpaceDN/>
                    <w:bidi w:val="0"/>
                    <w:adjustRightInd/>
                    <w:snapToGrid/>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空调机组</w:t>
                  </w:r>
                </w:p>
              </w:tc>
              <w:tc>
                <w:tcPr>
                  <w:tcW w:w="896" w:type="dxa"/>
                  <w:noWrap w:val="0"/>
                  <w:vAlign w:val="center"/>
                </w:tcPr>
                <w:p w14:paraId="659B55FE">
                  <w:pPr>
                    <w:keepNext w:val="0"/>
                    <w:keepLines w:val="0"/>
                    <w:pageBreakBefore w:val="0"/>
                    <w:widowControl/>
                    <w:kinsoku/>
                    <w:wordWrap/>
                    <w:overflowPunct/>
                    <w:topLinePunct w:val="0"/>
                    <w:autoSpaceDE/>
                    <w:autoSpaceDN/>
                    <w:bidi w:val="0"/>
                    <w:adjustRightInd/>
                    <w:snapToGrid/>
                    <w:ind w:left="-105" w:leftChars="-50" w:right="-105" w:rightChars="-50"/>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59.08</w:t>
                  </w:r>
                </w:p>
              </w:tc>
              <w:tc>
                <w:tcPr>
                  <w:tcW w:w="495" w:type="dxa"/>
                  <w:noWrap w:val="0"/>
                  <w:vAlign w:val="center"/>
                </w:tcPr>
                <w:p w14:paraId="6C3FDF6E">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100</w:t>
                  </w:r>
                </w:p>
              </w:tc>
              <w:tc>
                <w:tcPr>
                  <w:tcW w:w="555" w:type="dxa"/>
                  <w:noWrap w:val="0"/>
                  <w:vAlign w:val="center"/>
                </w:tcPr>
                <w:p w14:paraId="27D663DE">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19.08</w:t>
                  </w:r>
                </w:p>
              </w:tc>
              <w:tc>
                <w:tcPr>
                  <w:tcW w:w="555" w:type="dxa"/>
                  <w:noWrap w:val="0"/>
                  <w:vAlign w:val="center"/>
                </w:tcPr>
                <w:p w14:paraId="4D3C7A55">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19.08</w:t>
                  </w:r>
                </w:p>
              </w:tc>
              <w:tc>
                <w:tcPr>
                  <w:tcW w:w="525" w:type="dxa"/>
                  <w:noWrap w:val="0"/>
                  <w:vAlign w:val="center"/>
                </w:tcPr>
                <w:p w14:paraId="6E51C4D9">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85</w:t>
                  </w:r>
                </w:p>
              </w:tc>
              <w:tc>
                <w:tcPr>
                  <w:tcW w:w="525" w:type="dxa"/>
                  <w:noWrap w:val="0"/>
                  <w:vAlign w:val="center"/>
                </w:tcPr>
                <w:p w14:paraId="4C911452">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20.49</w:t>
                  </w:r>
                </w:p>
              </w:tc>
              <w:tc>
                <w:tcPr>
                  <w:tcW w:w="510" w:type="dxa"/>
                  <w:noWrap w:val="0"/>
                  <w:vAlign w:val="center"/>
                </w:tcPr>
                <w:p w14:paraId="43E195C6">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20.49</w:t>
                  </w:r>
                </w:p>
              </w:tc>
              <w:tc>
                <w:tcPr>
                  <w:tcW w:w="495" w:type="dxa"/>
                  <w:noWrap w:val="0"/>
                  <w:vAlign w:val="center"/>
                </w:tcPr>
                <w:p w14:paraId="02C8265E">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180</w:t>
                  </w:r>
                </w:p>
              </w:tc>
              <w:tc>
                <w:tcPr>
                  <w:tcW w:w="555" w:type="dxa"/>
                  <w:noWrap w:val="0"/>
                  <w:vAlign w:val="center"/>
                </w:tcPr>
                <w:p w14:paraId="77DE082A">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13.97</w:t>
                  </w:r>
                </w:p>
              </w:tc>
              <w:tc>
                <w:tcPr>
                  <w:tcW w:w="525" w:type="dxa"/>
                  <w:noWrap w:val="0"/>
                  <w:vAlign w:val="center"/>
                </w:tcPr>
                <w:p w14:paraId="165953B9">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13.97</w:t>
                  </w:r>
                </w:p>
              </w:tc>
              <w:tc>
                <w:tcPr>
                  <w:tcW w:w="540" w:type="dxa"/>
                  <w:noWrap w:val="0"/>
                  <w:vAlign w:val="center"/>
                </w:tcPr>
                <w:p w14:paraId="68084BF8">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85</w:t>
                  </w:r>
                </w:p>
              </w:tc>
              <w:tc>
                <w:tcPr>
                  <w:tcW w:w="495" w:type="dxa"/>
                  <w:noWrap w:val="0"/>
                  <w:vAlign w:val="center"/>
                </w:tcPr>
                <w:p w14:paraId="1C6B6412">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20.49</w:t>
                  </w:r>
                </w:p>
              </w:tc>
              <w:tc>
                <w:tcPr>
                  <w:tcW w:w="484" w:type="dxa"/>
                  <w:noWrap w:val="0"/>
                  <w:vAlign w:val="center"/>
                </w:tcPr>
                <w:p w14:paraId="0FA6E682">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20.49</w:t>
                  </w:r>
                </w:p>
              </w:tc>
            </w:tr>
            <w:tr w14:paraId="09A81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noWrap w:val="0"/>
                  <w:vAlign w:val="center"/>
                </w:tcPr>
                <w:p w14:paraId="622CEA49">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泵</w:t>
                  </w:r>
                </w:p>
              </w:tc>
              <w:tc>
                <w:tcPr>
                  <w:tcW w:w="896" w:type="dxa"/>
                  <w:noWrap w:val="0"/>
                  <w:vAlign w:val="center"/>
                </w:tcPr>
                <w:p w14:paraId="19DAC267">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65</w:t>
                  </w:r>
                </w:p>
              </w:tc>
              <w:tc>
                <w:tcPr>
                  <w:tcW w:w="495" w:type="dxa"/>
                  <w:noWrap w:val="0"/>
                  <w:vAlign w:val="center"/>
                </w:tcPr>
                <w:p w14:paraId="4CF0BDE3">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eastAsia="宋体" w:cs="Times New Roman"/>
                      <w:b w:val="0"/>
                      <w:bCs w:val="0"/>
                      <w:color w:val="000000" w:themeColor="text1"/>
                      <w:kern w:val="2"/>
                      <w:sz w:val="21"/>
                      <w:szCs w:val="24"/>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175</w:t>
                  </w:r>
                </w:p>
              </w:tc>
              <w:tc>
                <w:tcPr>
                  <w:tcW w:w="555" w:type="dxa"/>
                  <w:noWrap w:val="0"/>
                  <w:vAlign w:val="center"/>
                </w:tcPr>
                <w:p w14:paraId="3D4AFE32">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eastAsia="宋体" w:cs="Times New Roman"/>
                      <w:b w:val="0"/>
                      <w:bCs w:val="0"/>
                      <w:color w:val="000000" w:themeColor="text1"/>
                      <w:kern w:val="2"/>
                      <w:sz w:val="21"/>
                      <w:szCs w:val="24"/>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4"/>
                      <w:highlight w:val="none"/>
                      <w:u w:val="none"/>
                      <w:lang w:val="en-US" w:eastAsia="zh-CN" w:bidi="ar-SA"/>
                      <w14:textFill>
                        <w14:solidFill>
                          <w14:schemeClr w14:val="tx1"/>
                        </w14:solidFill>
                      </w14:textFill>
                    </w:rPr>
                    <w:t>20.14</w:t>
                  </w:r>
                </w:p>
              </w:tc>
              <w:tc>
                <w:tcPr>
                  <w:tcW w:w="555" w:type="dxa"/>
                  <w:noWrap w:val="0"/>
                  <w:vAlign w:val="center"/>
                </w:tcPr>
                <w:p w14:paraId="4441D728">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eastAsia="宋体" w:cs="Times New Roman"/>
                      <w:b w:val="0"/>
                      <w:bCs w:val="0"/>
                      <w:color w:val="000000" w:themeColor="text1"/>
                      <w:kern w:val="2"/>
                      <w:sz w:val="21"/>
                      <w:szCs w:val="24"/>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4"/>
                      <w:highlight w:val="none"/>
                      <w:u w:val="none"/>
                      <w:lang w:val="en-US" w:eastAsia="zh-CN" w:bidi="ar-SA"/>
                      <w14:textFill>
                        <w14:solidFill>
                          <w14:schemeClr w14:val="tx1"/>
                        </w14:solidFill>
                      </w14:textFill>
                    </w:rPr>
                    <w:t>20.14</w:t>
                  </w:r>
                </w:p>
              </w:tc>
              <w:tc>
                <w:tcPr>
                  <w:tcW w:w="525" w:type="dxa"/>
                  <w:noWrap w:val="0"/>
                  <w:vAlign w:val="center"/>
                </w:tcPr>
                <w:p w14:paraId="251C4DC2">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eastAsia="宋体" w:cs="Times New Roman"/>
                      <w:b w:val="0"/>
                      <w:bCs w:val="0"/>
                      <w:color w:val="000000" w:themeColor="text1"/>
                      <w:kern w:val="2"/>
                      <w:sz w:val="21"/>
                      <w:szCs w:val="24"/>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20</w:t>
                  </w:r>
                </w:p>
              </w:tc>
              <w:tc>
                <w:tcPr>
                  <w:tcW w:w="525" w:type="dxa"/>
                  <w:noWrap w:val="0"/>
                  <w:vAlign w:val="center"/>
                </w:tcPr>
                <w:p w14:paraId="190E3EA9">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eastAsia="宋体" w:cs="Times New Roman"/>
                      <w:b w:val="0"/>
                      <w:bCs w:val="0"/>
                      <w:color w:val="000000" w:themeColor="text1"/>
                      <w:kern w:val="2"/>
                      <w:sz w:val="21"/>
                      <w:szCs w:val="24"/>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4"/>
                      <w:highlight w:val="none"/>
                      <w:u w:val="none"/>
                      <w:lang w:val="en-US" w:eastAsia="zh-CN" w:bidi="ar-SA"/>
                      <w14:textFill>
                        <w14:solidFill>
                          <w14:schemeClr w14:val="tx1"/>
                        </w14:solidFill>
                      </w14:textFill>
                    </w:rPr>
                    <w:t>38.98</w:t>
                  </w:r>
                </w:p>
              </w:tc>
              <w:tc>
                <w:tcPr>
                  <w:tcW w:w="510" w:type="dxa"/>
                  <w:noWrap w:val="0"/>
                  <w:vAlign w:val="center"/>
                </w:tcPr>
                <w:p w14:paraId="240721FA">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eastAsia="宋体" w:cs="Times New Roman"/>
                      <w:b w:val="0"/>
                      <w:bCs w:val="0"/>
                      <w:color w:val="000000" w:themeColor="text1"/>
                      <w:kern w:val="2"/>
                      <w:sz w:val="21"/>
                      <w:szCs w:val="24"/>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4"/>
                      <w:highlight w:val="none"/>
                      <w:u w:val="none"/>
                      <w:lang w:val="en-US" w:eastAsia="zh-CN" w:bidi="ar-SA"/>
                      <w14:textFill>
                        <w14:solidFill>
                          <w14:schemeClr w14:val="tx1"/>
                        </w14:solidFill>
                      </w14:textFill>
                    </w:rPr>
                    <w:t>38.98</w:t>
                  </w:r>
                </w:p>
              </w:tc>
              <w:tc>
                <w:tcPr>
                  <w:tcW w:w="495" w:type="dxa"/>
                  <w:noWrap w:val="0"/>
                  <w:vAlign w:val="center"/>
                </w:tcPr>
                <w:p w14:paraId="30C2A7DE">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eastAsia="宋体" w:cs="Times New Roman"/>
                      <w:b w:val="0"/>
                      <w:bCs w:val="0"/>
                      <w:color w:val="000000" w:themeColor="text1"/>
                      <w:kern w:val="2"/>
                      <w:sz w:val="21"/>
                      <w:szCs w:val="24"/>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115</w:t>
                  </w:r>
                </w:p>
              </w:tc>
              <w:tc>
                <w:tcPr>
                  <w:tcW w:w="555" w:type="dxa"/>
                  <w:noWrap w:val="0"/>
                  <w:vAlign w:val="center"/>
                </w:tcPr>
                <w:p w14:paraId="512CD27F">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eastAsia="宋体" w:cs="Times New Roman"/>
                      <w:b w:val="0"/>
                      <w:bCs w:val="0"/>
                      <w:color w:val="000000" w:themeColor="text1"/>
                      <w:kern w:val="2"/>
                      <w:sz w:val="21"/>
                      <w:szCs w:val="24"/>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4"/>
                      <w:highlight w:val="none"/>
                      <w:u w:val="none"/>
                      <w:lang w:val="en-US" w:eastAsia="zh-CN" w:bidi="ar-SA"/>
                      <w14:textFill>
                        <w14:solidFill>
                          <w14:schemeClr w14:val="tx1"/>
                        </w14:solidFill>
                      </w14:textFill>
                    </w:rPr>
                    <w:t>23.79</w:t>
                  </w:r>
                </w:p>
              </w:tc>
              <w:tc>
                <w:tcPr>
                  <w:tcW w:w="525" w:type="dxa"/>
                  <w:noWrap w:val="0"/>
                  <w:vAlign w:val="center"/>
                </w:tcPr>
                <w:p w14:paraId="7E53B014">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eastAsia="宋体" w:cs="Times New Roman"/>
                      <w:b w:val="0"/>
                      <w:bCs w:val="0"/>
                      <w:color w:val="000000" w:themeColor="text1"/>
                      <w:kern w:val="2"/>
                      <w:sz w:val="21"/>
                      <w:szCs w:val="24"/>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4"/>
                      <w:highlight w:val="none"/>
                      <w:u w:val="none"/>
                      <w:lang w:val="en-US" w:eastAsia="zh-CN" w:bidi="ar-SA"/>
                      <w14:textFill>
                        <w14:solidFill>
                          <w14:schemeClr w14:val="tx1"/>
                        </w14:solidFill>
                      </w14:textFill>
                    </w:rPr>
                    <w:t>23.79</w:t>
                  </w:r>
                </w:p>
              </w:tc>
              <w:tc>
                <w:tcPr>
                  <w:tcW w:w="540" w:type="dxa"/>
                  <w:noWrap w:val="0"/>
                  <w:vAlign w:val="center"/>
                </w:tcPr>
                <w:p w14:paraId="599488F9">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eastAsia="宋体" w:cs="Times New Roman"/>
                      <w:b w:val="0"/>
                      <w:bCs w:val="0"/>
                      <w:color w:val="000000" w:themeColor="text1"/>
                      <w:kern w:val="2"/>
                      <w:sz w:val="21"/>
                      <w:szCs w:val="24"/>
                      <w:highlight w:val="none"/>
                      <w:u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85</w:t>
                  </w:r>
                </w:p>
              </w:tc>
              <w:tc>
                <w:tcPr>
                  <w:tcW w:w="495" w:type="dxa"/>
                  <w:noWrap w:val="0"/>
                  <w:vAlign w:val="center"/>
                </w:tcPr>
                <w:p w14:paraId="3B5FDCCD">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26.41</w:t>
                  </w:r>
                </w:p>
              </w:tc>
              <w:tc>
                <w:tcPr>
                  <w:tcW w:w="484" w:type="dxa"/>
                  <w:noWrap w:val="0"/>
                  <w:vAlign w:val="center"/>
                </w:tcPr>
                <w:p w14:paraId="6202329C">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26.41</w:t>
                  </w:r>
                </w:p>
              </w:tc>
            </w:tr>
            <w:tr w14:paraId="77966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noWrap w:val="0"/>
                  <w:vAlign w:val="center"/>
                </w:tcPr>
                <w:p w14:paraId="2ADB8EFD">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风机</w:t>
                  </w:r>
                </w:p>
              </w:tc>
              <w:tc>
                <w:tcPr>
                  <w:tcW w:w="896" w:type="dxa"/>
                  <w:noWrap w:val="0"/>
                  <w:vAlign w:val="center"/>
                </w:tcPr>
                <w:p w14:paraId="301DB6CA">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hAnsi="Times New Roman" w:cs="Times New Roman"/>
                      <w:bCs/>
                      <w:color w:val="000000" w:themeColor="text1"/>
                      <w:kern w:val="0"/>
                      <w:szCs w:val="21"/>
                      <w:lang w:val="en-US" w:eastAsia="zh-CN"/>
                      <w14:textFill>
                        <w14:solidFill>
                          <w14:schemeClr w14:val="tx1"/>
                        </w14:solidFill>
                      </w14:textFill>
                    </w:rPr>
                    <w:t>65</w:t>
                  </w:r>
                </w:p>
              </w:tc>
              <w:tc>
                <w:tcPr>
                  <w:tcW w:w="495" w:type="dxa"/>
                  <w:noWrap w:val="0"/>
                  <w:vAlign w:val="center"/>
                </w:tcPr>
                <w:p w14:paraId="310279EC">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175</w:t>
                  </w:r>
                </w:p>
              </w:tc>
              <w:tc>
                <w:tcPr>
                  <w:tcW w:w="555" w:type="dxa"/>
                  <w:noWrap w:val="0"/>
                  <w:vAlign w:val="center"/>
                </w:tcPr>
                <w:p w14:paraId="4B018774">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2"/>
                      <w:sz w:val="21"/>
                      <w:szCs w:val="24"/>
                      <w:highlight w:val="none"/>
                      <w:u w:val="none"/>
                      <w:lang w:val="en-US" w:eastAsia="zh-CN" w:bidi="ar-SA"/>
                      <w14:textFill>
                        <w14:solidFill>
                          <w14:schemeClr w14:val="tx1"/>
                        </w14:solidFill>
                      </w14:textFill>
                    </w:rPr>
                    <w:t>20.14</w:t>
                  </w:r>
                </w:p>
              </w:tc>
              <w:tc>
                <w:tcPr>
                  <w:tcW w:w="555" w:type="dxa"/>
                  <w:noWrap w:val="0"/>
                  <w:vAlign w:val="center"/>
                </w:tcPr>
                <w:p w14:paraId="1FAE5EFD">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2"/>
                      <w:sz w:val="21"/>
                      <w:szCs w:val="24"/>
                      <w:highlight w:val="none"/>
                      <w:u w:val="none"/>
                      <w:lang w:val="en-US" w:eastAsia="zh-CN" w:bidi="ar-SA"/>
                      <w14:textFill>
                        <w14:solidFill>
                          <w14:schemeClr w14:val="tx1"/>
                        </w14:solidFill>
                      </w14:textFill>
                    </w:rPr>
                    <w:t>20.14</w:t>
                  </w:r>
                </w:p>
              </w:tc>
              <w:tc>
                <w:tcPr>
                  <w:tcW w:w="525" w:type="dxa"/>
                  <w:noWrap w:val="0"/>
                  <w:vAlign w:val="center"/>
                </w:tcPr>
                <w:p w14:paraId="6D0F6AB0">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20</w:t>
                  </w:r>
                </w:p>
              </w:tc>
              <w:tc>
                <w:tcPr>
                  <w:tcW w:w="525" w:type="dxa"/>
                  <w:noWrap w:val="0"/>
                  <w:vAlign w:val="center"/>
                </w:tcPr>
                <w:p w14:paraId="00004880">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2"/>
                      <w:sz w:val="21"/>
                      <w:szCs w:val="24"/>
                      <w:highlight w:val="none"/>
                      <w:u w:val="none"/>
                      <w:lang w:val="en-US" w:eastAsia="zh-CN" w:bidi="ar-SA"/>
                      <w14:textFill>
                        <w14:solidFill>
                          <w14:schemeClr w14:val="tx1"/>
                        </w14:solidFill>
                      </w14:textFill>
                    </w:rPr>
                    <w:t>38.98</w:t>
                  </w:r>
                </w:p>
              </w:tc>
              <w:tc>
                <w:tcPr>
                  <w:tcW w:w="510" w:type="dxa"/>
                  <w:noWrap w:val="0"/>
                  <w:vAlign w:val="center"/>
                </w:tcPr>
                <w:p w14:paraId="27142724">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2"/>
                      <w:sz w:val="21"/>
                      <w:szCs w:val="24"/>
                      <w:highlight w:val="none"/>
                      <w:u w:val="none"/>
                      <w:lang w:val="en-US" w:eastAsia="zh-CN" w:bidi="ar-SA"/>
                      <w14:textFill>
                        <w14:solidFill>
                          <w14:schemeClr w14:val="tx1"/>
                        </w14:solidFill>
                      </w14:textFill>
                    </w:rPr>
                    <w:t>38.98</w:t>
                  </w:r>
                </w:p>
              </w:tc>
              <w:tc>
                <w:tcPr>
                  <w:tcW w:w="495" w:type="dxa"/>
                  <w:noWrap w:val="0"/>
                  <w:vAlign w:val="center"/>
                </w:tcPr>
                <w:p w14:paraId="577097B6">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100</w:t>
                  </w:r>
                </w:p>
              </w:tc>
              <w:tc>
                <w:tcPr>
                  <w:tcW w:w="555" w:type="dxa"/>
                  <w:noWrap w:val="0"/>
                  <w:vAlign w:val="center"/>
                </w:tcPr>
                <w:p w14:paraId="7EB13426">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25.00</w:t>
                  </w:r>
                </w:p>
              </w:tc>
              <w:tc>
                <w:tcPr>
                  <w:tcW w:w="525" w:type="dxa"/>
                  <w:noWrap w:val="0"/>
                  <w:vAlign w:val="center"/>
                </w:tcPr>
                <w:p w14:paraId="46FA0FB7">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25.00</w:t>
                  </w:r>
                </w:p>
              </w:tc>
              <w:tc>
                <w:tcPr>
                  <w:tcW w:w="540" w:type="dxa"/>
                  <w:noWrap w:val="0"/>
                  <w:vAlign w:val="center"/>
                </w:tcPr>
                <w:p w14:paraId="100ABAD2">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100</w:t>
                  </w:r>
                </w:p>
              </w:tc>
              <w:tc>
                <w:tcPr>
                  <w:tcW w:w="495" w:type="dxa"/>
                  <w:noWrap w:val="0"/>
                  <w:vAlign w:val="center"/>
                </w:tcPr>
                <w:p w14:paraId="7B6DD3F6">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25.00</w:t>
                  </w:r>
                </w:p>
              </w:tc>
              <w:tc>
                <w:tcPr>
                  <w:tcW w:w="484" w:type="dxa"/>
                  <w:noWrap w:val="0"/>
                  <w:vAlign w:val="center"/>
                </w:tcPr>
                <w:p w14:paraId="45C1AEB3">
                  <w:pPr>
                    <w:keepNext w:val="0"/>
                    <w:keepLines w:val="0"/>
                    <w:pageBreakBefore w:val="0"/>
                    <w:kinsoku/>
                    <w:wordWrap/>
                    <w:overflowPunct/>
                    <w:topLinePunct w:val="0"/>
                    <w:autoSpaceDE/>
                    <w:autoSpaceDN/>
                    <w:bidi w:val="0"/>
                    <w:adjustRightInd/>
                    <w:snapToGrid/>
                    <w:spacing w:line="260" w:lineRule="exact"/>
                    <w:ind w:left="-105" w:leftChars="-50" w:right="-105" w:rightChars="-50"/>
                    <w:jc w:val="cente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25.00</w:t>
                  </w:r>
                </w:p>
              </w:tc>
            </w:tr>
            <w:tr w14:paraId="5C7C1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5" w:type="dxa"/>
                  <w:gridSpan w:val="2"/>
                  <w:noWrap w:val="0"/>
                  <w:vAlign w:val="center"/>
                </w:tcPr>
                <w:p w14:paraId="69540B0B">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贡献</w:t>
                  </w: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叠加</w:t>
                  </w:r>
                  <w:r>
                    <w:rPr>
                      <w:rFonts w:hint="default" w:ascii="Times New Roman" w:hAnsi="Times New Roman" w:cs="Times New Roman"/>
                      <w:b w:val="0"/>
                      <w:bCs w:val="0"/>
                      <w:color w:val="000000" w:themeColor="text1"/>
                      <w:highlight w:val="none"/>
                      <w:u w:val="none"/>
                      <w14:textFill>
                        <w14:solidFill>
                          <w14:schemeClr w14:val="tx1"/>
                        </w14:solidFill>
                      </w14:textFill>
                    </w:rPr>
                    <w:t>值</w:t>
                  </w:r>
                </w:p>
              </w:tc>
              <w:tc>
                <w:tcPr>
                  <w:tcW w:w="495" w:type="dxa"/>
                  <w:noWrap w:val="0"/>
                  <w:vAlign w:val="center"/>
                </w:tcPr>
                <w:p w14:paraId="24A910B5">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w:t>
                  </w:r>
                </w:p>
              </w:tc>
              <w:tc>
                <w:tcPr>
                  <w:tcW w:w="555" w:type="dxa"/>
                  <w:noWrap w:val="0"/>
                  <w:vAlign w:val="center"/>
                </w:tcPr>
                <w:p w14:paraId="6E7AE442">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24.66</w:t>
                  </w:r>
                </w:p>
              </w:tc>
              <w:tc>
                <w:tcPr>
                  <w:tcW w:w="555" w:type="dxa"/>
                  <w:noWrap w:val="0"/>
                  <w:vAlign w:val="center"/>
                </w:tcPr>
                <w:p w14:paraId="375916C5">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24.66</w:t>
                  </w:r>
                </w:p>
              </w:tc>
              <w:tc>
                <w:tcPr>
                  <w:tcW w:w="525" w:type="dxa"/>
                  <w:noWrap w:val="0"/>
                  <w:vAlign w:val="center"/>
                </w:tcPr>
                <w:p w14:paraId="10B2581D">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w:t>
                  </w:r>
                </w:p>
              </w:tc>
              <w:tc>
                <w:tcPr>
                  <w:tcW w:w="525" w:type="dxa"/>
                  <w:noWrap w:val="0"/>
                  <w:vAlign w:val="center"/>
                </w:tcPr>
                <w:p w14:paraId="4AA367F2">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42.02</w:t>
                  </w:r>
                </w:p>
              </w:tc>
              <w:tc>
                <w:tcPr>
                  <w:tcW w:w="510" w:type="dxa"/>
                  <w:noWrap w:val="0"/>
                  <w:vAlign w:val="center"/>
                </w:tcPr>
                <w:p w14:paraId="138F8122">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42.02</w:t>
                  </w:r>
                </w:p>
              </w:tc>
              <w:tc>
                <w:tcPr>
                  <w:tcW w:w="495" w:type="dxa"/>
                  <w:noWrap w:val="0"/>
                  <w:vAlign w:val="center"/>
                </w:tcPr>
                <w:p w14:paraId="4FF63685">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w:t>
                  </w:r>
                </w:p>
              </w:tc>
              <w:tc>
                <w:tcPr>
                  <w:tcW w:w="555" w:type="dxa"/>
                  <w:noWrap w:val="0"/>
                  <w:vAlign w:val="center"/>
                </w:tcPr>
                <w:p w14:paraId="134E2F1C">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26.68</w:t>
                  </w:r>
                </w:p>
              </w:tc>
              <w:tc>
                <w:tcPr>
                  <w:tcW w:w="525" w:type="dxa"/>
                  <w:noWrap w:val="0"/>
                  <w:vAlign w:val="center"/>
                </w:tcPr>
                <w:p w14:paraId="1F805AD0">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26.68</w:t>
                  </w:r>
                </w:p>
              </w:tc>
              <w:tc>
                <w:tcPr>
                  <w:tcW w:w="540" w:type="dxa"/>
                  <w:noWrap w:val="0"/>
                  <w:vAlign w:val="center"/>
                </w:tcPr>
                <w:p w14:paraId="4C39D798">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w:t>
                  </w:r>
                </w:p>
              </w:tc>
              <w:tc>
                <w:tcPr>
                  <w:tcW w:w="495" w:type="dxa"/>
                  <w:noWrap w:val="0"/>
                  <w:vAlign w:val="center"/>
                </w:tcPr>
                <w:p w14:paraId="253027EC">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29.40</w:t>
                  </w:r>
                </w:p>
              </w:tc>
              <w:tc>
                <w:tcPr>
                  <w:tcW w:w="484" w:type="dxa"/>
                  <w:noWrap w:val="0"/>
                  <w:vAlign w:val="center"/>
                </w:tcPr>
                <w:p w14:paraId="1D304193">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29.40</w:t>
                  </w:r>
                </w:p>
              </w:tc>
            </w:tr>
            <w:tr w14:paraId="1E1A4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5" w:type="dxa"/>
                  <w:gridSpan w:val="2"/>
                  <w:noWrap w:val="0"/>
                  <w:vAlign w:val="center"/>
                </w:tcPr>
                <w:p w14:paraId="3B2B1C0D">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cs="Times New Roman"/>
                      <w:b w:val="0"/>
                      <w:bCs w:val="0"/>
                      <w:color w:val="000000" w:themeColor="text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14:textFill>
                        <w14:solidFill>
                          <w14:schemeClr w14:val="tx1"/>
                        </w14:solidFill>
                      </w14:textFill>
                    </w:rPr>
                    <w:t>标准值</w:t>
                  </w:r>
                </w:p>
              </w:tc>
              <w:tc>
                <w:tcPr>
                  <w:tcW w:w="495" w:type="dxa"/>
                  <w:noWrap w:val="0"/>
                  <w:vAlign w:val="center"/>
                </w:tcPr>
                <w:p w14:paraId="084E24C8">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w:t>
                  </w:r>
                </w:p>
              </w:tc>
              <w:tc>
                <w:tcPr>
                  <w:tcW w:w="555" w:type="dxa"/>
                  <w:noWrap w:val="0"/>
                  <w:vAlign w:val="center"/>
                </w:tcPr>
                <w:p w14:paraId="06129DC0">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60</w:t>
                  </w:r>
                </w:p>
              </w:tc>
              <w:tc>
                <w:tcPr>
                  <w:tcW w:w="555" w:type="dxa"/>
                  <w:noWrap w:val="0"/>
                  <w:vAlign w:val="center"/>
                </w:tcPr>
                <w:p w14:paraId="67135582">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50</w:t>
                  </w:r>
                </w:p>
              </w:tc>
              <w:tc>
                <w:tcPr>
                  <w:tcW w:w="525" w:type="dxa"/>
                  <w:noWrap w:val="0"/>
                  <w:vAlign w:val="center"/>
                </w:tcPr>
                <w:p w14:paraId="2831FBC8">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w:t>
                  </w:r>
                </w:p>
              </w:tc>
              <w:tc>
                <w:tcPr>
                  <w:tcW w:w="525" w:type="dxa"/>
                  <w:noWrap w:val="0"/>
                  <w:vAlign w:val="center"/>
                </w:tcPr>
                <w:p w14:paraId="6BC8917E">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60</w:t>
                  </w:r>
                </w:p>
              </w:tc>
              <w:tc>
                <w:tcPr>
                  <w:tcW w:w="510" w:type="dxa"/>
                  <w:noWrap w:val="0"/>
                  <w:vAlign w:val="center"/>
                </w:tcPr>
                <w:p w14:paraId="3ED7D037">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50</w:t>
                  </w:r>
                </w:p>
              </w:tc>
              <w:tc>
                <w:tcPr>
                  <w:tcW w:w="495" w:type="dxa"/>
                  <w:noWrap w:val="0"/>
                  <w:vAlign w:val="center"/>
                </w:tcPr>
                <w:p w14:paraId="3EA7A018">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w:t>
                  </w:r>
                </w:p>
              </w:tc>
              <w:tc>
                <w:tcPr>
                  <w:tcW w:w="555" w:type="dxa"/>
                  <w:noWrap w:val="0"/>
                  <w:vAlign w:val="center"/>
                </w:tcPr>
                <w:p w14:paraId="5A3D8E9C">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60</w:t>
                  </w:r>
                </w:p>
              </w:tc>
              <w:tc>
                <w:tcPr>
                  <w:tcW w:w="525" w:type="dxa"/>
                  <w:noWrap w:val="0"/>
                  <w:vAlign w:val="center"/>
                </w:tcPr>
                <w:p w14:paraId="0E218340">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50</w:t>
                  </w:r>
                </w:p>
              </w:tc>
              <w:tc>
                <w:tcPr>
                  <w:tcW w:w="540" w:type="dxa"/>
                  <w:noWrap w:val="0"/>
                  <w:vAlign w:val="center"/>
                </w:tcPr>
                <w:p w14:paraId="03AEA523">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w:t>
                  </w:r>
                </w:p>
              </w:tc>
              <w:tc>
                <w:tcPr>
                  <w:tcW w:w="495" w:type="dxa"/>
                  <w:noWrap w:val="0"/>
                  <w:vAlign w:val="center"/>
                </w:tcPr>
                <w:p w14:paraId="6336643F">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60</w:t>
                  </w:r>
                </w:p>
              </w:tc>
              <w:tc>
                <w:tcPr>
                  <w:tcW w:w="484" w:type="dxa"/>
                  <w:noWrap w:val="0"/>
                  <w:vAlign w:val="center"/>
                </w:tcPr>
                <w:p w14:paraId="1C8C370F">
                  <w:pPr>
                    <w:keepNext w:val="0"/>
                    <w:keepLines w:val="0"/>
                    <w:pageBreakBefore w:val="0"/>
                    <w:kinsoku/>
                    <w:wordWrap/>
                    <w:overflowPunct/>
                    <w:topLinePunct w:val="0"/>
                    <w:autoSpaceDE/>
                    <w:autoSpaceDN/>
                    <w:bidi w:val="0"/>
                    <w:adjustRightInd/>
                    <w:snapToGrid/>
                    <w:spacing w:before="20" w:after="20"/>
                    <w:ind w:left="-105" w:leftChars="-50" w:right="-105" w:rightChars="-50"/>
                    <w:jc w:val="cente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50</w:t>
                  </w:r>
                </w:p>
              </w:tc>
            </w:tr>
          </w:tbl>
          <w:p w14:paraId="3F914DC1">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0" w:firstLineChars="200"/>
              <w:textAlignment w:val="auto"/>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由上表预测结果可知，</w:t>
            </w:r>
            <w:r>
              <w:rPr>
                <w:rFonts w:hint="eastAsia" w:ascii="Times New Roman" w:hAnsi="Times New Roman" w:cs="Times New Roman"/>
                <w:bCs/>
                <w:color w:val="000000" w:themeColor="text1"/>
                <w:sz w:val="24"/>
                <w:lang w:val="en-US" w:eastAsia="zh-CN"/>
                <w14:textFill>
                  <w14:solidFill>
                    <w14:schemeClr w14:val="tx1"/>
                  </w14:solidFill>
                </w14:textFill>
              </w:rPr>
              <w:t>扩建项目院区四周</w:t>
            </w:r>
            <w:r>
              <w:rPr>
                <w:rFonts w:hint="default" w:ascii="Times New Roman" w:hAnsi="Times New Roman" w:cs="Times New Roman"/>
                <w:bCs/>
                <w:color w:val="000000" w:themeColor="text1"/>
                <w:sz w:val="24"/>
                <w:lang w:val="en-US" w:eastAsia="zh-CN"/>
                <w14:textFill>
                  <w14:solidFill>
                    <w14:schemeClr w14:val="tx1"/>
                  </w14:solidFill>
                </w14:textFill>
              </w:rPr>
              <w:t>噪声</w:t>
            </w:r>
            <w:r>
              <w:rPr>
                <w:rFonts w:hint="eastAsia" w:ascii="Times New Roman" w:hAnsi="Times New Roman" w:cs="Times New Roman"/>
                <w:bCs/>
                <w:color w:val="000000" w:themeColor="text1"/>
                <w:sz w:val="24"/>
                <w:lang w:val="en-US" w:eastAsia="zh-CN"/>
                <w14:textFill>
                  <w14:solidFill>
                    <w14:schemeClr w14:val="tx1"/>
                  </w14:solidFill>
                </w14:textFill>
              </w:rPr>
              <w:t>贡献值</w:t>
            </w:r>
            <w:r>
              <w:rPr>
                <w:rFonts w:hint="default" w:ascii="Times New Roman" w:hAnsi="Times New Roman" w:cs="Times New Roman"/>
                <w:bCs/>
                <w:color w:val="000000" w:themeColor="text1"/>
                <w:sz w:val="24"/>
                <w:lang w:val="en-US" w:eastAsia="zh-CN"/>
                <w14:textFill>
                  <w14:solidFill>
                    <w14:schemeClr w14:val="tx1"/>
                  </w14:solidFill>
                </w14:textFill>
              </w:rPr>
              <w:t>均</w:t>
            </w:r>
            <w:r>
              <w:rPr>
                <w:rFonts w:hint="eastAsia" w:ascii="Times New Roman" w:hAnsi="Times New Roman" w:cs="Times New Roman"/>
                <w:bCs/>
                <w:color w:val="000000" w:themeColor="text1"/>
                <w:sz w:val="24"/>
                <w:lang w:val="en-US" w:eastAsia="zh-CN"/>
                <w14:textFill>
                  <w14:solidFill>
                    <w14:schemeClr w14:val="tx1"/>
                  </w14:solidFill>
                </w14:textFill>
              </w:rPr>
              <w:t>满足</w:t>
            </w:r>
            <w:r>
              <w:rPr>
                <w:rFonts w:hint="default" w:ascii="Times New Roman" w:hAnsi="Times New Roman" w:cs="Times New Roman"/>
                <w:bCs/>
                <w:color w:val="000000" w:themeColor="text1"/>
                <w:sz w:val="24"/>
                <w:lang w:val="en-US" w:eastAsia="zh-CN"/>
                <w14:textFill>
                  <w14:solidFill>
                    <w14:schemeClr w14:val="tx1"/>
                  </w14:solidFill>
                </w14:textFill>
              </w:rPr>
              <w:t>《工业企业厂界环境噪声排放标准》（GB 12348-2008）2类标准，对周围声环境影响不大。</w:t>
            </w:r>
          </w:p>
          <w:p w14:paraId="614A00FF">
            <w:pPr>
              <w:adjustRightInd w:val="0"/>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监测计划</w:t>
            </w:r>
          </w:p>
          <w:p w14:paraId="3EF83CE3">
            <w:pPr>
              <w:adjustRightInd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按照《排污单位自行监测技术指南 总则》（HJ819-2017）的要求，</w:t>
            </w:r>
            <w:r>
              <w:rPr>
                <w:rFonts w:hint="eastAsia" w:ascii="Times New Roman" w:hAnsi="Times New Roman" w:cs="Times New Roman"/>
                <w:color w:val="000000" w:themeColor="text1"/>
                <w:sz w:val="24"/>
                <w:szCs w:val="24"/>
                <w:highlight w:val="none"/>
                <w:lang w:eastAsia="zh-CN"/>
                <w14:textFill>
                  <w14:solidFill>
                    <w14:schemeClr w14:val="tx1"/>
                  </w14:solidFill>
                </w14:textFill>
              </w:rPr>
              <w:t>扩建项目</w:t>
            </w:r>
            <w:r>
              <w:rPr>
                <w:rFonts w:hint="default" w:ascii="Times New Roman" w:hAnsi="Times New Roman" w:cs="Times New Roman"/>
                <w:color w:val="000000" w:themeColor="text1"/>
                <w:sz w:val="24"/>
                <w:szCs w:val="24"/>
                <w:highlight w:val="none"/>
                <w14:textFill>
                  <w14:solidFill>
                    <w14:schemeClr w14:val="tx1"/>
                  </w14:solidFill>
                </w14:textFill>
              </w:rPr>
              <w:t>噪声监测计划见下表。</w:t>
            </w:r>
          </w:p>
          <w:p w14:paraId="6B3307FB">
            <w:pPr>
              <w:pStyle w:val="104"/>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 xml:space="preserve">   </w:t>
            </w:r>
            <w:r>
              <w:rPr>
                <w:rFonts w:hint="eastAsia" w:cs="Times New Roman"/>
                <w:color w:val="000000" w:themeColor="text1"/>
                <w:highlight w:val="none"/>
                <w:lang w:eastAsia="zh-CN"/>
                <w14:textFill>
                  <w14:solidFill>
                    <w14:schemeClr w14:val="tx1"/>
                  </w14:solidFill>
                </w14:textFill>
              </w:rPr>
              <w:t>项目</w:t>
            </w:r>
            <w:r>
              <w:rPr>
                <w:rFonts w:hint="default" w:ascii="Times New Roman" w:hAnsi="Times New Roman" w:cs="Times New Roman"/>
                <w:color w:val="000000" w:themeColor="text1"/>
                <w:highlight w:val="none"/>
                <w14:textFill>
                  <w14:solidFill>
                    <w14:schemeClr w14:val="tx1"/>
                  </w14:solidFill>
                </w14:textFill>
              </w:rPr>
              <w:t>噪声监测计划</w:t>
            </w:r>
          </w:p>
          <w:tbl>
            <w:tblPr>
              <w:tblStyle w:val="34"/>
              <w:tblW w:w="81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139"/>
              <w:gridCol w:w="1329"/>
              <w:gridCol w:w="1246"/>
              <w:gridCol w:w="3298"/>
            </w:tblGrid>
            <w:tr w14:paraId="274D4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88" w:type="dxa"/>
                  <w:noWrap w:val="0"/>
                  <w:vAlign w:val="center"/>
                </w:tcPr>
                <w:p w14:paraId="05375956">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环境要素</w:t>
                  </w:r>
                </w:p>
              </w:tc>
              <w:tc>
                <w:tcPr>
                  <w:tcW w:w="1139" w:type="dxa"/>
                  <w:noWrap w:val="0"/>
                  <w:vAlign w:val="center"/>
                </w:tcPr>
                <w:p w14:paraId="307A98F1">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监测点位</w:t>
                  </w:r>
                </w:p>
              </w:tc>
              <w:tc>
                <w:tcPr>
                  <w:tcW w:w="1329" w:type="dxa"/>
                  <w:noWrap w:val="0"/>
                  <w:vAlign w:val="center"/>
                </w:tcPr>
                <w:p w14:paraId="31155B78">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监测指标</w:t>
                  </w:r>
                </w:p>
              </w:tc>
              <w:tc>
                <w:tcPr>
                  <w:tcW w:w="1246" w:type="dxa"/>
                  <w:noWrap w:val="0"/>
                  <w:vAlign w:val="center"/>
                </w:tcPr>
                <w:p w14:paraId="02BC7A7B">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监测频次</w:t>
                  </w:r>
                </w:p>
              </w:tc>
              <w:tc>
                <w:tcPr>
                  <w:tcW w:w="3298" w:type="dxa"/>
                  <w:noWrap w:val="0"/>
                  <w:vAlign w:val="center"/>
                </w:tcPr>
                <w:p w14:paraId="64532631">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执行排放标准</w:t>
                  </w:r>
                </w:p>
              </w:tc>
            </w:tr>
            <w:tr w14:paraId="7C84B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088" w:type="dxa"/>
                  <w:noWrap w:val="0"/>
                  <w:vAlign w:val="center"/>
                </w:tcPr>
                <w:p w14:paraId="429C2BAB">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噪声</w:t>
                  </w:r>
                </w:p>
              </w:tc>
              <w:tc>
                <w:tcPr>
                  <w:tcW w:w="1139" w:type="dxa"/>
                  <w:noWrap w:val="0"/>
                  <w:vAlign w:val="center"/>
                </w:tcPr>
                <w:p w14:paraId="21CA2694">
                  <w:pPr>
                    <w:jc w:val="center"/>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厂界噪声</w:t>
                  </w:r>
                </w:p>
              </w:tc>
              <w:tc>
                <w:tcPr>
                  <w:tcW w:w="1329" w:type="dxa"/>
                  <w:noWrap w:val="0"/>
                  <w:vAlign w:val="center"/>
                </w:tcPr>
                <w:p w14:paraId="537C6445">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昼间等效A声级</w:t>
                  </w:r>
                </w:p>
              </w:tc>
              <w:tc>
                <w:tcPr>
                  <w:tcW w:w="1246" w:type="dxa"/>
                  <w:noWrap w:val="0"/>
                  <w:vAlign w:val="center"/>
                </w:tcPr>
                <w:p w14:paraId="3C6EF9A3">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每季度1次</w:t>
                  </w:r>
                </w:p>
              </w:tc>
              <w:tc>
                <w:tcPr>
                  <w:tcW w:w="3298" w:type="dxa"/>
                  <w:noWrap w:val="0"/>
                  <w:vAlign w:val="center"/>
                </w:tcPr>
                <w:p w14:paraId="678FC834">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《工业企业厂界环境噪声排放标准》（GB 12348-2008）</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类</w:t>
                  </w:r>
                </w:p>
              </w:tc>
            </w:tr>
          </w:tbl>
          <w:p w14:paraId="6F62EEB4">
            <w:pPr>
              <w:keepNext w:val="0"/>
              <w:keepLines w:val="0"/>
              <w:pageBreakBefore w:val="0"/>
              <w:widowControl w:val="0"/>
              <w:kinsoku/>
              <w:wordWrap/>
              <w:overflowPunct/>
              <w:topLinePunct w:val="0"/>
              <w:autoSpaceDE/>
              <w:autoSpaceDN/>
              <w:bidi w:val="0"/>
              <w:adjustRightInd/>
              <w:snapToGrid/>
              <w:spacing w:before="157" w:beforeLines="50" w:line="420" w:lineRule="auto"/>
              <w:textAlignment w:val="auto"/>
              <w:rPr>
                <w:rFonts w:hint="default"/>
                <w:b/>
                <w:bCs/>
                <w:color w:val="000000" w:themeColor="text1"/>
                <w:sz w:val="24"/>
                <w:szCs w:val="24"/>
                <w:highlight w:val="none"/>
                <w14:textFill>
                  <w14:solidFill>
                    <w14:schemeClr w14:val="tx1"/>
                  </w14:solidFill>
                </w14:textFill>
              </w:rPr>
            </w:pPr>
            <w:r>
              <w:rPr>
                <w:rFonts w:hint="default"/>
                <w:b/>
                <w:bCs/>
                <w:color w:val="000000" w:themeColor="text1"/>
                <w:sz w:val="24"/>
                <w:szCs w:val="24"/>
                <w:highlight w:val="none"/>
                <w14:textFill>
                  <w14:solidFill>
                    <w14:schemeClr w14:val="tx1"/>
                  </w14:solidFill>
                </w14:textFill>
              </w:rPr>
              <w:t>四、固体废物环境影响分析</w:t>
            </w:r>
          </w:p>
          <w:p w14:paraId="19959564">
            <w:pPr>
              <w:keepNext w:val="0"/>
              <w:keepLines w:val="0"/>
              <w:pageBreakBefore w:val="0"/>
              <w:widowControl w:val="0"/>
              <w:kinsoku/>
              <w:wordWrap/>
              <w:overflowPunct/>
              <w:topLinePunct w:val="0"/>
              <w:autoSpaceDE/>
              <w:autoSpaceDN/>
              <w:bidi w:val="0"/>
              <w:adjustRightInd/>
              <w:snapToGrid w:val="0"/>
              <w:spacing w:line="420" w:lineRule="auto"/>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扩建项目运营过程中产生的固体废物主要包括医疗废物、废活性炭、污水处理站污泥、生活垃圾等。</w:t>
            </w:r>
          </w:p>
          <w:p w14:paraId="4062731F">
            <w:pPr>
              <w:keepNext w:val="0"/>
              <w:keepLines w:val="0"/>
              <w:pageBreakBefore w:val="0"/>
              <w:widowControl w:val="0"/>
              <w:numPr>
                <w:ilvl w:val="0"/>
                <w:numId w:val="8"/>
              </w:numPr>
              <w:kinsoku/>
              <w:wordWrap/>
              <w:overflowPunct/>
              <w:topLinePunct w:val="0"/>
              <w:autoSpaceDE/>
              <w:autoSpaceDN/>
              <w:bidi w:val="0"/>
              <w:adjustRightInd/>
              <w:snapToGrid w:val="0"/>
              <w:spacing w:line="42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医疗废物</w:t>
            </w:r>
          </w:p>
          <w:p w14:paraId="48B6CC87">
            <w:pPr>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医疗废物分类目录（2021年版）</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医疗废物分为以下5类</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p>
          <w:p w14:paraId="0F68E120">
            <w:pPr>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①感染性废物</w:t>
            </w:r>
            <w:r>
              <w:rPr>
                <w:rFonts w:hint="eastAsia" w:ascii="Times New Roman" w:hAnsi="Times New Roman" w:cs="Times New Roman"/>
                <w:color w:val="000000" w:themeColor="text1"/>
                <w:sz w:val="24"/>
                <w:highlight w:val="none"/>
                <w:lang w:val="en-US" w:eastAsia="zh-CN"/>
                <w14:textFill>
                  <w14:solidFill>
                    <w14:schemeClr w14:val="tx1"/>
                  </w14:solidFill>
                </w14:textFill>
              </w:rPr>
              <w:t>：被患者血液、体液、排泄物等污染的除锐器以外的废物；使用后废弃的一次性使用医疗器械，如注射器、输液器、透析器等；病原微生物实验室废弃的病原体培养基、标本，菌种和毒种保存液及其容器；其他实验室及科室废弃的血液、血清、分泌物等标本和容器；隔离传染病患者或者疑似传染病患者产生的废弃物。</w:t>
            </w:r>
          </w:p>
          <w:p w14:paraId="750E07AA">
            <w:pPr>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②病理性废物</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手术及其他医学服务过程中产生的废弃的人体组织、器官；病理切片后废弃的人体组织、病理蜡块；废弃的医学实验动物的组织和尸体；16周胎龄以下或重量不足500克的胚胎组织等；确诊、疑似传染病或携带传染病病原体的产妇的胎盘。</w:t>
            </w:r>
          </w:p>
          <w:p w14:paraId="50D0B324">
            <w:pPr>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损伤性废物</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废弃的金属类锐器，如针头、缝合针、针灸针、探针、穿刺针、解剖刀、手术刀、手术锯、备皮刀、钢钉和导丝等；废弃的玻璃类锐器，如盖玻片、载玻片、玻璃安瓿等</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废弃的其他材质类锐器。</w:t>
            </w:r>
          </w:p>
          <w:p w14:paraId="35C330A5">
            <w:pPr>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④</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药物性废物</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废弃的一般性药物；废弃的细胞毒性药物和遗传毒性药物；废弃的疫苗及血液制品。</w:t>
            </w:r>
          </w:p>
          <w:p w14:paraId="75E40320">
            <w:pPr>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⑤化学性废物</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列入《国家危险废物名录》中的废弃危险化学品，如甲醛、二甲苯等；非特定行业来源的危险废物，如含汞血压计、含汞体温计，废弃的牙科汞合金材料及其残余物等。</w:t>
            </w:r>
          </w:p>
          <w:p w14:paraId="6CA083C1">
            <w:pPr>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firstLine="480" w:firstLineChars="200"/>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类比</w:t>
            </w:r>
            <w:r>
              <w:rPr>
                <w:rFonts w:hint="eastAsia" w:ascii="Times New Roman" w:hAnsi="Times New Roman" w:cs="Times New Roman"/>
                <w:color w:val="000000" w:themeColor="text1"/>
                <w:sz w:val="24"/>
                <w:highlight w:val="none"/>
                <w:lang w:val="en-US" w:eastAsia="zh-CN"/>
                <w14:textFill>
                  <w14:solidFill>
                    <w14:schemeClr w14:val="tx1"/>
                  </w14:solidFill>
                </w14:textFill>
              </w:rPr>
              <w:t>现有工程</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目前床位数与医疗废物产生量的比例系数</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确定</w:t>
            </w:r>
            <w:r>
              <w:rPr>
                <w:rFonts w:hint="eastAsia" w:ascii="Times New Roman" w:hAnsi="Times New Roman" w:cs="Times New Roman"/>
                <w:color w:val="000000" w:themeColor="text1"/>
                <w:sz w:val="24"/>
                <w:highlight w:val="none"/>
                <w:lang w:val="en-US" w:eastAsia="zh-CN"/>
                <w14:textFill>
                  <w14:solidFill>
                    <w14:schemeClr w14:val="tx1"/>
                  </w14:solidFill>
                </w14:textFill>
              </w:rPr>
              <w:t>扩建项目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感染性废物产生量为</w:t>
            </w:r>
            <w:r>
              <w:rPr>
                <w:rFonts w:hint="eastAsia" w:ascii="Times New Roman" w:hAnsi="Times New Roman" w:cs="Times New Roman"/>
                <w:color w:val="000000" w:themeColor="text1"/>
                <w:sz w:val="24"/>
                <w:highlight w:val="none"/>
                <w:lang w:val="en-US" w:eastAsia="zh-CN"/>
                <w14:textFill>
                  <w14:solidFill>
                    <w14:schemeClr w14:val="tx1"/>
                  </w14:solidFill>
                </w14:textFill>
              </w:rPr>
              <w:t>4.6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a</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病理性废物产生量为</w:t>
            </w:r>
            <w:r>
              <w:rPr>
                <w:rFonts w:hint="eastAsia" w:ascii="Times New Roman" w:hAnsi="Times New Roman" w:cs="Times New Roman"/>
                <w:color w:val="000000" w:themeColor="text1"/>
                <w:sz w:val="24"/>
                <w:highlight w:val="none"/>
                <w:lang w:val="en-US" w:eastAsia="zh-CN"/>
                <w14:textFill>
                  <w14:solidFill>
                    <w14:schemeClr w14:val="tx1"/>
                  </w14:solidFill>
                </w14:textFill>
              </w:rPr>
              <w:t>4.6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损伤性废物产生量为</w:t>
            </w:r>
            <w:r>
              <w:rPr>
                <w:rFonts w:hint="eastAsia" w:ascii="Times New Roman" w:hAnsi="Times New Roman" w:cs="Times New Roman"/>
                <w:color w:val="000000" w:themeColor="text1"/>
                <w:sz w:val="24"/>
                <w:highlight w:val="none"/>
                <w:lang w:val="en-US" w:eastAsia="zh-CN"/>
                <w14:textFill>
                  <w14:solidFill>
                    <w14:schemeClr w14:val="tx1"/>
                  </w14:solidFill>
                </w14:textFill>
              </w:rPr>
              <w:t>1.3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药物性废物产生量为0.</w:t>
            </w:r>
            <w:r>
              <w:rPr>
                <w:rFonts w:hint="eastAsia" w:ascii="Times New Roman" w:hAnsi="Times New Roman" w:cs="Times New Roman"/>
                <w:color w:val="000000" w:themeColor="text1"/>
                <w:sz w:val="24"/>
                <w:highlight w:val="none"/>
                <w:lang w:val="en-US" w:eastAsia="zh-CN"/>
                <w14:textFill>
                  <w14:solidFill>
                    <w14:schemeClr w14:val="tx1"/>
                  </w14:solidFill>
                </w14:textFill>
              </w:rPr>
              <w:t>14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化学性废物产生量为0.</w:t>
            </w:r>
            <w:r>
              <w:rPr>
                <w:rFonts w:hint="eastAsia" w:ascii="Times New Roman" w:hAnsi="Times New Roman" w:cs="Times New Roman"/>
                <w:color w:val="000000" w:themeColor="text1"/>
                <w:sz w:val="24"/>
                <w:highlight w:val="none"/>
                <w:lang w:val="en-US" w:eastAsia="zh-CN"/>
                <w14:textFill>
                  <w14:solidFill>
                    <w14:schemeClr w14:val="tx1"/>
                  </w14:solidFill>
                </w14:textFill>
              </w:rPr>
              <w:t>05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a</w:t>
            </w:r>
            <w:r>
              <w:rPr>
                <w:rFonts w:hint="eastAsia" w:ascii="Times New Roman" w:hAnsi="Times New Roman" w:cs="Times New Roman"/>
                <w:color w:val="000000" w:themeColor="text1"/>
                <w:sz w:val="24"/>
                <w:highlight w:val="none"/>
                <w:lang w:val="en-US" w:eastAsia="zh-CN"/>
                <w14:textFill>
                  <w14:solidFill>
                    <w14:schemeClr w14:val="tx1"/>
                  </w14:solidFill>
                </w14:textFill>
              </w:rPr>
              <w:t>；因此，扩建项目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医疗废物</w:t>
            </w:r>
            <w:r>
              <w:rPr>
                <w:rFonts w:hint="eastAsia" w:ascii="Times New Roman" w:hAnsi="Times New Roman" w:cs="Times New Roman"/>
                <w:color w:val="000000" w:themeColor="text1"/>
                <w:sz w:val="24"/>
                <w:highlight w:val="none"/>
                <w:lang w:val="en-US" w:eastAsia="zh-CN"/>
                <w14:textFill>
                  <w14:solidFill>
                    <w14:schemeClr w14:val="tx1"/>
                  </w14:solidFill>
                </w14:textFill>
              </w:rPr>
              <w:t>总产生量为10.69</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国家危险废物名录（2021年版）》（生态环境保护部令第15号，自2021年1月1日起施行），医疗废物属于HW01，危废代码分别为：841-001-01（感染性废物）、841-002-01（损伤性废物）、841-003-01（病理性废物）、841-004-01（化学性废物）、841-005-01（药物性废物）。</w:t>
            </w:r>
          </w:p>
          <w:p w14:paraId="58D4DB3B">
            <w:pPr>
              <w:keepNext w:val="0"/>
              <w:keepLines w:val="0"/>
              <w:pageBreakBefore w:val="0"/>
              <w:widowControl w:val="0"/>
              <w:numPr>
                <w:ilvl w:val="0"/>
                <w:numId w:val="8"/>
              </w:numPr>
              <w:kinsoku/>
              <w:wordWrap/>
              <w:overflowPunct/>
              <w:topLinePunct w:val="0"/>
              <w:autoSpaceDE/>
              <w:autoSpaceDN/>
              <w:bidi w:val="0"/>
              <w:adjustRightInd/>
              <w:snapToGrid w:val="0"/>
              <w:spacing w:line="420" w:lineRule="auto"/>
              <w:ind w:left="0" w:leftChars="0"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废活性炭</w:t>
            </w:r>
          </w:p>
          <w:p w14:paraId="2193B251">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leftChars="0"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扩建</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项目拟设置1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套</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紫外线消毒+活性炭吸附</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处理污水处理站的</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恶臭气体</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活性炭需定期更换，其中</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活性炭吸附</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处理效率约为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85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扩建后项目</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活性炭吸附恶臭气体量为NH</w:t>
            </w:r>
            <w:r>
              <w:rPr>
                <w:rFonts w:hint="eastAsia" w:ascii="Times New Roman" w:hAnsi="Times New Roman" w:cs="Times New Roman"/>
                <w:color w:val="000000" w:themeColor="text1"/>
                <w:kern w:val="2"/>
                <w:sz w:val="24"/>
                <w:szCs w:val="24"/>
                <w:highlight w:val="none"/>
                <w:vertAlign w:val="subscript"/>
                <w:lang w:val="en-US" w:eastAsia="zh-CN" w:bidi="ar-SA"/>
                <w14:textFill>
                  <w14:solidFill>
                    <w14:schemeClr w14:val="tx1"/>
                  </w14:solidFill>
                </w14:textFill>
              </w:rPr>
              <w:t>3</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0.0022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t/a，吸附</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H</w:t>
            </w:r>
            <w:r>
              <w:rPr>
                <w:rFonts w:hint="default" w:ascii="Times New Roman" w:hAnsi="Times New Roman" w:cs="Times New Roman"/>
                <w:color w:val="000000" w:themeColor="text1"/>
                <w:kern w:val="2"/>
                <w:sz w:val="24"/>
                <w:szCs w:val="24"/>
                <w:highlight w:val="none"/>
                <w:vertAlign w:val="subscript"/>
                <w:lang w:val="en-US" w:eastAsia="zh-CN" w:bidi="ar-SA"/>
                <w14:textFill>
                  <w14:solidFill>
                    <w14:schemeClr w14:val="tx1"/>
                  </w14:solidFill>
                </w14:textFill>
              </w:rPr>
              <w:t>2</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S 8.4×10</w:t>
            </w:r>
            <w:r>
              <w:rPr>
                <w:rFonts w:hint="default" w:ascii="Times New Roman" w:hAnsi="Times New Roman" w:cs="Times New Roman"/>
                <w:color w:val="000000" w:themeColor="text1"/>
                <w:kern w:val="2"/>
                <w:sz w:val="24"/>
                <w:szCs w:val="24"/>
                <w:highlight w:val="none"/>
                <w:vertAlign w:val="superscript"/>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t/a，则</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活性炭吸附</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吸附</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恶臭</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污染物总量</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约0.0022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活性炭用量约为</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恶臭</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去除量（吸附量）的</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倍，而实际操作中为了保证活性炭的吸附效率，建设方在活性炭非完全饱和的情况下进行更换，按活性炭实际用量为吸附饱和状态下活性炭用量的</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1.1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倍计，则活性炭的理论用量</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约0.0121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废活性炭产生量为</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0.0143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根据《国家危险废物名录（2021年版）》（生态环境保护部令第15号，自2021年1月1日起施行），</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废活性炭属于HW49其他废物，废物代码900-041-49。</w:t>
            </w:r>
          </w:p>
          <w:p w14:paraId="7EBE9725">
            <w:pPr>
              <w:pStyle w:val="20"/>
              <w:keepNext w:val="0"/>
              <w:keepLines w:val="0"/>
              <w:pageBreakBefore w:val="0"/>
              <w:widowControl w:val="0"/>
              <w:numPr>
                <w:ilvl w:val="0"/>
                <w:numId w:val="8"/>
              </w:numPr>
              <w:kinsoku/>
              <w:wordWrap/>
              <w:overflowPunct/>
              <w:topLinePunct w:val="0"/>
              <w:autoSpaceDE/>
              <w:autoSpaceDN/>
              <w:bidi w:val="0"/>
              <w:adjustRightInd/>
              <w:snapToGrid/>
              <w:spacing w:line="420" w:lineRule="auto"/>
              <w:ind w:left="0" w:leftChars="0"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污泥</w:t>
            </w:r>
          </w:p>
          <w:p w14:paraId="732B77CA">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leftChars="0"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扩建</w:t>
            </w:r>
            <w:r>
              <w:rPr>
                <w:rFonts w:hint="eastAsia" w:ascii="Times New Roman" w:hAnsi="Times New Roman" w:cs="Times New Roman"/>
                <w:color w:val="000000" w:themeColor="text1"/>
                <w:sz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污水处理站拟采用AO生物接触氧化法工艺</w:t>
            </w:r>
            <w:r>
              <w:rPr>
                <w:rFonts w:hint="eastAsia" w:ascii="Times New Roman" w:hAnsi="Times New Roman" w:cs="Times New Roman"/>
                <w:color w:val="000000" w:themeColor="text1"/>
                <w:sz w:val="24"/>
                <w:highlight w:val="none"/>
                <w:lang w:val="en-US" w:eastAsia="zh-CN"/>
                <w14:textFill>
                  <w14:solidFill>
                    <w14:schemeClr w14:val="tx1"/>
                  </w14:solidFill>
                </w14:textFill>
              </w:rPr>
              <w:t>处理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废水</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过程中会产生一定量的污泥，</w:t>
            </w:r>
            <w:r>
              <w:rPr>
                <w:rFonts w:hint="eastAsia" w:ascii="Times New Roman" w:hAnsi="Times New Roman" w:cs="Times New Roman"/>
                <w:color w:val="000000" w:themeColor="text1"/>
                <w:sz w:val="24"/>
                <w:highlight w:val="none"/>
                <w:lang w:val="en-US" w:eastAsia="zh-CN"/>
                <w14:textFill>
                  <w14:solidFill>
                    <w14:schemeClr w14:val="tx1"/>
                  </w14:solidFill>
                </w14:textFill>
              </w:rPr>
              <w:t>根据现有工程污泥产生情况（废水处理工艺相同）可知</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扩建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项目污水处理站产生含水率80%的污泥量约</w:t>
            </w:r>
            <w:r>
              <w:rPr>
                <w:rFonts w:hint="eastAsia" w:ascii="Times New Roman" w:hAnsi="Times New Roman" w:cs="Times New Roman"/>
                <w:color w:val="000000" w:themeColor="text1"/>
                <w:sz w:val="24"/>
                <w:highlight w:val="none"/>
                <w:lang w:val="en-US" w:eastAsia="zh-CN"/>
                <w14:textFill>
                  <w14:solidFill>
                    <w14:schemeClr w14:val="tx1"/>
                  </w14:solidFill>
                </w14:textFill>
              </w:rPr>
              <w:t>6.13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w:t>
            </w:r>
          </w:p>
          <w:p w14:paraId="28C793B2">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leftChars="0" w:firstLine="480" w:firstLineChars="200"/>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根据《国家危险废物名录（2021年版）》（生态环境保护部令第15号，自2021年1月1日起施行），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扩建</w:t>
            </w:r>
            <w:r>
              <w:rPr>
                <w:rFonts w:hint="eastAsia" w:ascii="Times New Roman" w:hAnsi="Times New Roman" w:cs="Times New Roman"/>
                <w:color w:val="000000" w:themeColor="text1"/>
                <w:sz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产生的废水处理污泥属于感染性废物，代码841-001-01</w:t>
            </w:r>
            <w:r>
              <w:rPr>
                <w:rFonts w:hint="eastAsia" w:ascii="Times New Roman" w:hAnsi="Times New Roman" w:cs="Times New Roman"/>
                <w:color w:val="000000" w:themeColor="text1"/>
                <w:sz w:val="24"/>
                <w:highlight w:val="none"/>
                <w:lang w:val="en-US" w:eastAsia="zh-CN"/>
                <w14:textFill>
                  <w14:solidFill>
                    <w14:schemeClr w14:val="tx1"/>
                  </w14:solidFill>
                </w14:textFill>
              </w:rPr>
              <w:t>。建设单位拟依托现有工程（在建工程①）</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污水外理站</w:t>
            </w:r>
            <w:r>
              <w:rPr>
                <w:rFonts w:hint="eastAsia" w:ascii="Times New Roman" w:hAnsi="Times New Roman" w:cs="Times New Roman"/>
                <w:color w:val="000000" w:themeColor="text1"/>
                <w:sz w:val="24"/>
                <w:highlight w:val="none"/>
                <w:lang w:val="en-US" w:eastAsia="zh-CN"/>
                <w14:textFill>
                  <w14:solidFill>
                    <w14:schemeClr w14:val="tx1"/>
                  </w14:solidFill>
                </w14:textFill>
              </w:rPr>
              <w:t>南侧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设置</w:t>
            </w:r>
            <w:r>
              <w:rPr>
                <w:rFonts w:hint="eastAsia" w:ascii="Times New Roman" w:hAnsi="Times New Roman" w:cs="Times New Roman"/>
                <w:color w:val="000000" w:themeColor="text1"/>
                <w:sz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的污泥暂存间，同时配备一座容积为</w:t>
            </w:r>
            <w:r>
              <w:rPr>
                <w:rFonts w:hint="eastAsia"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的浓缩池，采用重力沉降方法对污泥进行浓缩，</w:t>
            </w:r>
            <w:r>
              <w:rPr>
                <w:rFonts w:hint="eastAsia" w:ascii="Times New Roman" w:hAnsi="Times New Roman" w:cs="Times New Roman"/>
                <w:color w:val="000000" w:themeColor="text1"/>
                <w:sz w:val="24"/>
                <w:highlight w:val="none"/>
                <w:lang w:val="en-US" w:eastAsia="zh-CN"/>
                <w14:textFill>
                  <w14:solidFill>
                    <w14:schemeClr w14:val="tx1"/>
                  </w14:solidFill>
                </w14:textFill>
              </w:rPr>
              <w:t>同时采用石灰法对污泥进行消毒，然后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采用离心脱水机进行脱水，使污泥含水量降到80%左右，脱水后的泥饼袋装密封后暂存医院内污泥暂存间，定期交由三门峡天蓝环保科技有限公司安全处置。此外，污泥脱水过程产生的废水回到医院污水处理</w:t>
            </w:r>
            <w:r>
              <w:rPr>
                <w:rFonts w:hint="eastAsia" w:ascii="Times New Roman" w:hAnsi="Times New Roman" w:cs="Times New Roman"/>
                <w:color w:val="000000" w:themeColor="text1"/>
                <w:sz w:val="24"/>
                <w:highlight w:val="none"/>
                <w:lang w:val="en-US" w:eastAsia="zh-CN"/>
                <w14:textFill>
                  <w14:solidFill>
                    <w14:schemeClr w14:val="tx1"/>
                  </w14:solidFill>
                </w14:textFill>
              </w:rPr>
              <w:t>站</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进行处理达标后排放。</w:t>
            </w:r>
          </w:p>
          <w:p w14:paraId="1F74EA21">
            <w:pPr>
              <w:pStyle w:val="104"/>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   </w:t>
            </w:r>
            <w:r>
              <w:rPr>
                <w:rFonts w:hint="eastAsia" w:cs="Times New Roman"/>
                <w:color w:val="000000" w:themeColor="text1"/>
                <w:highlight w:val="none"/>
                <w:lang w:eastAsia="zh-CN"/>
                <w14:textFill>
                  <w14:solidFill>
                    <w14:schemeClr w14:val="tx1"/>
                  </w14:solidFill>
                </w14:textFill>
              </w:rPr>
              <w:t>项目</w:t>
            </w:r>
            <w:r>
              <w:rPr>
                <w:rFonts w:hint="default" w:ascii="Times New Roman" w:hAnsi="Times New Roman" w:cs="Times New Roman"/>
                <w:color w:val="000000" w:themeColor="text1"/>
                <w:highlight w:val="none"/>
                <w14:textFill>
                  <w14:solidFill>
                    <w14:schemeClr w14:val="tx1"/>
                  </w14:solidFill>
                </w14:textFill>
              </w:rPr>
              <w:t>危险废物产生情况一览表</w:t>
            </w:r>
          </w:p>
          <w:tbl>
            <w:tblPr>
              <w:tblStyle w:val="34"/>
              <w:tblW w:w="80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9"/>
              <w:gridCol w:w="701"/>
              <w:gridCol w:w="553"/>
              <w:gridCol w:w="860"/>
              <w:gridCol w:w="628"/>
              <w:gridCol w:w="661"/>
              <w:gridCol w:w="442"/>
              <w:gridCol w:w="868"/>
              <w:gridCol w:w="756"/>
              <w:gridCol w:w="579"/>
              <w:gridCol w:w="718"/>
              <w:gridCol w:w="948"/>
            </w:tblGrid>
            <w:tr w14:paraId="22258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noWrap w:val="0"/>
                  <w:vAlign w:val="center"/>
                </w:tcPr>
                <w:p w14:paraId="74DBA98F">
                  <w:pPr>
                    <w:topLinePunct/>
                    <w:adjustRightInd w:val="0"/>
                    <w:snapToGrid w:val="0"/>
                    <w:spacing w:line="0" w:lineRule="atLeast"/>
                    <w:ind w:left="-2" w:leftChars="-48" w:right="-105" w:rightChars="-50" w:hanging="99" w:hangingChars="62"/>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r>
                    <w:rPr>
                      <w:rFonts w:hint="default" w:ascii="Times New Roman" w:hAnsi="Times New Roman" w:cs="Times New Roman"/>
                      <w:color w:val="000000" w:themeColor="text1"/>
                      <w:spacing w:val="-10"/>
                      <w:kern w:val="0"/>
                      <w:sz w:val="18"/>
                      <w:szCs w:val="18"/>
                      <w:highlight w:val="none"/>
                      <w14:textFill>
                        <w14:solidFill>
                          <w14:schemeClr w14:val="tx1"/>
                        </w14:solidFill>
                      </w14:textFill>
                    </w:rPr>
                    <w:t>序号</w:t>
                  </w:r>
                </w:p>
              </w:tc>
              <w:tc>
                <w:tcPr>
                  <w:tcW w:w="701" w:type="dxa"/>
                  <w:noWrap w:val="0"/>
                  <w:vAlign w:val="center"/>
                </w:tcPr>
                <w:p w14:paraId="39A106DC">
                  <w:pPr>
                    <w:topLinePunct/>
                    <w:adjustRightInd w:val="0"/>
                    <w:snapToGrid w:val="0"/>
                    <w:spacing w:line="0" w:lineRule="atLeast"/>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r>
                    <w:rPr>
                      <w:rFonts w:hint="default" w:ascii="Times New Roman" w:hAnsi="Times New Roman" w:cs="Times New Roman"/>
                      <w:color w:val="000000" w:themeColor="text1"/>
                      <w:spacing w:val="-10"/>
                      <w:kern w:val="0"/>
                      <w:sz w:val="18"/>
                      <w:szCs w:val="18"/>
                      <w:highlight w:val="none"/>
                      <w14:textFill>
                        <w14:solidFill>
                          <w14:schemeClr w14:val="tx1"/>
                        </w14:solidFill>
                      </w14:textFill>
                    </w:rPr>
                    <w:t>危险废物名称</w:t>
                  </w:r>
                </w:p>
              </w:tc>
              <w:tc>
                <w:tcPr>
                  <w:tcW w:w="553" w:type="dxa"/>
                  <w:noWrap w:val="0"/>
                  <w:vAlign w:val="center"/>
                </w:tcPr>
                <w:p w14:paraId="39868E46">
                  <w:pPr>
                    <w:topLinePunct/>
                    <w:adjustRightInd w:val="0"/>
                    <w:snapToGrid w:val="0"/>
                    <w:spacing w:line="0" w:lineRule="atLeast"/>
                    <w:ind w:left="-79" w:leftChars="-51" w:right="-90" w:rightChars="-43" w:hanging="28" w:hangingChars="18"/>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r>
                    <w:rPr>
                      <w:rFonts w:hint="default" w:ascii="Times New Roman" w:hAnsi="Times New Roman" w:cs="Times New Roman"/>
                      <w:color w:val="000000" w:themeColor="text1"/>
                      <w:spacing w:val="-10"/>
                      <w:kern w:val="0"/>
                      <w:sz w:val="18"/>
                      <w:szCs w:val="18"/>
                      <w:highlight w:val="none"/>
                      <w14:textFill>
                        <w14:solidFill>
                          <w14:schemeClr w14:val="tx1"/>
                        </w14:solidFill>
                      </w14:textFill>
                    </w:rPr>
                    <w:t>危险废物类别</w:t>
                  </w:r>
                </w:p>
              </w:tc>
              <w:tc>
                <w:tcPr>
                  <w:tcW w:w="860" w:type="dxa"/>
                  <w:noWrap w:val="0"/>
                  <w:vAlign w:val="center"/>
                </w:tcPr>
                <w:p w14:paraId="062A5183">
                  <w:pPr>
                    <w:topLinePunct/>
                    <w:adjustRightInd w:val="0"/>
                    <w:snapToGrid w:val="0"/>
                    <w:spacing w:line="0" w:lineRule="atLeast"/>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r>
                    <w:rPr>
                      <w:rFonts w:hint="default" w:ascii="Times New Roman" w:hAnsi="Times New Roman" w:cs="Times New Roman"/>
                      <w:color w:val="000000" w:themeColor="text1"/>
                      <w:spacing w:val="-10"/>
                      <w:kern w:val="0"/>
                      <w:sz w:val="18"/>
                      <w:szCs w:val="18"/>
                      <w:highlight w:val="none"/>
                      <w14:textFill>
                        <w14:solidFill>
                          <w14:schemeClr w14:val="tx1"/>
                        </w14:solidFill>
                      </w14:textFill>
                    </w:rPr>
                    <w:t>危险废物代码</w:t>
                  </w:r>
                </w:p>
              </w:tc>
              <w:tc>
                <w:tcPr>
                  <w:tcW w:w="628" w:type="dxa"/>
                  <w:noWrap w:val="0"/>
                  <w:vAlign w:val="center"/>
                </w:tcPr>
                <w:p w14:paraId="320E6969">
                  <w:pPr>
                    <w:topLinePunct/>
                    <w:adjustRightInd w:val="0"/>
                    <w:snapToGrid w:val="0"/>
                    <w:spacing w:line="0" w:lineRule="atLeast"/>
                    <w:ind w:left="-91" w:leftChars="-44" w:right="-107" w:rightChars="-51" w:hanging="1"/>
                    <w:jc w:val="center"/>
                    <w:rPr>
                      <w:rFonts w:hint="eastAsia" w:ascii="Times New Roman" w:hAnsi="Times New Roman" w:eastAsia="宋体" w:cs="Times New Roman"/>
                      <w:color w:val="000000" w:themeColor="text1"/>
                      <w:spacing w:val="-10"/>
                      <w:kern w:val="0"/>
                      <w:sz w:val="18"/>
                      <w:szCs w:val="18"/>
                      <w:highlight w:val="none"/>
                      <w:lang w:eastAsia="zh-CN"/>
                      <w14:textFill>
                        <w14:solidFill>
                          <w14:schemeClr w14:val="tx1"/>
                        </w14:solidFill>
                      </w14:textFill>
                    </w:rPr>
                  </w:pPr>
                  <w:r>
                    <w:rPr>
                      <w:rFonts w:hint="default" w:ascii="Times New Roman" w:hAnsi="Times New Roman" w:cs="Times New Roman"/>
                      <w:color w:val="000000" w:themeColor="text1"/>
                      <w:spacing w:val="-10"/>
                      <w:kern w:val="0"/>
                      <w:sz w:val="18"/>
                      <w:szCs w:val="18"/>
                      <w:highlight w:val="none"/>
                      <w14:textFill>
                        <w14:solidFill>
                          <w14:schemeClr w14:val="tx1"/>
                        </w14:solidFill>
                      </w14:textFill>
                    </w:rPr>
                    <w:t>产生量</w:t>
                  </w:r>
                  <w:r>
                    <w:rPr>
                      <w:rFonts w:hint="eastAsia" w:ascii="Times New Roman" w:hAnsi="Times New Roman" w:cs="Times New Roman"/>
                      <w:color w:val="000000" w:themeColor="text1"/>
                      <w:spacing w:val="-10"/>
                      <w:kern w:val="0"/>
                      <w:sz w:val="18"/>
                      <w:szCs w:val="18"/>
                      <w:highlight w:val="none"/>
                      <w:lang w:eastAsia="zh-CN"/>
                      <w14:textFill>
                        <w14:solidFill>
                          <w14:schemeClr w14:val="tx1"/>
                        </w14:solidFill>
                      </w14:textFill>
                    </w:rPr>
                    <w:t>（</w:t>
                  </w: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t/a</w:t>
                  </w:r>
                  <w:r>
                    <w:rPr>
                      <w:rFonts w:hint="eastAsia" w:ascii="Times New Roman" w:hAnsi="Times New Roman" w:cs="Times New Roman"/>
                      <w:color w:val="000000" w:themeColor="text1"/>
                      <w:spacing w:val="-10"/>
                      <w:kern w:val="0"/>
                      <w:sz w:val="18"/>
                      <w:szCs w:val="18"/>
                      <w:highlight w:val="none"/>
                      <w:lang w:eastAsia="zh-CN"/>
                      <w14:textFill>
                        <w14:solidFill>
                          <w14:schemeClr w14:val="tx1"/>
                        </w14:solidFill>
                      </w14:textFill>
                    </w:rPr>
                    <w:t>）</w:t>
                  </w:r>
                </w:p>
              </w:tc>
              <w:tc>
                <w:tcPr>
                  <w:tcW w:w="661" w:type="dxa"/>
                  <w:noWrap w:val="0"/>
                  <w:vAlign w:val="center"/>
                </w:tcPr>
                <w:p w14:paraId="0829C355">
                  <w:pPr>
                    <w:topLinePunct/>
                    <w:adjustRightInd w:val="0"/>
                    <w:snapToGrid w:val="0"/>
                    <w:spacing w:line="0" w:lineRule="atLeast"/>
                    <w:ind w:left="-109" w:leftChars="-52" w:right="-109" w:rightChars="-52"/>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r>
                    <w:rPr>
                      <w:rFonts w:hint="default" w:ascii="Times New Roman" w:hAnsi="Times New Roman" w:cs="Times New Roman"/>
                      <w:color w:val="000000" w:themeColor="text1"/>
                      <w:spacing w:val="-10"/>
                      <w:kern w:val="0"/>
                      <w:sz w:val="18"/>
                      <w:szCs w:val="18"/>
                      <w:highlight w:val="none"/>
                      <w14:textFill>
                        <w14:solidFill>
                          <w14:schemeClr w14:val="tx1"/>
                        </w14:solidFill>
                      </w14:textFill>
                    </w:rPr>
                    <w:t>产生工序及装置</w:t>
                  </w:r>
                </w:p>
              </w:tc>
              <w:tc>
                <w:tcPr>
                  <w:tcW w:w="442" w:type="dxa"/>
                  <w:noWrap w:val="0"/>
                  <w:vAlign w:val="center"/>
                </w:tcPr>
                <w:p w14:paraId="3E7B0750">
                  <w:pPr>
                    <w:topLinePunct/>
                    <w:adjustRightInd w:val="0"/>
                    <w:snapToGrid w:val="0"/>
                    <w:spacing w:line="0" w:lineRule="atLeast"/>
                    <w:ind w:left="4" w:leftChars="-63" w:right="-126" w:rightChars="-60" w:hanging="136" w:hangingChars="85"/>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r>
                    <w:rPr>
                      <w:rFonts w:hint="default" w:ascii="Times New Roman" w:hAnsi="Times New Roman" w:cs="Times New Roman"/>
                      <w:color w:val="000000" w:themeColor="text1"/>
                      <w:spacing w:val="-10"/>
                      <w:kern w:val="0"/>
                      <w:sz w:val="18"/>
                      <w:szCs w:val="18"/>
                      <w:highlight w:val="none"/>
                      <w14:textFill>
                        <w14:solidFill>
                          <w14:schemeClr w14:val="tx1"/>
                        </w14:solidFill>
                      </w14:textFill>
                    </w:rPr>
                    <w:t>形态</w:t>
                  </w:r>
                </w:p>
              </w:tc>
              <w:tc>
                <w:tcPr>
                  <w:tcW w:w="868" w:type="dxa"/>
                  <w:noWrap w:val="0"/>
                  <w:vAlign w:val="center"/>
                </w:tcPr>
                <w:p w14:paraId="6ACEB2A1">
                  <w:pPr>
                    <w:spacing w:line="0" w:lineRule="atLeast"/>
                    <w:ind w:left="-105" w:leftChars="-50" w:right="-105" w:rightChars="-5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主要成分</w:t>
                  </w:r>
                </w:p>
              </w:tc>
              <w:tc>
                <w:tcPr>
                  <w:tcW w:w="756" w:type="dxa"/>
                  <w:noWrap w:val="0"/>
                  <w:vAlign w:val="center"/>
                </w:tcPr>
                <w:p w14:paraId="72603581">
                  <w:pPr>
                    <w:spacing w:line="0" w:lineRule="atLeast"/>
                    <w:ind w:left="-120" w:leftChars="-100" w:right="-210" w:rightChars="-100" w:hanging="90" w:hangingChars="50"/>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有害成分</w:t>
                  </w:r>
                </w:p>
              </w:tc>
              <w:tc>
                <w:tcPr>
                  <w:tcW w:w="579" w:type="dxa"/>
                  <w:noWrap w:val="0"/>
                  <w:vAlign w:val="center"/>
                </w:tcPr>
                <w:p w14:paraId="40C1A426">
                  <w:pPr>
                    <w:spacing w:line="0" w:lineRule="atLeast"/>
                    <w:ind w:leftChars="-58" w:right="-107" w:rightChars="-51" w:hanging="122" w:hangingChars="68"/>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产废</w:t>
                  </w:r>
                </w:p>
                <w:p w14:paraId="6DE8D287">
                  <w:pPr>
                    <w:spacing w:line="0" w:lineRule="atLeast"/>
                    <w:ind w:leftChars="-58" w:right="-107" w:rightChars="-51" w:hanging="122" w:hangingChars="68"/>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周期</w:t>
                  </w:r>
                </w:p>
              </w:tc>
              <w:tc>
                <w:tcPr>
                  <w:tcW w:w="718" w:type="dxa"/>
                  <w:noWrap w:val="0"/>
                  <w:vAlign w:val="center"/>
                </w:tcPr>
                <w:p w14:paraId="3BC063C2">
                  <w:pPr>
                    <w:spacing w:line="0" w:lineRule="atLeast"/>
                    <w:ind w:left="-105" w:leftChars="-50" w:right="-105" w:rightChars="-5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危险</w:t>
                  </w:r>
                </w:p>
                <w:p w14:paraId="48D2A5D8">
                  <w:pPr>
                    <w:spacing w:line="0" w:lineRule="atLeast"/>
                    <w:ind w:left="-105" w:leftChars="-50" w:right="-105" w:rightChars="-5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特性</w:t>
                  </w:r>
                </w:p>
              </w:tc>
              <w:tc>
                <w:tcPr>
                  <w:tcW w:w="948" w:type="dxa"/>
                  <w:noWrap w:val="0"/>
                  <w:vAlign w:val="center"/>
                </w:tcPr>
                <w:p w14:paraId="0321E385">
                  <w:pPr>
                    <w:spacing w:line="0" w:lineRule="atLeast"/>
                    <w:ind w:left="1" w:leftChars="-44" w:right="-88" w:rightChars="-42" w:hanging="93" w:hangingChars="52"/>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污染防治</w:t>
                  </w:r>
                </w:p>
                <w:p w14:paraId="656ABFDA">
                  <w:pPr>
                    <w:spacing w:line="0" w:lineRule="atLeast"/>
                    <w:ind w:left="1" w:leftChars="-44" w:right="-88" w:rightChars="-42" w:hanging="93" w:hangingChars="52"/>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措施</w:t>
                  </w:r>
                </w:p>
              </w:tc>
            </w:tr>
            <w:tr w14:paraId="55A74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restart"/>
                  <w:noWrap w:val="0"/>
                  <w:vAlign w:val="center"/>
                </w:tcPr>
                <w:p w14:paraId="1999AE3A">
                  <w:pPr>
                    <w:topLinePunct/>
                    <w:adjustRightInd w:val="0"/>
                    <w:snapToGrid w:val="0"/>
                    <w:spacing w:line="0" w:lineRule="atLeast"/>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r>
                    <w:rPr>
                      <w:rFonts w:hint="default" w:ascii="Times New Roman" w:hAnsi="Times New Roman" w:cs="Times New Roman"/>
                      <w:color w:val="000000" w:themeColor="text1"/>
                      <w:spacing w:val="-10"/>
                      <w:kern w:val="0"/>
                      <w:sz w:val="18"/>
                      <w:szCs w:val="18"/>
                      <w:highlight w:val="none"/>
                      <w14:textFill>
                        <w14:solidFill>
                          <w14:schemeClr w14:val="tx1"/>
                        </w14:solidFill>
                      </w14:textFill>
                    </w:rPr>
                    <w:t>1</w:t>
                  </w:r>
                </w:p>
              </w:tc>
              <w:tc>
                <w:tcPr>
                  <w:tcW w:w="701" w:type="dxa"/>
                  <w:vMerge w:val="restart"/>
                  <w:noWrap w:val="0"/>
                  <w:vAlign w:val="center"/>
                </w:tcPr>
                <w:p w14:paraId="48712201">
                  <w:pPr>
                    <w:spacing w:line="0" w:lineRule="atLeast"/>
                    <w:ind w:left="-66" w:leftChars="-45" w:right="-151" w:rightChars="-72" w:hanging="28" w:hangingChars="16"/>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医疗废物</w:t>
                  </w:r>
                </w:p>
              </w:tc>
              <w:tc>
                <w:tcPr>
                  <w:tcW w:w="553" w:type="dxa"/>
                  <w:vMerge w:val="restart"/>
                  <w:noWrap w:val="0"/>
                  <w:vAlign w:val="center"/>
                </w:tcPr>
                <w:p w14:paraId="24DBFB99">
                  <w:pPr>
                    <w:spacing w:line="0" w:lineRule="atLeast"/>
                    <w:ind w:left="1" w:leftChars="-34" w:right="-109" w:rightChars="-52" w:hanging="72" w:hangingChars="45"/>
                    <w:jc w:val="center"/>
                    <w:rPr>
                      <w:rFonts w:hint="default" w:ascii="Times New Roman" w:hAnsi="Times New Roman" w:eastAsia="宋体" w:cs="Times New Roman"/>
                      <w:color w:val="000000" w:themeColor="text1"/>
                      <w:spacing w:val="-10"/>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pacing w:val="-10"/>
                      <w:sz w:val="18"/>
                      <w:szCs w:val="18"/>
                      <w:highlight w:val="none"/>
                      <w14:textFill>
                        <w14:solidFill>
                          <w14:schemeClr w14:val="tx1"/>
                        </w14:solidFill>
                      </w14:textFill>
                    </w:rPr>
                    <w:t>HW</w:t>
                  </w: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01</w:t>
                  </w:r>
                </w:p>
              </w:tc>
              <w:tc>
                <w:tcPr>
                  <w:tcW w:w="860" w:type="dxa"/>
                  <w:noWrap w:val="0"/>
                  <w:vAlign w:val="center"/>
                </w:tcPr>
                <w:p w14:paraId="0469F035">
                  <w:pPr>
                    <w:topLinePunct/>
                    <w:adjustRightInd w:val="0"/>
                    <w:snapToGrid w:val="0"/>
                    <w:spacing w:line="0" w:lineRule="atLeast"/>
                    <w:ind w:left="1" w:leftChars="-34" w:right="-109" w:rightChars="-52" w:hanging="72" w:hangingChars="45"/>
                    <w:jc w:val="center"/>
                    <w:rPr>
                      <w:rFonts w:hint="default" w:ascii="Times New Roman" w:hAnsi="Times New Roman" w:cs="Times New Roman"/>
                      <w:color w:val="000000" w:themeColor="text1"/>
                      <w:spacing w:val="-10"/>
                      <w:sz w:val="18"/>
                      <w:szCs w:val="18"/>
                      <w:highlight w:val="none"/>
                      <w14:textFill>
                        <w14:solidFill>
                          <w14:schemeClr w14:val="tx1"/>
                        </w14:solidFill>
                      </w14:textFill>
                    </w:rPr>
                  </w:pPr>
                  <w:r>
                    <w:rPr>
                      <w:rFonts w:hint="default" w:ascii="Times New Roman" w:hAnsi="Times New Roman" w:cs="Times New Roman"/>
                      <w:color w:val="000000" w:themeColor="text1"/>
                      <w:spacing w:val="-10"/>
                      <w:sz w:val="18"/>
                      <w:szCs w:val="18"/>
                      <w:highlight w:val="none"/>
                      <w14:textFill>
                        <w14:solidFill>
                          <w14:schemeClr w14:val="tx1"/>
                        </w14:solidFill>
                      </w14:textFill>
                    </w:rPr>
                    <w:t>841-001-01</w:t>
                  </w:r>
                </w:p>
              </w:tc>
              <w:tc>
                <w:tcPr>
                  <w:tcW w:w="628" w:type="dxa"/>
                  <w:noWrap w:val="0"/>
                  <w:vAlign w:val="center"/>
                </w:tcPr>
                <w:p w14:paraId="64BAFBA8">
                  <w:pPr>
                    <w:spacing w:line="0" w:lineRule="atLeast"/>
                    <w:ind w:left="1" w:leftChars="-34" w:right="-109" w:rightChars="-52" w:hanging="72" w:hangingChars="45"/>
                    <w:jc w:val="center"/>
                    <w:rPr>
                      <w:rFonts w:hint="default" w:ascii="Times New Roman" w:hAnsi="Times New Roman" w:eastAsia="宋体" w:cs="Times New Roman"/>
                      <w:color w:val="000000" w:themeColor="text1"/>
                      <w:spacing w:val="-1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4.6</w:t>
                  </w:r>
                </w:p>
              </w:tc>
              <w:tc>
                <w:tcPr>
                  <w:tcW w:w="661" w:type="dxa"/>
                  <w:vMerge w:val="restart"/>
                  <w:noWrap w:val="0"/>
                  <w:vAlign w:val="center"/>
                </w:tcPr>
                <w:p w14:paraId="3C7BFF3F">
                  <w:pPr>
                    <w:tabs>
                      <w:tab w:val="left" w:pos="484"/>
                    </w:tabs>
                    <w:topLinePunct/>
                    <w:adjustRightInd w:val="0"/>
                    <w:snapToGrid w:val="0"/>
                    <w:spacing w:line="0" w:lineRule="atLeast"/>
                    <w:ind w:left="-105" w:leftChars="-50" w:right="-105" w:rightChars="-50" w:firstLine="16" w:firstLineChars="10"/>
                    <w:jc w:val="cente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诊断</w:t>
                  </w:r>
                </w:p>
                <w:p w14:paraId="6F2248B9">
                  <w:pPr>
                    <w:tabs>
                      <w:tab w:val="left" w:pos="484"/>
                    </w:tabs>
                    <w:topLinePunct/>
                    <w:adjustRightInd w:val="0"/>
                    <w:snapToGrid w:val="0"/>
                    <w:spacing w:line="0" w:lineRule="atLeast"/>
                    <w:ind w:left="-105" w:leftChars="-50" w:right="-105" w:rightChars="-50" w:firstLine="16" w:firstLineChars="10"/>
                    <w:jc w:val="center"/>
                    <w:rPr>
                      <w:rFonts w:hint="default" w:ascii="Times New Roman" w:hAnsi="Times New Roman" w:eastAsia="宋体" w:cs="Times New Roman"/>
                      <w:color w:val="000000" w:themeColor="text1"/>
                      <w:spacing w:val="-10"/>
                      <w:kern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治疗</w:t>
                  </w:r>
                </w:p>
              </w:tc>
              <w:tc>
                <w:tcPr>
                  <w:tcW w:w="442" w:type="dxa"/>
                  <w:noWrap w:val="0"/>
                  <w:vAlign w:val="center"/>
                </w:tcPr>
                <w:p w14:paraId="720433C8">
                  <w:pPr>
                    <w:spacing w:line="0" w:lineRule="atLeast"/>
                    <w:ind w:left="-88" w:leftChars="-42" w:right="-109" w:rightChars="-52"/>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固态</w:t>
                  </w:r>
                </w:p>
              </w:tc>
              <w:tc>
                <w:tcPr>
                  <w:tcW w:w="868" w:type="dxa"/>
                  <w:vMerge w:val="restart"/>
                  <w:noWrap w:val="0"/>
                  <w:vAlign w:val="center"/>
                </w:tcPr>
                <w:p w14:paraId="03E79E2D">
                  <w:pPr>
                    <w:spacing w:line="0" w:lineRule="atLeast"/>
                    <w:ind w:left="-88" w:leftChars="-42" w:right="-109" w:rightChars="-52"/>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一次性用品、废药品等</w:t>
                  </w:r>
                </w:p>
              </w:tc>
              <w:tc>
                <w:tcPr>
                  <w:tcW w:w="756" w:type="dxa"/>
                  <w:noWrap w:val="0"/>
                  <w:vAlign w:val="center"/>
                </w:tcPr>
                <w:p w14:paraId="3E232B2D">
                  <w:pPr>
                    <w:spacing w:line="0" w:lineRule="atLeast"/>
                    <w:ind w:left="-88" w:leftChars="-42" w:right="-109" w:rightChars="-52"/>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病菌</w:t>
                  </w:r>
                </w:p>
              </w:tc>
              <w:tc>
                <w:tcPr>
                  <w:tcW w:w="579" w:type="dxa"/>
                  <w:noWrap w:val="0"/>
                  <w:vAlign w:val="center"/>
                </w:tcPr>
                <w:p w14:paraId="1EDC54C7">
                  <w:pPr>
                    <w:keepNext w:val="0"/>
                    <w:keepLines w:val="0"/>
                    <w:pageBreakBefore w:val="0"/>
                    <w:widowControl w:val="0"/>
                    <w:kinsoku/>
                    <w:wordWrap/>
                    <w:overflowPunct/>
                    <w:topLinePunct/>
                    <w:autoSpaceDE/>
                    <w:autoSpaceDN/>
                    <w:bidi w:val="0"/>
                    <w:adjustRightInd w:val="0"/>
                    <w:snapToGrid w:val="0"/>
                    <w:spacing w:line="0" w:lineRule="atLeast"/>
                    <w:ind w:left="-105" w:leftChars="-50" w:right="-105" w:rightChars="-50"/>
                    <w:jc w:val="center"/>
                    <w:textAlignment w:val="auto"/>
                    <w:rPr>
                      <w:rFonts w:hint="default" w:ascii="Times New Roman" w:hAnsi="Times New Roman" w:eastAsia="宋体" w:cs="Times New Roman"/>
                      <w:color w:val="000000" w:themeColor="text1"/>
                      <w:spacing w:val="-10"/>
                      <w:kern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1天</w:t>
                  </w:r>
                </w:p>
              </w:tc>
              <w:tc>
                <w:tcPr>
                  <w:tcW w:w="718" w:type="dxa"/>
                  <w:noWrap w:val="0"/>
                  <w:vAlign w:val="center"/>
                </w:tcPr>
                <w:p w14:paraId="1ACC6268">
                  <w:pPr>
                    <w:topLinePunct/>
                    <w:adjustRightInd w:val="0"/>
                    <w:snapToGrid w:val="0"/>
                    <w:ind w:left="-105" w:leftChars="-50" w:right="-105" w:rightChars="-50"/>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In</w:t>
                  </w:r>
                </w:p>
              </w:tc>
              <w:tc>
                <w:tcPr>
                  <w:tcW w:w="948" w:type="dxa"/>
                  <w:vMerge w:val="restart"/>
                  <w:noWrap w:val="0"/>
                  <w:vAlign w:val="center"/>
                </w:tcPr>
                <w:p w14:paraId="37C77357">
                  <w:pPr>
                    <w:topLinePunct/>
                    <w:adjustRightInd w:val="0"/>
                    <w:snapToGrid w:val="0"/>
                    <w:spacing w:line="0" w:lineRule="atLeast"/>
                    <w:ind w:left="-105" w:leftChars="-50" w:right="-103" w:rightChars="-49"/>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危废暂存间分类</w:t>
                  </w:r>
                  <w:r>
                    <w:rPr>
                      <w:rFonts w:hint="default" w:ascii="Times New Roman" w:hAnsi="Times New Roman" w:cs="Times New Roman"/>
                      <w:bCs/>
                      <w:color w:val="000000" w:themeColor="text1"/>
                      <w:kern w:val="0"/>
                      <w:sz w:val="18"/>
                      <w:szCs w:val="18"/>
                      <w:highlight w:val="none"/>
                      <w14:textFill>
                        <w14:solidFill>
                          <w14:schemeClr w14:val="tx1"/>
                        </w14:solidFill>
                      </w14:textFill>
                    </w:rPr>
                    <w:t>暂存</w:t>
                  </w:r>
                  <w:r>
                    <w:rPr>
                      <w:rFonts w:hint="default" w:ascii="Times New Roman" w:hAnsi="Times New Roman" w:cs="Times New Roman"/>
                      <w:color w:val="000000" w:themeColor="text1"/>
                      <w:spacing w:val="-10"/>
                      <w:kern w:val="0"/>
                      <w:sz w:val="18"/>
                      <w:szCs w:val="18"/>
                      <w:highlight w:val="none"/>
                      <w14:textFill>
                        <w14:solidFill>
                          <w14:schemeClr w14:val="tx1"/>
                        </w14:solidFill>
                      </w14:textFill>
                    </w:rPr>
                    <w:t>，定期交由</w:t>
                  </w:r>
                  <w:r>
                    <w:rPr>
                      <w:rFonts w:hint="eastAsia" w:ascii="Times New Roman" w:hAnsi="Times New Roman" w:cs="Times New Roman"/>
                      <w:color w:val="000000" w:themeColor="text1"/>
                      <w:spacing w:val="-10"/>
                      <w:kern w:val="0"/>
                      <w:sz w:val="18"/>
                      <w:szCs w:val="18"/>
                      <w:highlight w:val="none"/>
                      <w:lang w:eastAsia="zh-CN"/>
                      <w14:textFill>
                        <w14:solidFill>
                          <w14:schemeClr w14:val="tx1"/>
                        </w14:solidFill>
                      </w14:textFill>
                    </w:rPr>
                    <w:t>三门峡天蓝环保科技有限公司</w:t>
                  </w: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安全</w:t>
                  </w:r>
                  <w:r>
                    <w:rPr>
                      <w:rFonts w:hint="default" w:ascii="Times New Roman" w:hAnsi="Times New Roman" w:cs="Times New Roman"/>
                      <w:color w:val="000000" w:themeColor="text1"/>
                      <w:spacing w:val="-10"/>
                      <w:kern w:val="0"/>
                      <w:sz w:val="18"/>
                      <w:szCs w:val="18"/>
                      <w:highlight w:val="none"/>
                      <w14:textFill>
                        <w14:solidFill>
                          <w14:schemeClr w14:val="tx1"/>
                        </w14:solidFill>
                      </w14:textFill>
                    </w:rPr>
                    <w:t>处置</w:t>
                  </w:r>
                </w:p>
              </w:tc>
            </w:tr>
            <w:tr w14:paraId="7E22C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noWrap w:val="0"/>
                  <w:vAlign w:val="center"/>
                </w:tcPr>
                <w:p w14:paraId="24D1AE7D">
                  <w:pPr>
                    <w:topLinePunct/>
                    <w:adjustRightInd w:val="0"/>
                    <w:snapToGrid w:val="0"/>
                    <w:spacing w:line="0" w:lineRule="atLeast"/>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p>
              </w:tc>
              <w:tc>
                <w:tcPr>
                  <w:tcW w:w="701" w:type="dxa"/>
                  <w:vMerge w:val="continue"/>
                  <w:noWrap w:val="0"/>
                  <w:vAlign w:val="center"/>
                </w:tcPr>
                <w:p w14:paraId="56FD0725">
                  <w:pPr>
                    <w:spacing w:line="0" w:lineRule="atLeast"/>
                    <w:ind w:left="-66" w:leftChars="-45" w:right="-151" w:rightChars="-72" w:hanging="28" w:hangingChars="16"/>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553" w:type="dxa"/>
                  <w:vMerge w:val="continue"/>
                  <w:noWrap w:val="0"/>
                  <w:vAlign w:val="center"/>
                </w:tcPr>
                <w:p w14:paraId="44790417">
                  <w:pPr>
                    <w:spacing w:line="0" w:lineRule="atLeast"/>
                    <w:ind w:left="1" w:leftChars="-34" w:right="-109" w:rightChars="-52" w:hanging="72" w:hangingChars="45"/>
                    <w:jc w:val="center"/>
                    <w:rPr>
                      <w:rFonts w:hint="default" w:ascii="Times New Roman" w:hAnsi="Times New Roman" w:cs="Times New Roman"/>
                      <w:color w:val="000000" w:themeColor="text1"/>
                      <w:spacing w:val="-10"/>
                      <w:sz w:val="18"/>
                      <w:szCs w:val="18"/>
                      <w:highlight w:val="none"/>
                      <w14:textFill>
                        <w14:solidFill>
                          <w14:schemeClr w14:val="tx1"/>
                        </w14:solidFill>
                      </w14:textFill>
                    </w:rPr>
                  </w:pPr>
                </w:p>
              </w:tc>
              <w:tc>
                <w:tcPr>
                  <w:tcW w:w="860" w:type="dxa"/>
                  <w:noWrap w:val="0"/>
                  <w:vAlign w:val="center"/>
                </w:tcPr>
                <w:p w14:paraId="2BCA74C9">
                  <w:pPr>
                    <w:topLinePunct/>
                    <w:adjustRightInd w:val="0"/>
                    <w:snapToGrid w:val="0"/>
                    <w:spacing w:line="0" w:lineRule="atLeast"/>
                    <w:ind w:left="1" w:leftChars="-34" w:right="-109" w:rightChars="-52" w:hanging="72" w:hangingChars="45"/>
                    <w:jc w:val="center"/>
                    <w:rPr>
                      <w:rFonts w:hint="default" w:ascii="Times New Roman" w:hAnsi="Times New Roman" w:cs="Times New Roman"/>
                      <w:color w:val="000000" w:themeColor="text1"/>
                      <w:spacing w:val="-10"/>
                      <w:sz w:val="18"/>
                      <w:szCs w:val="18"/>
                      <w:highlight w:val="none"/>
                      <w14:textFill>
                        <w14:solidFill>
                          <w14:schemeClr w14:val="tx1"/>
                        </w14:solidFill>
                      </w14:textFill>
                    </w:rPr>
                  </w:pPr>
                  <w:r>
                    <w:rPr>
                      <w:rFonts w:hint="default" w:ascii="Times New Roman" w:hAnsi="Times New Roman" w:cs="Times New Roman"/>
                      <w:color w:val="000000" w:themeColor="text1"/>
                      <w:spacing w:val="-10"/>
                      <w:sz w:val="18"/>
                      <w:szCs w:val="18"/>
                      <w:highlight w:val="none"/>
                      <w:lang w:val="en-US" w:eastAsia="zh-CN"/>
                      <w14:textFill>
                        <w14:solidFill>
                          <w14:schemeClr w14:val="tx1"/>
                        </w14:solidFill>
                      </w14:textFill>
                    </w:rPr>
                    <w:t>841-00</w:t>
                  </w: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2</w:t>
                  </w:r>
                  <w:r>
                    <w:rPr>
                      <w:rFonts w:hint="default" w:ascii="Times New Roman" w:hAnsi="Times New Roman" w:cs="Times New Roman"/>
                      <w:color w:val="000000" w:themeColor="text1"/>
                      <w:spacing w:val="-10"/>
                      <w:sz w:val="18"/>
                      <w:szCs w:val="18"/>
                      <w:highlight w:val="none"/>
                      <w:lang w:val="en-US" w:eastAsia="zh-CN"/>
                      <w14:textFill>
                        <w14:solidFill>
                          <w14:schemeClr w14:val="tx1"/>
                        </w14:solidFill>
                      </w14:textFill>
                    </w:rPr>
                    <w:t>-01</w:t>
                  </w:r>
                </w:p>
              </w:tc>
              <w:tc>
                <w:tcPr>
                  <w:tcW w:w="628" w:type="dxa"/>
                  <w:noWrap w:val="0"/>
                  <w:vAlign w:val="center"/>
                </w:tcPr>
                <w:p w14:paraId="43E66968">
                  <w:pPr>
                    <w:spacing w:line="0" w:lineRule="atLeast"/>
                    <w:ind w:left="1" w:leftChars="-34" w:right="-109" w:rightChars="-52" w:hanging="72" w:hangingChars="45"/>
                    <w:jc w:val="center"/>
                    <w:rPr>
                      <w:rFonts w:hint="default" w:ascii="Times New Roman" w:hAnsi="Times New Roman" w:eastAsia="宋体" w:cs="Times New Roman"/>
                      <w:color w:val="000000" w:themeColor="text1"/>
                      <w:spacing w:val="-1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4.6</w:t>
                  </w:r>
                </w:p>
              </w:tc>
              <w:tc>
                <w:tcPr>
                  <w:tcW w:w="661" w:type="dxa"/>
                  <w:vMerge w:val="continue"/>
                  <w:noWrap w:val="0"/>
                  <w:vAlign w:val="center"/>
                </w:tcPr>
                <w:p w14:paraId="2651AF79">
                  <w:pPr>
                    <w:tabs>
                      <w:tab w:val="left" w:pos="484"/>
                    </w:tabs>
                    <w:topLinePunct/>
                    <w:adjustRightInd w:val="0"/>
                    <w:snapToGrid w:val="0"/>
                    <w:spacing w:line="0" w:lineRule="atLeast"/>
                    <w:ind w:left="-105" w:leftChars="-50" w:right="-105" w:rightChars="-50" w:firstLine="16" w:firstLineChars="10"/>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p>
              </w:tc>
              <w:tc>
                <w:tcPr>
                  <w:tcW w:w="442" w:type="dxa"/>
                  <w:noWrap w:val="0"/>
                  <w:vAlign w:val="center"/>
                </w:tcPr>
                <w:p w14:paraId="6AAC2F80">
                  <w:pPr>
                    <w:spacing w:line="0" w:lineRule="atLeast"/>
                    <w:ind w:left="-88" w:leftChars="-42" w:right="-109" w:rightChars="-52"/>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固态</w:t>
                  </w:r>
                </w:p>
              </w:tc>
              <w:tc>
                <w:tcPr>
                  <w:tcW w:w="868" w:type="dxa"/>
                  <w:vMerge w:val="continue"/>
                  <w:noWrap w:val="0"/>
                  <w:vAlign w:val="center"/>
                </w:tcPr>
                <w:p w14:paraId="0AE06E61">
                  <w:pPr>
                    <w:spacing w:line="0" w:lineRule="atLeast"/>
                    <w:ind w:left="-88" w:leftChars="-42" w:right="-109" w:rightChars="-52"/>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756" w:type="dxa"/>
                  <w:noWrap w:val="0"/>
                  <w:vAlign w:val="center"/>
                </w:tcPr>
                <w:p w14:paraId="22171E6B">
                  <w:pPr>
                    <w:spacing w:line="0" w:lineRule="atLeast"/>
                    <w:ind w:left="-88" w:leftChars="-42" w:right="-109" w:rightChars="-52"/>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病菌</w:t>
                  </w:r>
                </w:p>
              </w:tc>
              <w:tc>
                <w:tcPr>
                  <w:tcW w:w="579" w:type="dxa"/>
                  <w:noWrap w:val="0"/>
                  <w:vAlign w:val="center"/>
                </w:tcPr>
                <w:p w14:paraId="7CF1C19F">
                  <w:pPr>
                    <w:keepNext w:val="0"/>
                    <w:keepLines w:val="0"/>
                    <w:pageBreakBefore w:val="0"/>
                    <w:widowControl w:val="0"/>
                    <w:kinsoku/>
                    <w:wordWrap/>
                    <w:overflowPunct/>
                    <w:topLinePunct/>
                    <w:autoSpaceDE/>
                    <w:autoSpaceDN/>
                    <w:bidi w:val="0"/>
                    <w:adjustRightInd w:val="0"/>
                    <w:snapToGrid w:val="0"/>
                    <w:spacing w:line="0" w:lineRule="atLeast"/>
                    <w:ind w:left="-105" w:leftChars="-50" w:right="-105" w:rightChars="-50"/>
                    <w:jc w:val="center"/>
                    <w:textAlignment w:val="auto"/>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1天</w:t>
                  </w:r>
                </w:p>
              </w:tc>
              <w:tc>
                <w:tcPr>
                  <w:tcW w:w="718" w:type="dxa"/>
                  <w:noWrap w:val="0"/>
                  <w:vAlign w:val="center"/>
                </w:tcPr>
                <w:p w14:paraId="3EAED61A">
                  <w:pPr>
                    <w:topLinePunct/>
                    <w:adjustRightInd w:val="0"/>
                    <w:snapToGrid w:val="0"/>
                    <w:ind w:left="-105" w:leftChars="-50" w:right="-105" w:rightChars="-5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In</w:t>
                  </w:r>
                </w:p>
              </w:tc>
              <w:tc>
                <w:tcPr>
                  <w:tcW w:w="948" w:type="dxa"/>
                  <w:vMerge w:val="continue"/>
                  <w:noWrap w:val="0"/>
                  <w:vAlign w:val="center"/>
                </w:tcPr>
                <w:p w14:paraId="26230A1F">
                  <w:pPr>
                    <w:topLinePunct/>
                    <w:adjustRightInd w:val="0"/>
                    <w:snapToGrid w:val="0"/>
                    <w:spacing w:line="0" w:lineRule="atLeast"/>
                    <w:ind w:left="-105" w:leftChars="-50" w:right="-103" w:rightChars="-49"/>
                    <w:jc w:val="cente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p>
              </w:tc>
            </w:tr>
            <w:tr w14:paraId="77BFE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noWrap w:val="0"/>
                  <w:vAlign w:val="center"/>
                </w:tcPr>
                <w:p w14:paraId="6684FB25">
                  <w:pPr>
                    <w:topLinePunct/>
                    <w:adjustRightInd w:val="0"/>
                    <w:snapToGrid w:val="0"/>
                    <w:spacing w:line="0" w:lineRule="atLeast"/>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p>
              </w:tc>
              <w:tc>
                <w:tcPr>
                  <w:tcW w:w="701" w:type="dxa"/>
                  <w:vMerge w:val="continue"/>
                  <w:noWrap w:val="0"/>
                  <w:vAlign w:val="center"/>
                </w:tcPr>
                <w:p w14:paraId="44035871">
                  <w:pPr>
                    <w:spacing w:line="0" w:lineRule="atLeast"/>
                    <w:ind w:left="-66" w:leftChars="-45" w:right="-151" w:rightChars="-72" w:hanging="28" w:hangingChars="16"/>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553" w:type="dxa"/>
                  <w:vMerge w:val="continue"/>
                  <w:noWrap w:val="0"/>
                  <w:vAlign w:val="center"/>
                </w:tcPr>
                <w:p w14:paraId="6B1BA351">
                  <w:pPr>
                    <w:spacing w:line="0" w:lineRule="atLeast"/>
                    <w:ind w:left="1" w:leftChars="-34" w:right="-109" w:rightChars="-52" w:hanging="72" w:hangingChars="45"/>
                    <w:jc w:val="center"/>
                    <w:rPr>
                      <w:rFonts w:hint="default" w:ascii="Times New Roman" w:hAnsi="Times New Roman" w:cs="Times New Roman"/>
                      <w:color w:val="000000" w:themeColor="text1"/>
                      <w:spacing w:val="-10"/>
                      <w:sz w:val="18"/>
                      <w:szCs w:val="18"/>
                      <w:highlight w:val="none"/>
                      <w14:textFill>
                        <w14:solidFill>
                          <w14:schemeClr w14:val="tx1"/>
                        </w14:solidFill>
                      </w14:textFill>
                    </w:rPr>
                  </w:pPr>
                </w:p>
              </w:tc>
              <w:tc>
                <w:tcPr>
                  <w:tcW w:w="860" w:type="dxa"/>
                  <w:noWrap w:val="0"/>
                  <w:vAlign w:val="center"/>
                </w:tcPr>
                <w:p w14:paraId="67A49CD6">
                  <w:pPr>
                    <w:topLinePunct/>
                    <w:adjustRightInd w:val="0"/>
                    <w:snapToGrid w:val="0"/>
                    <w:spacing w:line="0" w:lineRule="atLeast"/>
                    <w:ind w:left="1" w:leftChars="-34" w:right="-109" w:rightChars="-52" w:hanging="72" w:hangingChars="45"/>
                    <w:jc w:val="center"/>
                    <w:rPr>
                      <w:rFonts w:hint="default" w:ascii="Times New Roman" w:hAnsi="Times New Roman" w:cs="Times New Roman"/>
                      <w:color w:val="000000" w:themeColor="text1"/>
                      <w:spacing w:val="-10"/>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pacing w:val="-10"/>
                      <w:sz w:val="18"/>
                      <w:szCs w:val="18"/>
                      <w:highlight w:val="none"/>
                      <w:lang w:val="en-US" w:eastAsia="zh-CN"/>
                      <w14:textFill>
                        <w14:solidFill>
                          <w14:schemeClr w14:val="tx1"/>
                        </w14:solidFill>
                      </w14:textFill>
                    </w:rPr>
                    <w:t>841-00</w:t>
                  </w: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3</w:t>
                  </w:r>
                  <w:r>
                    <w:rPr>
                      <w:rFonts w:hint="default" w:ascii="Times New Roman" w:hAnsi="Times New Roman" w:cs="Times New Roman"/>
                      <w:color w:val="000000" w:themeColor="text1"/>
                      <w:spacing w:val="-10"/>
                      <w:sz w:val="18"/>
                      <w:szCs w:val="18"/>
                      <w:highlight w:val="none"/>
                      <w:lang w:val="en-US" w:eastAsia="zh-CN"/>
                      <w14:textFill>
                        <w14:solidFill>
                          <w14:schemeClr w14:val="tx1"/>
                        </w14:solidFill>
                      </w14:textFill>
                    </w:rPr>
                    <w:t>-01</w:t>
                  </w:r>
                </w:p>
              </w:tc>
              <w:tc>
                <w:tcPr>
                  <w:tcW w:w="628" w:type="dxa"/>
                  <w:noWrap w:val="0"/>
                  <w:vAlign w:val="center"/>
                </w:tcPr>
                <w:p w14:paraId="5C806209">
                  <w:pPr>
                    <w:spacing w:line="0" w:lineRule="atLeast"/>
                    <w:ind w:left="1" w:leftChars="-34" w:right="-109" w:rightChars="-52" w:hanging="72" w:hangingChars="45"/>
                    <w:jc w:val="center"/>
                    <w:rPr>
                      <w:rFonts w:hint="default" w:ascii="Times New Roman" w:hAnsi="Times New Roman" w:eastAsia="宋体" w:cs="Times New Roman"/>
                      <w:color w:val="000000" w:themeColor="text1"/>
                      <w:spacing w:val="-1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1.3</w:t>
                  </w:r>
                </w:p>
              </w:tc>
              <w:tc>
                <w:tcPr>
                  <w:tcW w:w="661" w:type="dxa"/>
                  <w:vMerge w:val="continue"/>
                  <w:noWrap w:val="0"/>
                  <w:vAlign w:val="center"/>
                </w:tcPr>
                <w:p w14:paraId="7FC104D2">
                  <w:pPr>
                    <w:tabs>
                      <w:tab w:val="left" w:pos="484"/>
                    </w:tabs>
                    <w:topLinePunct/>
                    <w:adjustRightInd w:val="0"/>
                    <w:snapToGrid w:val="0"/>
                    <w:spacing w:line="0" w:lineRule="atLeast"/>
                    <w:ind w:left="-105" w:leftChars="-50" w:right="-105" w:rightChars="-50" w:firstLine="16" w:firstLineChars="10"/>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p>
              </w:tc>
              <w:tc>
                <w:tcPr>
                  <w:tcW w:w="442" w:type="dxa"/>
                  <w:noWrap w:val="0"/>
                  <w:vAlign w:val="center"/>
                </w:tcPr>
                <w:p w14:paraId="02714E3D">
                  <w:pPr>
                    <w:spacing w:line="0" w:lineRule="atLeast"/>
                    <w:ind w:left="-88" w:leftChars="-42" w:right="-109" w:rightChars="-52"/>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固态</w:t>
                  </w:r>
                </w:p>
              </w:tc>
              <w:tc>
                <w:tcPr>
                  <w:tcW w:w="868" w:type="dxa"/>
                  <w:vMerge w:val="continue"/>
                  <w:noWrap w:val="0"/>
                  <w:vAlign w:val="center"/>
                </w:tcPr>
                <w:p w14:paraId="2CDB4C8B">
                  <w:pPr>
                    <w:spacing w:line="0" w:lineRule="atLeast"/>
                    <w:ind w:left="-88" w:leftChars="-42" w:right="-109" w:rightChars="-52"/>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756" w:type="dxa"/>
                  <w:noWrap w:val="0"/>
                  <w:vAlign w:val="center"/>
                </w:tcPr>
                <w:p w14:paraId="195C09FD">
                  <w:pPr>
                    <w:spacing w:line="0" w:lineRule="atLeast"/>
                    <w:ind w:left="-88" w:leftChars="-42" w:right="-109" w:rightChars="-52"/>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病菌</w:t>
                  </w:r>
                </w:p>
              </w:tc>
              <w:tc>
                <w:tcPr>
                  <w:tcW w:w="579" w:type="dxa"/>
                  <w:noWrap w:val="0"/>
                  <w:vAlign w:val="center"/>
                </w:tcPr>
                <w:p w14:paraId="767BD676">
                  <w:pPr>
                    <w:keepNext w:val="0"/>
                    <w:keepLines w:val="0"/>
                    <w:pageBreakBefore w:val="0"/>
                    <w:widowControl w:val="0"/>
                    <w:kinsoku/>
                    <w:wordWrap/>
                    <w:overflowPunct/>
                    <w:topLinePunct/>
                    <w:autoSpaceDE/>
                    <w:autoSpaceDN/>
                    <w:bidi w:val="0"/>
                    <w:adjustRightInd w:val="0"/>
                    <w:snapToGrid w:val="0"/>
                    <w:spacing w:line="0" w:lineRule="atLeast"/>
                    <w:ind w:left="-105" w:leftChars="-50" w:right="-105" w:rightChars="-50"/>
                    <w:jc w:val="center"/>
                    <w:textAlignment w:val="auto"/>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1天</w:t>
                  </w:r>
                </w:p>
              </w:tc>
              <w:tc>
                <w:tcPr>
                  <w:tcW w:w="718" w:type="dxa"/>
                  <w:noWrap w:val="0"/>
                  <w:vAlign w:val="center"/>
                </w:tcPr>
                <w:p w14:paraId="183E826D">
                  <w:pPr>
                    <w:topLinePunct/>
                    <w:adjustRightInd w:val="0"/>
                    <w:snapToGrid w:val="0"/>
                    <w:ind w:left="-105" w:leftChars="-50" w:right="-105" w:rightChars="-5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In</w:t>
                  </w:r>
                </w:p>
              </w:tc>
              <w:tc>
                <w:tcPr>
                  <w:tcW w:w="948" w:type="dxa"/>
                  <w:vMerge w:val="continue"/>
                  <w:noWrap w:val="0"/>
                  <w:vAlign w:val="center"/>
                </w:tcPr>
                <w:p w14:paraId="474507FD">
                  <w:pPr>
                    <w:topLinePunct/>
                    <w:adjustRightInd w:val="0"/>
                    <w:snapToGrid w:val="0"/>
                    <w:spacing w:line="0" w:lineRule="atLeast"/>
                    <w:ind w:left="-105" w:leftChars="-50" w:right="-103" w:rightChars="-49"/>
                    <w:jc w:val="cente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p>
              </w:tc>
            </w:tr>
            <w:tr w14:paraId="59854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noWrap w:val="0"/>
                  <w:vAlign w:val="center"/>
                </w:tcPr>
                <w:p w14:paraId="5F48AD9B">
                  <w:pPr>
                    <w:topLinePunct/>
                    <w:adjustRightInd w:val="0"/>
                    <w:snapToGrid w:val="0"/>
                    <w:spacing w:line="0" w:lineRule="atLeast"/>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p>
              </w:tc>
              <w:tc>
                <w:tcPr>
                  <w:tcW w:w="701" w:type="dxa"/>
                  <w:vMerge w:val="continue"/>
                  <w:noWrap w:val="0"/>
                  <w:vAlign w:val="center"/>
                </w:tcPr>
                <w:p w14:paraId="2D76001F">
                  <w:pPr>
                    <w:spacing w:line="0" w:lineRule="atLeast"/>
                    <w:ind w:left="-66" w:leftChars="-45" w:right="-151" w:rightChars="-72" w:hanging="28" w:hangingChars="16"/>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553" w:type="dxa"/>
                  <w:vMerge w:val="continue"/>
                  <w:noWrap w:val="0"/>
                  <w:vAlign w:val="center"/>
                </w:tcPr>
                <w:p w14:paraId="431070B1">
                  <w:pPr>
                    <w:spacing w:line="0" w:lineRule="atLeast"/>
                    <w:ind w:left="1" w:leftChars="-34" w:right="-109" w:rightChars="-52" w:hanging="72" w:hangingChars="45"/>
                    <w:jc w:val="center"/>
                    <w:rPr>
                      <w:rFonts w:hint="default" w:ascii="Times New Roman" w:hAnsi="Times New Roman" w:cs="Times New Roman"/>
                      <w:color w:val="000000" w:themeColor="text1"/>
                      <w:spacing w:val="-10"/>
                      <w:sz w:val="18"/>
                      <w:szCs w:val="18"/>
                      <w:highlight w:val="none"/>
                      <w14:textFill>
                        <w14:solidFill>
                          <w14:schemeClr w14:val="tx1"/>
                        </w14:solidFill>
                      </w14:textFill>
                    </w:rPr>
                  </w:pPr>
                </w:p>
              </w:tc>
              <w:tc>
                <w:tcPr>
                  <w:tcW w:w="860" w:type="dxa"/>
                  <w:noWrap w:val="0"/>
                  <w:vAlign w:val="center"/>
                </w:tcPr>
                <w:p w14:paraId="700BE359">
                  <w:pPr>
                    <w:topLinePunct/>
                    <w:adjustRightInd w:val="0"/>
                    <w:snapToGrid w:val="0"/>
                    <w:spacing w:line="0" w:lineRule="atLeast"/>
                    <w:ind w:left="1" w:leftChars="-34" w:right="-109" w:rightChars="-52" w:hanging="72" w:hangingChars="45"/>
                    <w:jc w:val="center"/>
                    <w:rPr>
                      <w:rFonts w:hint="default" w:ascii="Times New Roman" w:hAnsi="Times New Roman" w:cs="Times New Roman"/>
                      <w:color w:val="000000" w:themeColor="text1"/>
                      <w:spacing w:val="-10"/>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pacing w:val="-10"/>
                      <w:sz w:val="18"/>
                      <w:szCs w:val="18"/>
                      <w:highlight w:val="none"/>
                      <w:lang w:val="en-US" w:eastAsia="zh-CN"/>
                      <w14:textFill>
                        <w14:solidFill>
                          <w14:schemeClr w14:val="tx1"/>
                        </w14:solidFill>
                      </w14:textFill>
                    </w:rPr>
                    <w:t>841-00</w:t>
                  </w: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4</w:t>
                  </w:r>
                  <w:r>
                    <w:rPr>
                      <w:rFonts w:hint="default" w:ascii="Times New Roman" w:hAnsi="Times New Roman" w:cs="Times New Roman"/>
                      <w:color w:val="000000" w:themeColor="text1"/>
                      <w:spacing w:val="-10"/>
                      <w:sz w:val="18"/>
                      <w:szCs w:val="18"/>
                      <w:highlight w:val="none"/>
                      <w:lang w:val="en-US" w:eastAsia="zh-CN"/>
                      <w14:textFill>
                        <w14:solidFill>
                          <w14:schemeClr w14:val="tx1"/>
                        </w14:solidFill>
                      </w14:textFill>
                    </w:rPr>
                    <w:t>-01</w:t>
                  </w:r>
                </w:p>
              </w:tc>
              <w:tc>
                <w:tcPr>
                  <w:tcW w:w="628" w:type="dxa"/>
                  <w:noWrap w:val="0"/>
                  <w:vAlign w:val="center"/>
                </w:tcPr>
                <w:p w14:paraId="161F03F6">
                  <w:pPr>
                    <w:spacing w:line="0" w:lineRule="atLeast"/>
                    <w:ind w:left="1" w:leftChars="-34" w:right="-109" w:rightChars="-52" w:hanging="72" w:hangingChars="45"/>
                    <w:jc w:val="center"/>
                    <w:rPr>
                      <w:rFonts w:hint="default" w:ascii="Times New Roman" w:hAnsi="Times New Roman" w:eastAsia="宋体" w:cs="Times New Roman"/>
                      <w:color w:val="000000" w:themeColor="text1"/>
                      <w:spacing w:val="-1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0.14</w:t>
                  </w:r>
                </w:p>
              </w:tc>
              <w:tc>
                <w:tcPr>
                  <w:tcW w:w="661" w:type="dxa"/>
                  <w:vMerge w:val="continue"/>
                  <w:noWrap w:val="0"/>
                  <w:vAlign w:val="center"/>
                </w:tcPr>
                <w:p w14:paraId="3BDEFA7C">
                  <w:pPr>
                    <w:tabs>
                      <w:tab w:val="left" w:pos="484"/>
                    </w:tabs>
                    <w:topLinePunct/>
                    <w:adjustRightInd w:val="0"/>
                    <w:snapToGrid w:val="0"/>
                    <w:spacing w:line="0" w:lineRule="atLeast"/>
                    <w:ind w:left="-105" w:leftChars="-50" w:right="-105" w:rightChars="-50" w:firstLine="16" w:firstLineChars="10"/>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p>
              </w:tc>
              <w:tc>
                <w:tcPr>
                  <w:tcW w:w="442" w:type="dxa"/>
                  <w:noWrap w:val="0"/>
                  <w:vAlign w:val="center"/>
                </w:tcPr>
                <w:p w14:paraId="13E2EE02">
                  <w:pPr>
                    <w:spacing w:line="0" w:lineRule="atLeast"/>
                    <w:ind w:left="-88" w:leftChars="-42" w:right="-109" w:rightChars="-52"/>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固态</w:t>
                  </w:r>
                </w:p>
              </w:tc>
              <w:tc>
                <w:tcPr>
                  <w:tcW w:w="868" w:type="dxa"/>
                  <w:vMerge w:val="continue"/>
                  <w:noWrap w:val="0"/>
                  <w:vAlign w:val="center"/>
                </w:tcPr>
                <w:p w14:paraId="3ADAB8C7">
                  <w:pPr>
                    <w:spacing w:line="0" w:lineRule="atLeast"/>
                    <w:ind w:left="-88" w:leftChars="-42" w:right="-109" w:rightChars="-52"/>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756" w:type="dxa"/>
                  <w:noWrap w:val="0"/>
                  <w:vAlign w:val="center"/>
                </w:tcPr>
                <w:p w14:paraId="4804020D">
                  <w:pPr>
                    <w:spacing w:line="0" w:lineRule="atLeast"/>
                    <w:ind w:left="-88" w:leftChars="-42" w:right="-109" w:rightChars="-52"/>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化学试剂</w:t>
                  </w:r>
                </w:p>
              </w:tc>
              <w:tc>
                <w:tcPr>
                  <w:tcW w:w="579" w:type="dxa"/>
                  <w:noWrap w:val="0"/>
                  <w:vAlign w:val="center"/>
                </w:tcPr>
                <w:p w14:paraId="46BE9DEB">
                  <w:pPr>
                    <w:keepNext w:val="0"/>
                    <w:keepLines w:val="0"/>
                    <w:pageBreakBefore w:val="0"/>
                    <w:widowControl w:val="0"/>
                    <w:kinsoku/>
                    <w:wordWrap/>
                    <w:overflowPunct/>
                    <w:topLinePunct/>
                    <w:autoSpaceDE/>
                    <w:autoSpaceDN/>
                    <w:bidi w:val="0"/>
                    <w:adjustRightInd w:val="0"/>
                    <w:snapToGrid w:val="0"/>
                    <w:spacing w:line="0" w:lineRule="atLeast"/>
                    <w:ind w:left="-105" w:leftChars="-50" w:right="-105" w:rightChars="-50"/>
                    <w:jc w:val="center"/>
                    <w:textAlignment w:val="auto"/>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1天</w:t>
                  </w:r>
                </w:p>
              </w:tc>
              <w:tc>
                <w:tcPr>
                  <w:tcW w:w="718" w:type="dxa"/>
                  <w:noWrap w:val="0"/>
                  <w:vAlign w:val="center"/>
                </w:tcPr>
                <w:p w14:paraId="5F3B6BF2">
                  <w:pPr>
                    <w:topLinePunct/>
                    <w:adjustRightInd w:val="0"/>
                    <w:snapToGrid w:val="0"/>
                    <w:ind w:left="-105" w:leftChars="-50" w:right="-105" w:rightChars="-5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T/C/I/R</w:t>
                  </w:r>
                </w:p>
              </w:tc>
              <w:tc>
                <w:tcPr>
                  <w:tcW w:w="948" w:type="dxa"/>
                  <w:vMerge w:val="continue"/>
                  <w:noWrap w:val="0"/>
                  <w:vAlign w:val="center"/>
                </w:tcPr>
                <w:p w14:paraId="378BDA69">
                  <w:pPr>
                    <w:topLinePunct/>
                    <w:adjustRightInd w:val="0"/>
                    <w:snapToGrid w:val="0"/>
                    <w:spacing w:line="0" w:lineRule="atLeast"/>
                    <w:ind w:left="-105" w:leftChars="-50" w:right="-103" w:rightChars="-49"/>
                    <w:jc w:val="cente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p>
              </w:tc>
            </w:tr>
            <w:tr w14:paraId="27311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vMerge w:val="continue"/>
                  <w:noWrap w:val="0"/>
                  <w:vAlign w:val="center"/>
                </w:tcPr>
                <w:p w14:paraId="6FE35CDD">
                  <w:pPr>
                    <w:topLinePunct/>
                    <w:adjustRightInd w:val="0"/>
                    <w:snapToGrid w:val="0"/>
                    <w:spacing w:line="0" w:lineRule="atLeast"/>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p>
              </w:tc>
              <w:tc>
                <w:tcPr>
                  <w:tcW w:w="701" w:type="dxa"/>
                  <w:vMerge w:val="continue"/>
                  <w:noWrap w:val="0"/>
                  <w:vAlign w:val="center"/>
                </w:tcPr>
                <w:p w14:paraId="6E29801F">
                  <w:pPr>
                    <w:spacing w:line="0" w:lineRule="atLeast"/>
                    <w:ind w:left="-66" w:leftChars="-45" w:right="-151" w:rightChars="-72" w:hanging="28" w:hangingChars="16"/>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553" w:type="dxa"/>
                  <w:vMerge w:val="continue"/>
                  <w:noWrap w:val="0"/>
                  <w:vAlign w:val="center"/>
                </w:tcPr>
                <w:p w14:paraId="272BC530">
                  <w:pPr>
                    <w:spacing w:line="0" w:lineRule="atLeast"/>
                    <w:ind w:left="1" w:leftChars="-34" w:right="-109" w:rightChars="-52" w:hanging="72" w:hangingChars="45"/>
                    <w:jc w:val="center"/>
                    <w:rPr>
                      <w:rFonts w:hint="default" w:ascii="Times New Roman" w:hAnsi="Times New Roman" w:cs="Times New Roman"/>
                      <w:color w:val="000000" w:themeColor="text1"/>
                      <w:spacing w:val="-10"/>
                      <w:sz w:val="18"/>
                      <w:szCs w:val="18"/>
                      <w:highlight w:val="none"/>
                      <w14:textFill>
                        <w14:solidFill>
                          <w14:schemeClr w14:val="tx1"/>
                        </w14:solidFill>
                      </w14:textFill>
                    </w:rPr>
                  </w:pPr>
                </w:p>
              </w:tc>
              <w:tc>
                <w:tcPr>
                  <w:tcW w:w="860" w:type="dxa"/>
                  <w:noWrap w:val="0"/>
                  <w:vAlign w:val="center"/>
                </w:tcPr>
                <w:p w14:paraId="52634FEC">
                  <w:pPr>
                    <w:topLinePunct/>
                    <w:adjustRightInd w:val="0"/>
                    <w:snapToGrid w:val="0"/>
                    <w:spacing w:line="0" w:lineRule="atLeast"/>
                    <w:ind w:left="1" w:leftChars="-34" w:right="-109" w:rightChars="-52" w:hanging="72" w:hangingChars="45"/>
                    <w:jc w:val="center"/>
                    <w:rPr>
                      <w:rFonts w:hint="default" w:ascii="Times New Roman" w:hAnsi="Times New Roman" w:cs="Times New Roman"/>
                      <w:color w:val="000000" w:themeColor="text1"/>
                      <w:spacing w:val="-10"/>
                      <w:sz w:val="18"/>
                      <w:szCs w:val="18"/>
                      <w:highlight w:val="none"/>
                      <w14:textFill>
                        <w14:solidFill>
                          <w14:schemeClr w14:val="tx1"/>
                        </w14:solidFill>
                      </w14:textFill>
                    </w:rPr>
                  </w:pPr>
                  <w:r>
                    <w:rPr>
                      <w:rFonts w:hint="default" w:ascii="Times New Roman" w:hAnsi="Times New Roman" w:cs="Times New Roman"/>
                      <w:color w:val="000000" w:themeColor="text1"/>
                      <w:spacing w:val="-10"/>
                      <w:sz w:val="18"/>
                      <w:szCs w:val="18"/>
                      <w:highlight w:val="none"/>
                      <w:lang w:val="en-US" w:eastAsia="zh-CN"/>
                      <w14:textFill>
                        <w14:solidFill>
                          <w14:schemeClr w14:val="tx1"/>
                        </w14:solidFill>
                      </w14:textFill>
                    </w:rPr>
                    <w:t>841-00</w:t>
                  </w: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5</w:t>
                  </w:r>
                  <w:r>
                    <w:rPr>
                      <w:rFonts w:hint="default" w:ascii="Times New Roman" w:hAnsi="Times New Roman" w:cs="Times New Roman"/>
                      <w:color w:val="000000" w:themeColor="text1"/>
                      <w:spacing w:val="-10"/>
                      <w:sz w:val="18"/>
                      <w:szCs w:val="18"/>
                      <w:highlight w:val="none"/>
                      <w:lang w:val="en-US" w:eastAsia="zh-CN"/>
                      <w14:textFill>
                        <w14:solidFill>
                          <w14:schemeClr w14:val="tx1"/>
                        </w14:solidFill>
                      </w14:textFill>
                    </w:rPr>
                    <w:t>-01</w:t>
                  </w:r>
                </w:p>
              </w:tc>
              <w:tc>
                <w:tcPr>
                  <w:tcW w:w="628" w:type="dxa"/>
                  <w:noWrap w:val="0"/>
                  <w:vAlign w:val="center"/>
                </w:tcPr>
                <w:p w14:paraId="1A8C7875">
                  <w:pPr>
                    <w:spacing w:line="0" w:lineRule="atLeast"/>
                    <w:ind w:left="1" w:leftChars="-34" w:right="-109" w:rightChars="-52" w:hanging="72" w:hangingChars="45"/>
                    <w:jc w:val="center"/>
                    <w:rPr>
                      <w:rFonts w:hint="default" w:ascii="Times New Roman" w:hAnsi="Times New Roman" w:eastAsia="宋体" w:cs="Times New Roman"/>
                      <w:color w:val="000000" w:themeColor="text1"/>
                      <w:spacing w:val="-1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0.05</w:t>
                  </w:r>
                </w:p>
              </w:tc>
              <w:tc>
                <w:tcPr>
                  <w:tcW w:w="661" w:type="dxa"/>
                  <w:vMerge w:val="continue"/>
                  <w:noWrap w:val="0"/>
                  <w:vAlign w:val="center"/>
                </w:tcPr>
                <w:p w14:paraId="644A6CD7">
                  <w:pPr>
                    <w:tabs>
                      <w:tab w:val="left" w:pos="484"/>
                    </w:tabs>
                    <w:topLinePunct/>
                    <w:adjustRightInd w:val="0"/>
                    <w:snapToGrid w:val="0"/>
                    <w:spacing w:line="0" w:lineRule="atLeast"/>
                    <w:ind w:left="-105" w:leftChars="-50" w:right="-105" w:rightChars="-50" w:firstLine="16" w:firstLineChars="10"/>
                    <w:jc w:val="center"/>
                    <w:rPr>
                      <w:rFonts w:hint="default" w:ascii="Times New Roman" w:hAnsi="Times New Roman" w:cs="Times New Roman"/>
                      <w:color w:val="000000" w:themeColor="text1"/>
                      <w:spacing w:val="-10"/>
                      <w:kern w:val="0"/>
                      <w:sz w:val="18"/>
                      <w:szCs w:val="18"/>
                      <w:highlight w:val="none"/>
                      <w14:textFill>
                        <w14:solidFill>
                          <w14:schemeClr w14:val="tx1"/>
                        </w14:solidFill>
                      </w14:textFill>
                    </w:rPr>
                  </w:pPr>
                </w:p>
              </w:tc>
              <w:tc>
                <w:tcPr>
                  <w:tcW w:w="442" w:type="dxa"/>
                  <w:noWrap w:val="0"/>
                  <w:vAlign w:val="center"/>
                </w:tcPr>
                <w:p w14:paraId="34D6FE2E">
                  <w:pPr>
                    <w:spacing w:line="0" w:lineRule="atLeast"/>
                    <w:ind w:left="-88" w:leftChars="-42" w:right="-109" w:rightChars="-52"/>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固态</w:t>
                  </w:r>
                </w:p>
              </w:tc>
              <w:tc>
                <w:tcPr>
                  <w:tcW w:w="868" w:type="dxa"/>
                  <w:vMerge w:val="continue"/>
                  <w:noWrap w:val="0"/>
                  <w:vAlign w:val="center"/>
                </w:tcPr>
                <w:p w14:paraId="66EAA1A9">
                  <w:pPr>
                    <w:spacing w:line="0" w:lineRule="atLeast"/>
                    <w:ind w:left="-88" w:leftChars="-42" w:right="-109" w:rightChars="-52"/>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756" w:type="dxa"/>
                  <w:noWrap w:val="0"/>
                  <w:vAlign w:val="center"/>
                </w:tcPr>
                <w:p w14:paraId="639FC39D">
                  <w:pPr>
                    <w:spacing w:line="0" w:lineRule="atLeast"/>
                    <w:ind w:left="-88" w:leftChars="-42" w:right="-109" w:rightChars="-52"/>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药品</w:t>
                  </w:r>
                </w:p>
              </w:tc>
              <w:tc>
                <w:tcPr>
                  <w:tcW w:w="579" w:type="dxa"/>
                  <w:noWrap w:val="0"/>
                  <w:vAlign w:val="center"/>
                </w:tcPr>
                <w:p w14:paraId="56876BEF">
                  <w:pPr>
                    <w:keepNext w:val="0"/>
                    <w:keepLines w:val="0"/>
                    <w:pageBreakBefore w:val="0"/>
                    <w:widowControl w:val="0"/>
                    <w:kinsoku/>
                    <w:wordWrap/>
                    <w:overflowPunct/>
                    <w:topLinePunct/>
                    <w:autoSpaceDE/>
                    <w:autoSpaceDN/>
                    <w:bidi w:val="0"/>
                    <w:adjustRightInd w:val="0"/>
                    <w:snapToGrid w:val="0"/>
                    <w:spacing w:line="0" w:lineRule="atLeast"/>
                    <w:ind w:left="-105" w:leftChars="-50" w:right="-105" w:rightChars="-50"/>
                    <w:jc w:val="center"/>
                    <w:textAlignment w:val="auto"/>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1天</w:t>
                  </w:r>
                </w:p>
              </w:tc>
              <w:tc>
                <w:tcPr>
                  <w:tcW w:w="718" w:type="dxa"/>
                  <w:noWrap w:val="0"/>
                  <w:vAlign w:val="center"/>
                </w:tcPr>
                <w:p w14:paraId="0871F606">
                  <w:pPr>
                    <w:topLinePunct/>
                    <w:adjustRightInd w:val="0"/>
                    <w:snapToGrid w:val="0"/>
                    <w:ind w:left="-105" w:leftChars="-50" w:right="-105" w:rightChars="-50"/>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T</w:t>
                  </w:r>
                </w:p>
              </w:tc>
              <w:tc>
                <w:tcPr>
                  <w:tcW w:w="948" w:type="dxa"/>
                  <w:vMerge w:val="continue"/>
                  <w:noWrap w:val="0"/>
                  <w:vAlign w:val="center"/>
                </w:tcPr>
                <w:p w14:paraId="1146A29D">
                  <w:pPr>
                    <w:topLinePunct/>
                    <w:adjustRightInd w:val="0"/>
                    <w:snapToGrid w:val="0"/>
                    <w:spacing w:line="0" w:lineRule="atLeast"/>
                    <w:ind w:left="-105" w:leftChars="-50" w:right="-103" w:rightChars="-49"/>
                    <w:jc w:val="cente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p>
              </w:tc>
            </w:tr>
            <w:tr w14:paraId="1A4B4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noWrap w:val="0"/>
                  <w:vAlign w:val="center"/>
                </w:tcPr>
                <w:p w14:paraId="34D09E07">
                  <w:pPr>
                    <w:topLinePunct/>
                    <w:adjustRightInd w:val="0"/>
                    <w:snapToGrid w:val="0"/>
                    <w:spacing w:line="0" w:lineRule="atLeast"/>
                    <w:jc w:val="center"/>
                    <w:rPr>
                      <w:rFonts w:hint="eastAsia" w:ascii="Times New Roman" w:hAnsi="Times New Roman" w:eastAsia="宋体" w:cs="Times New Roman"/>
                      <w:color w:val="000000" w:themeColor="text1"/>
                      <w:spacing w:val="-10"/>
                      <w:kern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2</w:t>
                  </w:r>
                </w:p>
              </w:tc>
              <w:tc>
                <w:tcPr>
                  <w:tcW w:w="701" w:type="dxa"/>
                  <w:noWrap w:val="0"/>
                  <w:vAlign w:val="center"/>
                </w:tcPr>
                <w:p w14:paraId="459E9B00">
                  <w:pPr>
                    <w:spacing w:line="0" w:lineRule="atLeast"/>
                    <w:ind w:left="-66" w:leftChars="-45" w:right="-151" w:rightChars="-72" w:hanging="28" w:hangingChars="16"/>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废活性炭</w:t>
                  </w:r>
                </w:p>
              </w:tc>
              <w:tc>
                <w:tcPr>
                  <w:tcW w:w="553" w:type="dxa"/>
                  <w:noWrap w:val="0"/>
                  <w:vAlign w:val="center"/>
                </w:tcPr>
                <w:p w14:paraId="610273AF">
                  <w:pPr>
                    <w:spacing w:line="0" w:lineRule="atLeast"/>
                    <w:ind w:left="1" w:leftChars="-34" w:right="-109" w:rightChars="-52" w:hanging="72" w:hangingChars="45"/>
                    <w:jc w:val="center"/>
                    <w:rPr>
                      <w:rFonts w:hint="default" w:ascii="Times New Roman" w:hAnsi="Times New Roman" w:eastAsia="宋体" w:cs="Times New Roman"/>
                      <w:color w:val="000000" w:themeColor="text1"/>
                      <w:spacing w:val="-1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HW49</w:t>
                  </w:r>
                </w:p>
              </w:tc>
              <w:tc>
                <w:tcPr>
                  <w:tcW w:w="860" w:type="dxa"/>
                  <w:noWrap w:val="0"/>
                  <w:vAlign w:val="center"/>
                </w:tcPr>
                <w:p w14:paraId="11AC6A33">
                  <w:pPr>
                    <w:topLinePunct/>
                    <w:adjustRightInd w:val="0"/>
                    <w:snapToGrid w:val="0"/>
                    <w:spacing w:line="0" w:lineRule="atLeast"/>
                    <w:ind w:left="1" w:leftChars="-34" w:right="-109" w:rightChars="-52" w:hanging="72" w:hangingChars="45"/>
                    <w:jc w:val="center"/>
                    <w:rPr>
                      <w:rFonts w:hint="default" w:ascii="Times New Roman" w:hAnsi="Times New Roman" w:cs="Times New Roman"/>
                      <w:color w:val="000000" w:themeColor="text1"/>
                      <w:spacing w:val="-1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900-041-49</w:t>
                  </w:r>
                </w:p>
              </w:tc>
              <w:tc>
                <w:tcPr>
                  <w:tcW w:w="628" w:type="dxa"/>
                  <w:noWrap w:val="0"/>
                  <w:vAlign w:val="center"/>
                </w:tcPr>
                <w:p w14:paraId="26223430">
                  <w:pPr>
                    <w:spacing w:line="0" w:lineRule="atLeast"/>
                    <w:ind w:left="1" w:leftChars="-34" w:right="-109" w:rightChars="-52" w:hanging="72" w:hangingChars="45"/>
                    <w:jc w:val="center"/>
                    <w:rPr>
                      <w:rFonts w:hint="default" w:ascii="Times New Roman" w:hAnsi="Times New Roman" w:cs="Times New Roman"/>
                      <w:color w:val="000000" w:themeColor="text1"/>
                      <w:spacing w:val="-1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0.0143</w:t>
                  </w:r>
                </w:p>
              </w:tc>
              <w:tc>
                <w:tcPr>
                  <w:tcW w:w="661" w:type="dxa"/>
                  <w:noWrap w:val="0"/>
                  <w:vAlign w:val="center"/>
                </w:tcPr>
                <w:p w14:paraId="5C7FCBB9">
                  <w:pPr>
                    <w:tabs>
                      <w:tab w:val="left" w:pos="484"/>
                    </w:tabs>
                    <w:topLinePunct/>
                    <w:adjustRightInd w:val="0"/>
                    <w:snapToGrid w:val="0"/>
                    <w:spacing w:line="0" w:lineRule="atLeast"/>
                    <w:ind w:left="-105" w:leftChars="-50" w:right="-105" w:rightChars="-50" w:firstLine="16" w:firstLineChars="10"/>
                    <w:jc w:val="center"/>
                    <w:rPr>
                      <w:rFonts w:hint="default" w:ascii="Times New Roman" w:hAnsi="Times New Roman" w:eastAsia="宋体" w:cs="Times New Roman"/>
                      <w:color w:val="000000" w:themeColor="text1"/>
                      <w:spacing w:val="-10"/>
                      <w:kern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污水处理站恶臭处理</w:t>
                  </w:r>
                </w:p>
              </w:tc>
              <w:tc>
                <w:tcPr>
                  <w:tcW w:w="442" w:type="dxa"/>
                  <w:noWrap w:val="0"/>
                  <w:vAlign w:val="center"/>
                </w:tcPr>
                <w:p w14:paraId="62D8C41F">
                  <w:pPr>
                    <w:spacing w:line="0" w:lineRule="atLeast"/>
                    <w:ind w:left="-88" w:leftChars="-42" w:right="-109" w:rightChars="-52"/>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固态</w:t>
                  </w:r>
                </w:p>
              </w:tc>
              <w:tc>
                <w:tcPr>
                  <w:tcW w:w="868" w:type="dxa"/>
                  <w:noWrap w:val="0"/>
                  <w:vAlign w:val="center"/>
                </w:tcPr>
                <w:p w14:paraId="7A5C8E67">
                  <w:pPr>
                    <w:spacing w:line="0" w:lineRule="atLeast"/>
                    <w:ind w:left="-88" w:leftChars="-42" w:right="-109" w:rightChars="-52"/>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活性炭、NH</w:t>
                  </w:r>
                  <w:r>
                    <w:rPr>
                      <w:rFonts w:hint="eastAsia" w:ascii="Times New Roman" w:hAnsi="Times New Roman" w:cs="Times New Roman"/>
                      <w:color w:val="000000" w:themeColor="text1"/>
                      <w:sz w:val="18"/>
                      <w:szCs w:val="18"/>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、H</w:t>
                  </w:r>
                  <w:r>
                    <w:rPr>
                      <w:rFonts w:hint="eastAsia" w:ascii="Times New Roman" w:hAnsi="Times New Roman" w:cs="Times New Roman"/>
                      <w:color w:val="000000" w:themeColor="text1"/>
                      <w:sz w:val="18"/>
                      <w:szCs w:val="18"/>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S</w:t>
                  </w:r>
                </w:p>
              </w:tc>
              <w:tc>
                <w:tcPr>
                  <w:tcW w:w="756" w:type="dxa"/>
                  <w:noWrap w:val="0"/>
                  <w:vAlign w:val="center"/>
                </w:tcPr>
                <w:p w14:paraId="7508F8ED">
                  <w:pPr>
                    <w:spacing w:line="0" w:lineRule="atLeast"/>
                    <w:ind w:left="-88" w:leftChars="-42" w:right="-109" w:rightChars="-52"/>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NH</w:t>
                  </w:r>
                  <w:r>
                    <w:rPr>
                      <w:rFonts w:hint="eastAsia" w:ascii="Times New Roman" w:hAnsi="Times New Roman" w:cs="Times New Roman"/>
                      <w:color w:val="000000" w:themeColor="text1"/>
                      <w:sz w:val="18"/>
                      <w:szCs w:val="18"/>
                      <w:highlight w:val="none"/>
                      <w:vertAlign w:val="subscript"/>
                      <w:lang w:val="en-US" w:eastAsia="zh-CN"/>
                      <w14:textFill>
                        <w14:solidFill>
                          <w14:schemeClr w14:val="tx1"/>
                        </w14:solidFill>
                      </w14:textFill>
                    </w:rPr>
                    <w:t>3</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、H</w:t>
                  </w:r>
                  <w:r>
                    <w:rPr>
                      <w:rFonts w:hint="eastAsia" w:ascii="Times New Roman" w:hAnsi="Times New Roman" w:cs="Times New Roman"/>
                      <w:color w:val="000000" w:themeColor="text1"/>
                      <w:sz w:val="18"/>
                      <w:szCs w:val="18"/>
                      <w:highlight w:val="none"/>
                      <w:vertAlign w:val="subscript"/>
                      <w:lang w:val="en-US" w:eastAsia="zh-CN"/>
                      <w14:textFill>
                        <w14:solidFill>
                          <w14:schemeClr w14:val="tx1"/>
                        </w14:solidFill>
                      </w14:textFill>
                    </w:rPr>
                    <w:t>2</w:t>
                  </w:r>
                  <w:r>
                    <w:rPr>
                      <w:rFonts w:hint="eastAsia" w:ascii="Times New Roman" w:hAnsi="Times New Roman" w:cs="Times New Roman"/>
                      <w:color w:val="000000" w:themeColor="text1"/>
                      <w:sz w:val="18"/>
                      <w:szCs w:val="18"/>
                      <w:highlight w:val="none"/>
                      <w:vertAlign w:val="baseline"/>
                      <w:lang w:val="en-US" w:eastAsia="zh-CN"/>
                      <w14:textFill>
                        <w14:solidFill>
                          <w14:schemeClr w14:val="tx1"/>
                        </w14:solidFill>
                      </w14:textFill>
                    </w:rPr>
                    <w:t>S</w:t>
                  </w:r>
                </w:p>
              </w:tc>
              <w:tc>
                <w:tcPr>
                  <w:tcW w:w="579" w:type="dxa"/>
                  <w:noWrap w:val="0"/>
                  <w:vAlign w:val="center"/>
                </w:tcPr>
                <w:p w14:paraId="5197DAF8">
                  <w:pPr>
                    <w:keepNext w:val="0"/>
                    <w:keepLines w:val="0"/>
                    <w:pageBreakBefore w:val="0"/>
                    <w:widowControl w:val="0"/>
                    <w:kinsoku/>
                    <w:wordWrap/>
                    <w:overflowPunct/>
                    <w:topLinePunct/>
                    <w:autoSpaceDE/>
                    <w:autoSpaceDN/>
                    <w:bidi w:val="0"/>
                    <w:adjustRightInd w:val="0"/>
                    <w:snapToGrid w:val="0"/>
                    <w:spacing w:line="0" w:lineRule="atLeast"/>
                    <w:ind w:left="-105" w:leftChars="-50" w:right="-105" w:rightChars="-50"/>
                    <w:jc w:val="center"/>
                    <w:textAlignment w:val="auto"/>
                    <w:rPr>
                      <w:rFonts w:hint="default"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3个月</w:t>
                  </w:r>
                </w:p>
              </w:tc>
              <w:tc>
                <w:tcPr>
                  <w:tcW w:w="718" w:type="dxa"/>
                  <w:noWrap w:val="0"/>
                  <w:vAlign w:val="center"/>
                </w:tcPr>
                <w:p w14:paraId="189192B3">
                  <w:pPr>
                    <w:topLinePunct/>
                    <w:adjustRightInd w:val="0"/>
                    <w:snapToGrid w:val="0"/>
                    <w:ind w:left="-105" w:leftChars="-50" w:right="-105" w:rightChars="-5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T</w:t>
                  </w:r>
                </w:p>
              </w:tc>
              <w:tc>
                <w:tcPr>
                  <w:tcW w:w="948" w:type="dxa"/>
                  <w:vMerge w:val="continue"/>
                  <w:noWrap w:val="0"/>
                  <w:vAlign w:val="center"/>
                </w:tcPr>
                <w:p w14:paraId="70C71F18">
                  <w:pPr>
                    <w:topLinePunct/>
                    <w:adjustRightInd w:val="0"/>
                    <w:snapToGrid w:val="0"/>
                    <w:spacing w:line="0" w:lineRule="atLeast"/>
                    <w:ind w:left="-105" w:leftChars="-50" w:right="-103" w:rightChars="-49"/>
                    <w:jc w:val="cente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p>
              </w:tc>
            </w:tr>
            <w:tr w14:paraId="67C62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dxa"/>
                  <w:noWrap w:val="0"/>
                  <w:vAlign w:val="center"/>
                </w:tcPr>
                <w:p w14:paraId="1B7A825F">
                  <w:pPr>
                    <w:topLinePunct/>
                    <w:adjustRightInd w:val="0"/>
                    <w:snapToGrid w:val="0"/>
                    <w:spacing w:line="0" w:lineRule="atLeast"/>
                    <w:jc w:val="center"/>
                    <w:rPr>
                      <w:rFonts w:hint="default"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3</w:t>
                  </w:r>
                </w:p>
              </w:tc>
              <w:tc>
                <w:tcPr>
                  <w:tcW w:w="701" w:type="dxa"/>
                  <w:noWrap w:val="0"/>
                  <w:vAlign w:val="center"/>
                </w:tcPr>
                <w:p w14:paraId="493D3DDD">
                  <w:pPr>
                    <w:spacing w:line="0" w:lineRule="atLeast"/>
                    <w:ind w:left="-66" w:leftChars="-45" w:right="-151" w:rightChars="-72" w:hanging="28" w:hangingChars="16"/>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污泥</w:t>
                  </w:r>
                </w:p>
              </w:tc>
              <w:tc>
                <w:tcPr>
                  <w:tcW w:w="553" w:type="dxa"/>
                  <w:noWrap w:val="0"/>
                  <w:vAlign w:val="center"/>
                </w:tcPr>
                <w:p w14:paraId="11570233">
                  <w:pPr>
                    <w:spacing w:line="0" w:lineRule="atLeast"/>
                    <w:ind w:left="1" w:leftChars="-34" w:right="-109" w:rightChars="-52" w:hanging="72" w:hangingChars="45"/>
                    <w:jc w:val="cente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pacing w:val="-10"/>
                      <w:sz w:val="18"/>
                      <w:szCs w:val="18"/>
                      <w:highlight w:val="none"/>
                      <w14:textFill>
                        <w14:solidFill>
                          <w14:schemeClr w14:val="tx1"/>
                        </w14:solidFill>
                      </w14:textFill>
                    </w:rPr>
                    <w:t>HW</w:t>
                  </w: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01</w:t>
                  </w:r>
                </w:p>
              </w:tc>
              <w:tc>
                <w:tcPr>
                  <w:tcW w:w="860" w:type="dxa"/>
                  <w:noWrap w:val="0"/>
                  <w:vAlign w:val="center"/>
                </w:tcPr>
                <w:p w14:paraId="26723D84">
                  <w:pPr>
                    <w:topLinePunct/>
                    <w:adjustRightInd w:val="0"/>
                    <w:snapToGrid w:val="0"/>
                    <w:spacing w:line="0" w:lineRule="atLeast"/>
                    <w:ind w:left="1" w:leftChars="-34" w:right="-109" w:rightChars="-52" w:hanging="72" w:hangingChars="45"/>
                    <w:jc w:val="cente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841-001-01</w:t>
                  </w:r>
                </w:p>
              </w:tc>
              <w:tc>
                <w:tcPr>
                  <w:tcW w:w="628" w:type="dxa"/>
                  <w:noWrap w:val="0"/>
                  <w:vAlign w:val="center"/>
                </w:tcPr>
                <w:p w14:paraId="3B61287E">
                  <w:pPr>
                    <w:spacing w:line="0" w:lineRule="atLeast"/>
                    <w:ind w:left="1" w:leftChars="-34" w:right="-109" w:rightChars="-52" w:hanging="72" w:hangingChars="45"/>
                    <w:jc w:val="center"/>
                    <w:rPr>
                      <w:rFonts w:hint="default" w:ascii="Times New Roman" w:hAnsi="Times New Roman" w:cs="Times New Roman"/>
                      <w:color w:val="000000" w:themeColor="text1"/>
                      <w:spacing w:val="-1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sz w:val="18"/>
                      <w:szCs w:val="18"/>
                      <w:highlight w:val="none"/>
                      <w:lang w:val="en-US" w:eastAsia="zh-CN"/>
                      <w14:textFill>
                        <w14:solidFill>
                          <w14:schemeClr w14:val="tx1"/>
                        </w14:solidFill>
                      </w14:textFill>
                    </w:rPr>
                    <w:t>6.13</w:t>
                  </w:r>
                </w:p>
              </w:tc>
              <w:tc>
                <w:tcPr>
                  <w:tcW w:w="661" w:type="dxa"/>
                  <w:noWrap w:val="0"/>
                  <w:vAlign w:val="center"/>
                </w:tcPr>
                <w:p w14:paraId="41E13AD6">
                  <w:pPr>
                    <w:tabs>
                      <w:tab w:val="left" w:pos="484"/>
                    </w:tabs>
                    <w:topLinePunct/>
                    <w:adjustRightInd w:val="0"/>
                    <w:snapToGrid w:val="0"/>
                    <w:spacing w:line="0" w:lineRule="atLeast"/>
                    <w:ind w:left="-105" w:leftChars="-50" w:right="-105" w:rightChars="-50" w:firstLine="16" w:firstLineChars="10"/>
                    <w:jc w:val="cente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污水处理站</w:t>
                  </w:r>
                </w:p>
              </w:tc>
              <w:tc>
                <w:tcPr>
                  <w:tcW w:w="442" w:type="dxa"/>
                  <w:noWrap w:val="0"/>
                  <w:vAlign w:val="center"/>
                </w:tcPr>
                <w:p w14:paraId="07F97CA4">
                  <w:pPr>
                    <w:spacing w:line="0" w:lineRule="atLeast"/>
                    <w:ind w:left="-88" w:leftChars="-42" w:right="-109" w:rightChars="-52"/>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固态</w:t>
                  </w:r>
                </w:p>
              </w:tc>
              <w:tc>
                <w:tcPr>
                  <w:tcW w:w="868" w:type="dxa"/>
                  <w:noWrap w:val="0"/>
                  <w:vAlign w:val="center"/>
                </w:tcPr>
                <w:p w14:paraId="46BDA50B">
                  <w:pPr>
                    <w:spacing w:line="0" w:lineRule="atLeast"/>
                    <w:ind w:left="-88" w:leftChars="-42" w:right="-109" w:rightChars="-52"/>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污泥</w:t>
                  </w:r>
                </w:p>
              </w:tc>
              <w:tc>
                <w:tcPr>
                  <w:tcW w:w="756" w:type="dxa"/>
                  <w:noWrap w:val="0"/>
                  <w:vAlign w:val="center"/>
                </w:tcPr>
                <w:p w14:paraId="02C86059">
                  <w:pPr>
                    <w:spacing w:line="0" w:lineRule="atLeast"/>
                    <w:ind w:left="-88" w:leftChars="-42" w:right="-109" w:rightChars="-52"/>
                    <w:jc w:val="center"/>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病菌</w:t>
                  </w:r>
                </w:p>
              </w:tc>
              <w:tc>
                <w:tcPr>
                  <w:tcW w:w="579" w:type="dxa"/>
                  <w:noWrap w:val="0"/>
                  <w:vAlign w:val="center"/>
                </w:tcPr>
                <w:p w14:paraId="71477845">
                  <w:pPr>
                    <w:keepNext w:val="0"/>
                    <w:keepLines w:val="0"/>
                    <w:pageBreakBefore w:val="0"/>
                    <w:widowControl w:val="0"/>
                    <w:kinsoku/>
                    <w:wordWrap/>
                    <w:overflowPunct/>
                    <w:topLinePunct/>
                    <w:autoSpaceDE/>
                    <w:autoSpaceDN/>
                    <w:bidi w:val="0"/>
                    <w:adjustRightInd w:val="0"/>
                    <w:snapToGrid w:val="0"/>
                    <w:spacing w:line="0" w:lineRule="atLeast"/>
                    <w:ind w:left="-105" w:leftChars="-50" w:right="-105" w:rightChars="-50"/>
                    <w:jc w:val="center"/>
                    <w:textAlignment w:val="auto"/>
                    <w:rPr>
                      <w:rFonts w:hint="default"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3个月</w:t>
                  </w:r>
                </w:p>
              </w:tc>
              <w:tc>
                <w:tcPr>
                  <w:tcW w:w="718" w:type="dxa"/>
                  <w:noWrap w:val="0"/>
                  <w:vAlign w:val="center"/>
                </w:tcPr>
                <w:p w14:paraId="51514F4A">
                  <w:pPr>
                    <w:topLinePunct/>
                    <w:adjustRightInd w:val="0"/>
                    <w:snapToGrid w:val="0"/>
                    <w:ind w:left="-105" w:leftChars="-50" w:right="-105" w:rightChars="-50"/>
                    <w:jc w:val="center"/>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In</w:t>
                  </w:r>
                </w:p>
              </w:tc>
              <w:tc>
                <w:tcPr>
                  <w:tcW w:w="948" w:type="dxa"/>
                  <w:noWrap w:val="0"/>
                  <w:vAlign w:val="center"/>
                </w:tcPr>
                <w:p w14:paraId="1BB39537">
                  <w:pPr>
                    <w:topLinePunct/>
                    <w:adjustRightInd w:val="0"/>
                    <w:snapToGrid w:val="0"/>
                    <w:spacing w:line="0" w:lineRule="atLeast"/>
                    <w:ind w:left="-105" w:leftChars="-50" w:right="-103" w:rightChars="-49"/>
                    <w:jc w:val="cente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10"/>
                      <w:kern w:val="0"/>
                      <w:sz w:val="18"/>
                      <w:szCs w:val="18"/>
                      <w:highlight w:val="none"/>
                      <w:lang w:val="en-US" w:eastAsia="zh-CN"/>
                      <w14:textFill>
                        <w14:solidFill>
                          <w14:schemeClr w14:val="tx1"/>
                        </w14:solidFill>
                      </w14:textFill>
                    </w:rPr>
                    <w:t>脱水后的泥饼袋装密封后暂存医院内污泥暂存间，定期交由三门峡天蓝环保科技有限公司安全处置</w:t>
                  </w:r>
                </w:p>
              </w:tc>
            </w:tr>
          </w:tbl>
          <w:p w14:paraId="4FBF5474">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医院</w:t>
            </w:r>
            <w:r>
              <w:rPr>
                <w:rFonts w:hint="eastAsia" w:ascii="Times New Roman" w:hAnsi="Times New Roman" w:cs="Times New Roman"/>
                <w:color w:val="000000" w:themeColor="text1"/>
                <w:sz w:val="24"/>
                <w:highlight w:val="none"/>
                <w:lang w:val="en-US" w:eastAsia="zh-CN"/>
                <w14:textFill>
                  <w14:solidFill>
                    <w14:schemeClr w14:val="tx1"/>
                  </w14:solidFill>
                </w14:textFill>
              </w:rPr>
              <w:t>拟对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医疗废物分类收集</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严格包装、附专用标签后暂存于</w:t>
            </w:r>
            <w:r>
              <w:rPr>
                <w:rFonts w:hint="eastAsia" w:ascii="Times New Roman" w:hAnsi="Times New Roman" w:cs="Times New Roman"/>
                <w:color w:val="000000" w:themeColor="text1"/>
                <w:sz w:val="24"/>
                <w:highlight w:val="none"/>
                <w:lang w:val="en-US" w:eastAsia="zh-CN"/>
                <w14:textFill>
                  <w14:solidFill>
                    <w14:schemeClr w14:val="tx1"/>
                  </w14:solidFill>
                </w14:textFill>
              </w:rPr>
              <w:t>危废</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暂存</w:t>
            </w:r>
            <w:r>
              <w:rPr>
                <w:rFonts w:hint="eastAsia" w:ascii="Times New Roman" w:hAnsi="Times New Roman" w:cs="Times New Roman"/>
                <w:color w:val="000000" w:themeColor="text1"/>
                <w:sz w:val="24"/>
                <w:highlight w:val="none"/>
                <w:lang w:val="en-US" w:eastAsia="zh-CN"/>
                <w14:textFill>
                  <w14:solidFill>
                    <w14:schemeClr w14:val="tx1"/>
                  </w14:solidFill>
                </w14:textFill>
              </w:rPr>
              <w:t>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内</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定期交由三门峡天蓝环保科技有限公司运走进行安全处置。</w:t>
            </w:r>
          </w:p>
          <w:p w14:paraId="52FA21DA">
            <w:pPr>
              <w:keepNext w:val="0"/>
              <w:keepLines w:val="0"/>
              <w:pageBreakBefore w:val="0"/>
              <w:widowControl w:val="0"/>
              <w:numPr>
                <w:ilvl w:val="0"/>
                <w:numId w:val="0"/>
              </w:numPr>
              <w:kinsoku/>
              <w:wordWrap/>
              <w:overflowPunct/>
              <w:topLinePunct w:val="0"/>
              <w:autoSpaceDE/>
              <w:autoSpaceDN/>
              <w:bidi w:val="0"/>
              <w:adjustRightInd/>
              <w:snapToGrid w:val="0"/>
              <w:spacing w:before="157" w:beforeLines="50" w:line="42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b w:val="0"/>
                <w:bCs/>
                <w:color w:val="000000" w:themeColor="text1"/>
                <w:sz w:val="24"/>
                <w:szCs w:val="24"/>
                <w:highlight w:val="none"/>
                <w:u w:val="none"/>
                <w:lang w:val="en-US" w:eastAsia="zh-CN"/>
                <w14:textFill>
                  <w14:solidFill>
                    <w14:schemeClr w14:val="tx1"/>
                  </w14:solidFill>
                </w14:textFill>
              </w:rPr>
              <w:t>扩建</w:t>
            </w:r>
            <w:r>
              <w:rPr>
                <w:rFonts w:hint="default" w:ascii="Times New Roman" w:hAnsi="Times New Roman" w:cs="Times New Roman"/>
                <w:color w:val="000000" w:themeColor="text1"/>
                <w:sz w:val="24"/>
                <w:szCs w:val="24"/>
                <w:highlight w:val="none"/>
                <w14:textFill>
                  <w14:solidFill>
                    <w14:schemeClr w14:val="tx1"/>
                  </w14:solidFill>
                </w14:textFill>
              </w:rPr>
              <w:t>项目危险废物暂存间基本情况见下表。</w:t>
            </w:r>
          </w:p>
          <w:p w14:paraId="52C6EC11">
            <w:pPr>
              <w:pStyle w:val="104"/>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项目</w:t>
            </w:r>
            <w:r>
              <w:rPr>
                <w:rFonts w:hint="default"/>
                <w:color w:val="000000" w:themeColor="text1"/>
                <w:highlight w:val="none"/>
                <w:lang w:eastAsia="zh-CN"/>
                <w14:textFill>
                  <w14:solidFill>
                    <w14:schemeClr w14:val="tx1"/>
                  </w14:solidFill>
                </w14:textFill>
              </w:rPr>
              <w:t>危险废物贮存场所</w:t>
            </w:r>
            <w:r>
              <w:rPr>
                <w:rFonts w:hint="default"/>
                <w:color w:val="000000" w:themeColor="text1"/>
                <w:highlight w:val="none"/>
                <w14:textFill>
                  <w14:solidFill>
                    <w14:schemeClr w14:val="tx1"/>
                  </w14:solidFill>
                </w14:textFill>
              </w:rPr>
              <w:t>（设施）基本情况</w:t>
            </w:r>
          </w:p>
          <w:tbl>
            <w:tblPr>
              <w:tblStyle w:val="34"/>
              <w:tblW w:w="80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066"/>
              <w:gridCol w:w="1009"/>
              <w:gridCol w:w="1206"/>
              <w:gridCol w:w="1043"/>
              <w:gridCol w:w="662"/>
              <w:gridCol w:w="646"/>
              <w:gridCol w:w="637"/>
              <w:gridCol w:w="691"/>
            </w:tblGrid>
            <w:tr w14:paraId="57903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052A2920">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贮存场所（设施）</w:t>
                  </w:r>
                </w:p>
                <w:p w14:paraId="2CE257C1">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名称</w:t>
                  </w:r>
                </w:p>
              </w:tc>
              <w:tc>
                <w:tcPr>
                  <w:tcW w:w="1066" w:type="dxa"/>
                  <w:noWrap w:val="0"/>
                  <w:vAlign w:val="center"/>
                </w:tcPr>
                <w:p w14:paraId="65DD58FB">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危险废</w:t>
                  </w:r>
                </w:p>
                <w:p w14:paraId="71DC5EC6">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物名称</w:t>
                  </w:r>
                </w:p>
              </w:tc>
              <w:tc>
                <w:tcPr>
                  <w:tcW w:w="1009" w:type="dxa"/>
                  <w:noWrap w:val="0"/>
                  <w:vAlign w:val="center"/>
                </w:tcPr>
                <w:p w14:paraId="05E57816">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危险废物类别</w:t>
                  </w:r>
                </w:p>
              </w:tc>
              <w:tc>
                <w:tcPr>
                  <w:tcW w:w="1206" w:type="dxa"/>
                  <w:noWrap w:val="0"/>
                  <w:vAlign w:val="center"/>
                </w:tcPr>
                <w:p w14:paraId="46C85946">
                  <w:pPr>
                    <w:spacing w:line="240" w:lineRule="exact"/>
                    <w:ind w:left="-105" w:leftChars="-50" w:right="-105" w:rightChars="-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危险废物</w:t>
                  </w:r>
                </w:p>
                <w:p w14:paraId="741D9789">
                  <w:pPr>
                    <w:spacing w:line="240" w:lineRule="exact"/>
                    <w:ind w:left="-105" w:leftChars="-50" w:right="-105" w:rightChars="-5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代码</w:t>
                  </w:r>
                </w:p>
              </w:tc>
              <w:tc>
                <w:tcPr>
                  <w:tcW w:w="1043" w:type="dxa"/>
                  <w:noWrap w:val="0"/>
                  <w:vAlign w:val="center"/>
                </w:tcPr>
                <w:p w14:paraId="5F3565CE">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位置</w:t>
                  </w:r>
                </w:p>
              </w:tc>
              <w:tc>
                <w:tcPr>
                  <w:tcW w:w="662" w:type="dxa"/>
                  <w:noWrap w:val="0"/>
                  <w:vAlign w:val="center"/>
                </w:tcPr>
                <w:p w14:paraId="523502CF">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占地</w:t>
                  </w:r>
                </w:p>
                <w:p w14:paraId="086AD3D3">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面积</w:t>
                  </w:r>
                </w:p>
              </w:tc>
              <w:tc>
                <w:tcPr>
                  <w:tcW w:w="646" w:type="dxa"/>
                  <w:noWrap w:val="0"/>
                  <w:vAlign w:val="center"/>
                </w:tcPr>
                <w:p w14:paraId="7BFD488E">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贮存</w:t>
                  </w:r>
                </w:p>
                <w:p w14:paraId="62171807">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方式</w:t>
                  </w:r>
                </w:p>
              </w:tc>
              <w:tc>
                <w:tcPr>
                  <w:tcW w:w="637" w:type="dxa"/>
                  <w:noWrap w:val="0"/>
                  <w:vAlign w:val="center"/>
                </w:tcPr>
                <w:p w14:paraId="0AB65F51">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贮存</w:t>
                  </w:r>
                </w:p>
                <w:p w14:paraId="4FFC1682">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能力</w:t>
                  </w:r>
                </w:p>
              </w:tc>
              <w:tc>
                <w:tcPr>
                  <w:tcW w:w="691" w:type="dxa"/>
                  <w:noWrap w:val="0"/>
                  <w:vAlign w:val="center"/>
                </w:tcPr>
                <w:p w14:paraId="553D8ECE">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贮存</w:t>
                  </w:r>
                </w:p>
                <w:p w14:paraId="64780830">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周期</w:t>
                  </w:r>
                </w:p>
              </w:tc>
            </w:tr>
            <w:tr w14:paraId="3F128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restart"/>
                  <w:noWrap w:val="0"/>
                  <w:vAlign w:val="center"/>
                </w:tcPr>
                <w:p w14:paraId="2CF85D84">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危险废物暂存间</w:t>
                  </w:r>
                </w:p>
              </w:tc>
              <w:tc>
                <w:tcPr>
                  <w:tcW w:w="1066" w:type="dxa"/>
                  <w:vMerge w:val="restart"/>
                  <w:noWrap w:val="0"/>
                  <w:vAlign w:val="center"/>
                </w:tcPr>
                <w:p w14:paraId="64515311">
                  <w:pPr>
                    <w:autoSpaceDE w:val="0"/>
                    <w:autoSpaceDN w:val="0"/>
                    <w:adjustRightInd w:val="0"/>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医疗废物</w:t>
                  </w:r>
                </w:p>
              </w:tc>
              <w:tc>
                <w:tcPr>
                  <w:tcW w:w="1009" w:type="dxa"/>
                  <w:vMerge w:val="restart"/>
                  <w:noWrap w:val="0"/>
                  <w:vAlign w:val="center"/>
                </w:tcPr>
                <w:p w14:paraId="597E1802">
                  <w:pPr>
                    <w:autoSpaceDE w:val="0"/>
                    <w:autoSpaceDN w:val="0"/>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HW01</w:t>
                  </w:r>
                </w:p>
              </w:tc>
              <w:tc>
                <w:tcPr>
                  <w:tcW w:w="1206" w:type="dxa"/>
                  <w:noWrap w:val="0"/>
                  <w:vAlign w:val="center"/>
                </w:tcPr>
                <w:p w14:paraId="2F4BD473">
                  <w:pPr>
                    <w:autoSpaceDE w:val="0"/>
                    <w:autoSpaceDN w:val="0"/>
                    <w:adjustRightIn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841-001-01</w:t>
                  </w:r>
                </w:p>
              </w:tc>
              <w:tc>
                <w:tcPr>
                  <w:tcW w:w="1043" w:type="dxa"/>
                  <w:vMerge w:val="restart"/>
                  <w:noWrap w:val="0"/>
                  <w:vAlign w:val="center"/>
                </w:tcPr>
                <w:p w14:paraId="12AA47F1">
                  <w:pPr>
                    <w:pStyle w:val="95"/>
                    <w:spacing w:line="240" w:lineRule="auto"/>
                    <w:ind w:left="-105" w:leftChars="-50" w:right="-105" w:rightChars="-5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精神病房楼地下1F</w:t>
                  </w:r>
                </w:p>
              </w:tc>
              <w:tc>
                <w:tcPr>
                  <w:tcW w:w="662" w:type="dxa"/>
                  <w:vMerge w:val="restart"/>
                  <w:noWrap w:val="0"/>
                  <w:vAlign w:val="center"/>
                </w:tcPr>
                <w:p w14:paraId="6D4F3D34">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30</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2</w:t>
                  </w:r>
                </w:p>
              </w:tc>
              <w:tc>
                <w:tcPr>
                  <w:tcW w:w="646" w:type="dxa"/>
                  <w:vMerge w:val="restart"/>
                  <w:noWrap w:val="0"/>
                  <w:vAlign w:val="center"/>
                </w:tcPr>
                <w:p w14:paraId="6EF7AEE9">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袋装</w:t>
                  </w:r>
                </w:p>
              </w:tc>
              <w:tc>
                <w:tcPr>
                  <w:tcW w:w="637" w:type="dxa"/>
                  <w:vMerge w:val="restart"/>
                  <w:noWrap w:val="0"/>
                  <w:vAlign w:val="center"/>
                </w:tcPr>
                <w:p w14:paraId="31B2CF63">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10</w:t>
                  </w:r>
                  <w:r>
                    <w:rPr>
                      <w:rFonts w:hint="default" w:ascii="Times New Roman" w:hAnsi="Times New Roman" w:cs="Times New Roman"/>
                      <w:color w:val="000000" w:themeColor="text1"/>
                      <w:highlight w:val="none"/>
                      <w14:textFill>
                        <w14:solidFill>
                          <w14:schemeClr w14:val="tx1"/>
                        </w14:solidFill>
                      </w14:textFill>
                    </w:rPr>
                    <w:t>t</w:t>
                  </w:r>
                </w:p>
              </w:tc>
              <w:tc>
                <w:tcPr>
                  <w:tcW w:w="691" w:type="dxa"/>
                  <w:vMerge w:val="restart"/>
                  <w:noWrap w:val="0"/>
                  <w:vAlign w:val="center"/>
                </w:tcPr>
                <w:p w14:paraId="0F91B26B">
                  <w:pPr>
                    <w:spacing w:line="240" w:lineRule="exact"/>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3个月</w:t>
                  </w:r>
                </w:p>
              </w:tc>
            </w:tr>
            <w:tr w14:paraId="5FAF9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14:paraId="2D7946AA">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p>
              </w:tc>
              <w:tc>
                <w:tcPr>
                  <w:tcW w:w="1066" w:type="dxa"/>
                  <w:vMerge w:val="continue"/>
                  <w:noWrap w:val="0"/>
                  <w:vAlign w:val="center"/>
                </w:tcPr>
                <w:p w14:paraId="7ECD1915">
                  <w:pPr>
                    <w:autoSpaceDE w:val="0"/>
                    <w:autoSpaceDN w:val="0"/>
                    <w:adjustRightInd w:val="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009" w:type="dxa"/>
                  <w:vMerge w:val="continue"/>
                  <w:noWrap w:val="0"/>
                  <w:vAlign w:val="center"/>
                </w:tcPr>
                <w:p w14:paraId="56682AF7">
                  <w:pPr>
                    <w:autoSpaceDE w:val="0"/>
                    <w:autoSpaceDN w:val="0"/>
                    <w:adjustRightInd w:val="0"/>
                    <w:jc w:val="center"/>
                    <w:rPr>
                      <w:rFonts w:hint="default" w:ascii="Times New Roman" w:hAnsi="Times New Roman" w:cs="Times New Roman"/>
                      <w:color w:val="000000" w:themeColor="text1"/>
                      <w:highlight w:val="none"/>
                      <w14:textFill>
                        <w14:solidFill>
                          <w14:schemeClr w14:val="tx1"/>
                        </w14:solidFill>
                      </w14:textFill>
                    </w:rPr>
                  </w:pPr>
                </w:p>
              </w:tc>
              <w:tc>
                <w:tcPr>
                  <w:tcW w:w="1206" w:type="dxa"/>
                  <w:noWrap w:val="0"/>
                  <w:vAlign w:val="center"/>
                </w:tcPr>
                <w:p w14:paraId="376D1CD0">
                  <w:pPr>
                    <w:autoSpaceDE w:val="0"/>
                    <w:autoSpaceDN w:val="0"/>
                    <w:adjustRightIn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841-00</w:t>
                  </w:r>
                  <w:r>
                    <w:rPr>
                      <w:rFonts w:hint="eastAsia"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-01</w:t>
                  </w:r>
                </w:p>
              </w:tc>
              <w:tc>
                <w:tcPr>
                  <w:tcW w:w="1043" w:type="dxa"/>
                  <w:vMerge w:val="continue"/>
                  <w:noWrap w:val="0"/>
                  <w:vAlign w:val="center"/>
                </w:tcPr>
                <w:p w14:paraId="72DF76BC">
                  <w:pPr>
                    <w:pStyle w:val="95"/>
                    <w:ind w:left="-105" w:leftChars="-50" w:right="-105" w:rightChars="-50"/>
                    <w:rPr>
                      <w:rFonts w:hint="default" w:ascii="Times New Roman" w:hAnsi="Times New Roman" w:cs="Times New Roman"/>
                      <w:color w:val="000000" w:themeColor="text1"/>
                      <w:highlight w:val="none"/>
                      <w14:textFill>
                        <w14:solidFill>
                          <w14:schemeClr w14:val="tx1"/>
                        </w14:solidFill>
                      </w14:textFill>
                    </w:rPr>
                  </w:pPr>
                </w:p>
              </w:tc>
              <w:tc>
                <w:tcPr>
                  <w:tcW w:w="662" w:type="dxa"/>
                  <w:vMerge w:val="continue"/>
                  <w:noWrap w:val="0"/>
                  <w:vAlign w:val="center"/>
                </w:tcPr>
                <w:p w14:paraId="51193408">
                  <w:pPr>
                    <w:spacing w:line="24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646" w:type="dxa"/>
                  <w:vMerge w:val="continue"/>
                  <w:noWrap w:val="0"/>
                  <w:vAlign w:val="center"/>
                </w:tcPr>
                <w:p w14:paraId="6708AD49">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p>
              </w:tc>
              <w:tc>
                <w:tcPr>
                  <w:tcW w:w="637" w:type="dxa"/>
                  <w:vMerge w:val="continue"/>
                  <w:noWrap w:val="0"/>
                  <w:vAlign w:val="center"/>
                </w:tcPr>
                <w:p w14:paraId="2979DAC7">
                  <w:pPr>
                    <w:spacing w:line="24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691" w:type="dxa"/>
                  <w:vMerge w:val="continue"/>
                  <w:noWrap w:val="0"/>
                  <w:vAlign w:val="center"/>
                </w:tcPr>
                <w:p w14:paraId="2F176161">
                  <w:pPr>
                    <w:spacing w:line="240" w:lineRule="exact"/>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r>
            <w:tr w14:paraId="0C50D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14:paraId="362FBABE">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p>
              </w:tc>
              <w:tc>
                <w:tcPr>
                  <w:tcW w:w="1066" w:type="dxa"/>
                  <w:vMerge w:val="continue"/>
                  <w:noWrap w:val="0"/>
                  <w:vAlign w:val="center"/>
                </w:tcPr>
                <w:p w14:paraId="2B0A654E">
                  <w:pPr>
                    <w:autoSpaceDE w:val="0"/>
                    <w:autoSpaceDN w:val="0"/>
                    <w:adjustRightInd w:val="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009" w:type="dxa"/>
                  <w:vMerge w:val="continue"/>
                  <w:noWrap w:val="0"/>
                  <w:vAlign w:val="center"/>
                </w:tcPr>
                <w:p w14:paraId="695AEEC7">
                  <w:pPr>
                    <w:autoSpaceDE w:val="0"/>
                    <w:autoSpaceDN w:val="0"/>
                    <w:adjustRightInd w:val="0"/>
                    <w:jc w:val="center"/>
                    <w:rPr>
                      <w:rFonts w:hint="default" w:ascii="Times New Roman" w:hAnsi="Times New Roman" w:cs="Times New Roman"/>
                      <w:color w:val="000000" w:themeColor="text1"/>
                      <w:highlight w:val="none"/>
                      <w14:textFill>
                        <w14:solidFill>
                          <w14:schemeClr w14:val="tx1"/>
                        </w14:solidFill>
                      </w14:textFill>
                    </w:rPr>
                  </w:pPr>
                </w:p>
              </w:tc>
              <w:tc>
                <w:tcPr>
                  <w:tcW w:w="1206" w:type="dxa"/>
                  <w:noWrap w:val="0"/>
                  <w:vAlign w:val="center"/>
                </w:tcPr>
                <w:p w14:paraId="057426A7">
                  <w:pPr>
                    <w:autoSpaceDE w:val="0"/>
                    <w:autoSpaceDN w:val="0"/>
                    <w:adjustRightIn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841-00</w:t>
                  </w: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-01</w:t>
                  </w:r>
                </w:p>
              </w:tc>
              <w:tc>
                <w:tcPr>
                  <w:tcW w:w="1043" w:type="dxa"/>
                  <w:vMerge w:val="continue"/>
                  <w:noWrap w:val="0"/>
                  <w:vAlign w:val="center"/>
                </w:tcPr>
                <w:p w14:paraId="4339D7BA">
                  <w:pPr>
                    <w:pStyle w:val="95"/>
                    <w:ind w:left="-105" w:leftChars="-50" w:right="-105" w:rightChars="-50"/>
                    <w:rPr>
                      <w:rFonts w:hint="default" w:ascii="Times New Roman" w:hAnsi="Times New Roman" w:cs="Times New Roman"/>
                      <w:color w:val="000000" w:themeColor="text1"/>
                      <w:highlight w:val="none"/>
                      <w14:textFill>
                        <w14:solidFill>
                          <w14:schemeClr w14:val="tx1"/>
                        </w14:solidFill>
                      </w14:textFill>
                    </w:rPr>
                  </w:pPr>
                </w:p>
              </w:tc>
              <w:tc>
                <w:tcPr>
                  <w:tcW w:w="662" w:type="dxa"/>
                  <w:vMerge w:val="continue"/>
                  <w:noWrap w:val="0"/>
                  <w:vAlign w:val="center"/>
                </w:tcPr>
                <w:p w14:paraId="39769EB1">
                  <w:pPr>
                    <w:spacing w:line="24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646" w:type="dxa"/>
                  <w:vMerge w:val="continue"/>
                  <w:noWrap w:val="0"/>
                  <w:vAlign w:val="center"/>
                </w:tcPr>
                <w:p w14:paraId="795B1719">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p>
              </w:tc>
              <w:tc>
                <w:tcPr>
                  <w:tcW w:w="637" w:type="dxa"/>
                  <w:vMerge w:val="continue"/>
                  <w:noWrap w:val="0"/>
                  <w:vAlign w:val="center"/>
                </w:tcPr>
                <w:p w14:paraId="0DAF75EC">
                  <w:pPr>
                    <w:spacing w:line="24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691" w:type="dxa"/>
                  <w:vMerge w:val="continue"/>
                  <w:noWrap w:val="0"/>
                  <w:vAlign w:val="center"/>
                </w:tcPr>
                <w:p w14:paraId="1A008844">
                  <w:pPr>
                    <w:spacing w:line="240" w:lineRule="exact"/>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r>
            <w:tr w14:paraId="24370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14:paraId="18B5DD7F">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p>
              </w:tc>
              <w:tc>
                <w:tcPr>
                  <w:tcW w:w="1066" w:type="dxa"/>
                  <w:vMerge w:val="continue"/>
                  <w:noWrap w:val="0"/>
                  <w:vAlign w:val="center"/>
                </w:tcPr>
                <w:p w14:paraId="7F7B39EB">
                  <w:pPr>
                    <w:autoSpaceDE w:val="0"/>
                    <w:autoSpaceDN w:val="0"/>
                    <w:adjustRightInd w:val="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009" w:type="dxa"/>
                  <w:vMerge w:val="continue"/>
                  <w:noWrap w:val="0"/>
                  <w:vAlign w:val="center"/>
                </w:tcPr>
                <w:p w14:paraId="38BAC721">
                  <w:pPr>
                    <w:autoSpaceDE w:val="0"/>
                    <w:autoSpaceDN w:val="0"/>
                    <w:adjustRightInd w:val="0"/>
                    <w:jc w:val="center"/>
                    <w:rPr>
                      <w:rFonts w:hint="default" w:ascii="Times New Roman" w:hAnsi="Times New Roman" w:cs="Times New Roman"/>
                      <w:color w:val="000000" w:themeColor="text1"/>
                      <w:highlight w:val="none"/>
                      <w14:textFill>
                        <w14:solidFill>
                          <w14:schemeClr w14:val="tx1"/>
                        </w14:solidFill>
                      </w14:textFill>
                    </w:rPr>
                  </w:pPr>
                </w:p>
              </w:tc>
              <w:tc>
                <w:tcPr>
                  <w:tcW w:w="1206" w:type="dxa"/>
                  <w:noWrap w:val="0"/>
                  <w:vAlign w:val="center"/>
                </w:tcPr>
                <w:p w14:paraId="5F516A19">
                  <w:pPr>
                    <w:autoSpaceDE w:val="0"/>
                    <w:autoSpaceDN w:val="0"/>
                    <w:adjustRightIn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841-00</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-01</w:t>
                  </w:r>
                </w:p>
              </w:tc>
              <w:tc>
                <w:tcPr>
                  <w:tcW w:w="1043" w:type="dxa"/>
                  <w:vMerge w:val="continue"/>
                  <w:noWrap w:val="0"/>
                  <w:vAlign w:val="center"/>
                </w:tcPr>
                <w:p w14:paraId="309C4CEF">
                  <w:pPr>
                    <w:pStyle w:val="95"/>
                    <w:ind w:left="-105" w:leftChars="-50" w:right="-105" w:rightChars="-50"/>
                    <w:rPr>
                      <w:rFonts w:hint="default" w:ascii="Times New Roman" w:hAnsi="Times New Roman" w:cs="Times New Roman"/>
                      <w:color w:val="000000" w:themeColor="text1"/>
                      <w:highlight w:val="none"/>
                      <w14:textFill>
                        <w14:solidFill>
                          <w14:schemeClr w14:val="tx1"/>
                        </w14:solidFill>
                      </w14:textFill>
                    </w:rPr>
                  </w:pPr>
                </w:p>
              </w:tc>
              <w:tc>
                <w:tcPr>
                  <w:tcW w:w="662" w:type="dxa"/>
                  <w:vMerge w:val="continue"/>
                  <w:noWrap w:val="0"/>
                  <w:vAlign w:val="center"/>
                </w:tcPr>
                <w:p w14:paraId="6FCCCF35">
                  <w:pPr>
                    <w:spacing w:line="24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646" w:type="dxa"/>
                  <w:vMerge w:val="continue"/>
                  <w:noWrap w:val="0"/>
                  <w:vAlign w:val="center"/>
                </w:tcPr>
                <w:p w14:paraId="38FB8AA8">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p>
              </w:tc>
              <w:tc>
                <w:tcPr>
                  <w:tcW w:w="637" w:type="dxa"/>
                  <w:vMerge w:val="continue"/>
                  <w:noWrap w:val="0"/>
                  <w:vAlign w:val="center"/>
                </w:tcPr>
                <w:p w14:paraId="150BF756">
                  <w:pPr>
                    <w:spacing w:line="24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691" w:type="dxa"/>
                  <w:vMerge w:val="continue"/>
                  <w:noWrap w:val="0"/>
                  <w:vAlign w:val="center"/>
                </w:tcPr>
                <w:p w14:paraId="35601191">
                  <w:pPr>
                    <w:spacing w:line="240" w:lineRule="exact"/>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r>
            <w:tr w14:paraId="5E7567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14:paraId="4FDF07FF">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p>
              </w:tc>
              <w:tc>
                <w:tcPr>
                  <w:tcW w:w="1066" w:type="dxa"/>
                  <w:vMerge w:val="continue"/>
                  <w:noWrap w:val="0"/>
                  <w:vAlign w:val="center"/>
                </w:tcPr>
                <w:p w14:paraId="3D967792">
                  <w:pPr>
                    <w:autoSpaceDE w:val="0"/>
                    <w:autoSpaceDN w:val="0"/>
                    <w:adjustRightInd w:val="0"/>
                    <w:jc w:val="center"/>
                    <w:rPr>
                      <w:rFonts w:hint="eastAsia" w:ascii="Times New Roman" w:hAnsi="Times New Roman" w:cs="Times New Roman"/>
                      <w:color w:val="000000" w:themeColor="text1"/>
                      <w:highlight w:val="none"/>
                      <w:lang w:val="en-US" w:eastAsia="zh-CN"/>
                      <w14:textFill>
                        <w14:solidFill>
                          <w14:schemeClr w14:val="tx1"/>
                        </w14:solidFill>
                      </w14:textFill>
                    </w:rPr>
                  </w:pPr>
                </w:p>
              </w:tc>
              <w:tc>
                <w:tcPr>
                  <w:tcW w:w="1009" w:type="dxa"/>
                  <w:vMerge w:val="continue"/>
                  <w:noWrap w:val="0"/>
                  <w:vAlign w:val="center"/>
                </w:tcPr>
                <w:p w14:paraId="689C66A3">
                  <w:pPr>
                    <w:autoSpaceDE w:val="0"/>
                    <w:autoSpaceDN w:val="0"/>
                    <w:adjustRightInd w:val="0"/>
                    <w:jc w:val="center"/>
                    <w:rPr>
                      <w:rFonts w:hint="default" w:ascii="Times New Roman" w:hAnsi="Times New Roman" w:cs="Times New Roman"/>
                      <w:color w:val="000000" w:themeColor="text1"/>
                      <w:highlight w:val="none"/>
                      <w14:textFill>
                        <w14:solidFill>
                          <w14:schemeClr w14:val="tx1"/>
                        </w14:solidFill>
                      </w14:textFill>
                    </w:rPr>
                  </w:pPr>
                </w:p>
              </w:tc>
              <w:tc>
                <w:tcPr>
                  <w:tcW w:w="1206" w:type="dxa"/>
                  <w:noWrap w:val="0"/>
                  <w:vAlign w:val="center"/>
                </w:tcPr>
                <w:p w14:paraId="2564416C">
                  <w:pPr>
                    <w:autoSpaceDE w:val="0"/>
                    <w:autoSpaceDN w:val="0"/>
                    <w:adjustRightIn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841-00</w:t>
                  </w:r>
                  <w:r>
                    <w:rPr>
                      <w:rFonts w:hint="eastAsia"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-01</w:t>
                  </w:r>
                </w:p>
              </w:tc>
              <w:tc>
                <w:tcPr>
                  <w:tcW w:w="1043" w:type="dxa"/>
                  <w:vMerge w:val="continue"/>
                  <w:noWrap w:val="0"/>
                  <w:vAlign w:val="center"/>
                </w:tcPr>
                <w:p w14:paraId="7ABDD513">
                  <w:pPr>
                    <w:pStyle w:val="95"/>
                    <w:ind w:left="-105" w:leftChars="-50" w:right="-105" w:rightChars="-50"/>
                    <w:rPr>
                      <w:rFonts w:hint="default" w:ascii="Times New Roman" w:hAnsi="Times New Roman" w:cs="Times New Roman"/>
                      <w:color w:val="000000" w:themeColor="text1"/>
                      <w:highlight w:val="none"/>
                      <w14:textFill>
                        <w14:solidFill>
                          <w14:schemeClr w14:val="tx1"/>
                        </w14:solidFill>
                      </w14:textFill>
                    </w:rPr>
                  </w:pPr>
                </w:p>
              </w:tc>
              <w:tc>
                <w:tcPr>
                  <w:tcW w:w="662" w:type="dxa"/>
                  <w:vMerge w:val="continue"/>
                  <w:noWrap w:val="0"/>
                  <w:vAlign w:val="center"/>
                </w:tcPr>
                <w:p w14:paraId="4BDBF3E8">
                  <w:pPr>
                    <w:spacing w:line="24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646" w:type="dxa"/>
                  <w:vMerge w:val="continue"/>
                  <w:noWrap w:val="0"/>
                  <w:vAlign w:val="center"/>
                </w:tcPr>
                <w:p w14:paraId="2E0F734F">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p>
              </w:tc>
              <w:tc>
                <w:tcPr>
                  <w:tcW w:w="637" w:type="dxa"/>
                  <w:vMerge w:val="continue"/>
                  <w:noWrap w:val="0"/>
                  <w:vAlign w:val="center"/>
                </w:tcPr>
                <w:p w14:paraId="1B80AF66">
                  <w:pPr>
                    <w:spacing w:line="24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691" w:type="dxa"/>
                  <w:vMerge w:val="continue"/>
                  <w:noWrap w:val="0"/>
                  <w:vAlign w:val="center"/>
                </w:tcPr>
                <w:p w14:paraId="01556CB6">
                  <w:pPr>
                    <w:spacing w:line="240" w:lineRule="exact"/>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r>
            <w:tr w14:paraId="22646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vMerge w:val="continue"/>
                  <w:noWrap w:val="0"/>
                  <w:vAlign w:val="center"/>
                </w:tcPr>
                <w:p w14:paraId="37DD4E3C">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p>
              </w:tc>
              <w:tc>
                <w:tcPr>
                  <w:tcW w:w="1066" w:type="dxa"/>
                  <w:noWrap w:val="0"/>
                  <w:vAlign w:val="center"/>
                </w:tcPr>
                <w:p w14:paraId="6210DE77">
                  <w:pPr>
                    <w:autoSpaceDE w:val="0"/>
                    <w:autoSpaceDN w:val="0"/>
                    <w:adjustRightIn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废</w:t>
                  </w:r>
                  <w:r>
                    <w:rPr>
                      <w:rFonts w:hint="eastAsia" w:ascii="Times New Roman" w:hAnsi="Times New Roman" w:cs="Times New Roman"/>
                      <w:color w:val="000000" w:themeColor="text1"/>
                      <w:highlight w:val="none"/>
                      <w:lang w:val="en-US" w:eastAsia="zh-CN"/>
                      <w14:textFill>
                        <w14:solidFill>
                          <w14:schemeClr w14:val="tx1"/>
                        </w14:solidFill>
                      </w14:textFill>
                    </w:rPr>
                    <w:t>活性炭</w:t>
                  </w:r>
                </w:p>
              </w:tc>
              <w:tc>
                <w:tcPr>
                  <w:tcW w:w="1009" w:type="dxa"/>
                  <w:noWrap w:val="0"/>
                  <w:vAlign w:val="center"/>
                </w:tcPr>
                <w:p w14:paraId="42CCB629">
                  <w:pPr>
                    <w:autoSpaceDE w:val="0"/>
                    <w:autoSpaceDN w:val="0"/>
                    <w:adjustRightIn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HW49</w:t>
                  </w:r>
                </w:p>
              </w:tc>
              <w:tc>
                <w:tcPr>
                  <w:tcW w:w="1206" w:type="dxa"/>
                  <w:noWrap w:val="0"/>
                  <w:vAlign w:val="center"/>
                </w:tcPr>
                <w:p w14:paraId="70B615C0">
                  <w:pPr>
                    <w:autoSpaceDE w:val="0"/>
                    <w:autoSpaceDN w:val="0"/>
                    <w:adjustRightIn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900</w:t>
                  </w:r>
                  <w:r>
                    <w:rPr>
                      <w:rFonts w:hint="default" w:ascii="Times New Roman" w:hAnsi="Times New Roman" w:cs="Times New Roman"/>
                      <w:color w:val="000000" w:themeColor="text1"/>
                      <w:highlight w:val="none"/>
                      <w:lang w:eastAsia="zh-CN"/>
                      <w14:textFill>
                        <w14:solidFill>
                          <w14:schemeClr w14:val="tx1"/>
                        </w14:solidFill>
                      </w14:textFill>
                    </w:rPr>
                    <w:t>-0</w:t>
                  </w:r>
                  <w:r>
                    <w:rPr>
                      <w:rFonts w:hint="eastAsia" w:ascii="Times New Roman" w:hAnsi="Times New Roman" w:cs="Times New Roman"/>
                      <w:color w:val="000000" w:themeColor="text1"/>
                      <w:highlight w:val="none"/>
                      <w:lang w:val="en-US" w:eastAsia="zh-CN"/>
                      <w14:textFill>
                        <w14:solidFill>
                          <w14:schemeClr w14:val="tx1"/>
                        </w14:solidFill>
                      </w14:textFill>
                    </w:rPr>
                    <w:t>41</w:t>
                  </w:r>
                  <w:r>
                    <w:rPr>
                      <w:rFonts w:hint="default" w:ascii="Times New Roman" w:hAnsi="Times New Roman" w:cs="Times New Roman"/>
                      <w:color w:val="000000" w:themeColor="text1"/>
                      <w:highlight w:val="none"/>
                      <w14:textFill>
                        <w14:solidFill>
                          <w14:schemeClr w14:val="tx1"/>
                        </w14:solidFill>
                      </w14:textFill>
                    </w:rPr>
                    <w:t>-49</w:t>
                  </w:r>
                </w:p>
              </w:tc>
              <w:tc>
                <w:tcPr>
                  <w:tcW w:w="1043" w:type="dxa"/>
                  <w:vMerge w:val="continue"/>
                  <w:noWrap w:val="0"/>
                  <w:vAlign w:val="center"/>
                </w:tcPr>
                <w:p w14:paraId="40C82BD4">
                  <w:pPr>
                    <w:pStyle w:val="95"/>
                    <w:ind w:left="-105" w:leftChars="-50" w:right="-105" w:rightChars="-50"/>
                    <w:rPr>
                      <w:rFonts w:hint="default" w:ascii="Times New Roman" w:hAnsi="Times New Roman" w:cs="Times New Roman"/>
                      <w:color w:val="000000" w:themeColor="text1"/>
                      <w:highlight w:val="none"/>
                      <w14:textFill>
                        <w14:solidFill>
                          <w14:schemeClr w14:val="tx1"/>
                        </w14:solidFill>
                      </w14:textFill>
                    </w:rPr>
                  </w:pPr>
                </w:p>
              </w:tc>
              <w:tc>
                <w:tcPr>
                  <w:tcW w:w="662" w:type="dxa"/>
                  <w:vMerge w:val="continue"/>
                  <w:noWrap w:val="0"/>
                  <w:vAlign w:val="center"/>
                </w:tcPr>
                <w:p w14:paraId="384C6456">
                  <w:pPr>
                    <w:spacing w:line="24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646" w:type="dxa"/>
                  <w:vMerge w:val="continue"/>
                  <w:noWrap w:val="0"/>
                  <w:vAlign w:val="center"/>
                </w:tcPr>
                <w:p w14:paraId="3FDE22CD">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p>
              </w:tc>
              <w:tc>
                <w:tcPr>
                  <w:tcW w:w="637" w:type="dxa"/>
                  <w:vMerge w:val="continue"/>
                  <w:noWrap w:val="0"/>
                  <w:vAlign w:val="center"/>
                </w:tcPr>
                <w:p w14:paraId="1E93C324">
                  <w:pPr>
                    <w:spacing w:line="24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691" w:type="dxa"/>
                  <w:vMerge w:val="continue"/>
                  <w:noWrap w:val="0"/>
                  <w:vAlign w:val="center"/>
                </w:tcPr>
                <w:p w14:paraId="3E6E2B04">
                  <w:pPr>
                    <w:spacing w:line="240" w:lineRule="exact"/>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r>
            <w:tr w14:paraId="446B8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dxa"/>
                  <w:noWrap w:val="0"/>
                  <w:vAlign w:val="center"/>
                </w:tcPr>
                <w:p w14:paraId="5A6882E3">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污泥暂存间</w:t>
                  </w:r>
                </w:p>
              </w:tc>
              <w:tc>
                <w:tcPr>
                  <w:tcW w:w="1066" w:type="dxa"/>
                  <w:noWrap w:val="0"/>
                  <w:vAlign w:val="center"/>
                </w:tcPr>
                <w:p w14:paraId="40EE6E65">
                  <w:pPr>
                    <w:autoSpaceDE w:val="0"/>
                    <w:autoSpaceDN w:val="0"/>
                    <w:adjustRightIn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污泥</w:t>
                  </w:r>
                </w:p>
              </w:tc>
              <w:tc>
                <w:tcPr>
                  <w:tcW w:w="1009" w:type="dxa"/>
                  <w:noWrap w:val="0"/>
                  <w:vAlign w:val="center"/>
                </w:tcPr>
                <w:p w14:paraId="15731942">
                  <w:pPr>
                    <w:autoSpaceDE w:val="0"/>
                    <w:autoSpaceDN w:val="0"/>
                    <w:adjustRightIn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HW01</w:t>
                  </w:r>
                </w:p>
              </w:tc>
              <w:tc>
                <w:tcPr>
                  <w:tcW w:w="1206" w:type="dxa"/>
                  <w:noWrap w:val="0"/>
                  <w:vAlign w:val="center"/>
                </w:tcPr>
                <w:p w14:paraId="18B9E218">
                  <w:pPr>
                    <w:autoSpaceDE w:val="0"/>
                    <w:autoSpaceDN w:val="0"/>
                    <w:adjustRightIn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841-001-01</w:t>
                  </w:r>
                </w:p>
              </w:tc>
              <w:tc>
                <w:tcPr>
                  <w:tcW w:w="1043" w:type="dxa"/>
                  <w:noWrap w:val="0"/>
                  <w:vAlign w:val="center"/>
                </w:tcPr>
                <w:p w14:paraId="048D229B">
                  <w:pPr>
                    <w:pStyle w:val="95"/>
                    <w:spacing w:line="240" w:lineRule="auto"/>
                    <w:ind w:left="-105" w:leftChars="-50" w:right="-105" w:rightChars="-5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污水处理站南侧</w:t>
                  </w:r>
                </w:p>
              </w:tc>
              <w:tc>
                <w:tcPr>
                  <w:tcW w:w="662" w:type="dxa"/>
                  <w:noWrap w:val="0"/>
                  <w:vAlign w:val="center"/>
                </w:tcPr>
                <w:p w14:paraId="0FF4D8B2">
                  <w:pPr>
                    <w:spacing w:line="24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15m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p>
              </w:tc>
              <w:tc>
                <w:tcPr>
                  <w:tcW w:w="646" w:type="dxa"/>
                  <w:noWrap w:val="0"/>
                  <w:vAlign w:val="center"/>
                </w:tcPr>
                <w:p w14:paraId="2B983947">
                  <w:pPr>
                    <w:spacing w:line="240" w:lineRule="exact"/>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袋装</w:t>
                  </w:r>
                </w:p>
              </w:tc>
              <w:tc>
                <w:tcPr>
                  <w:tcW w:w="637" w:type="dxa"/>
                  <w:noWrap w:val="0"/>
                  <w:vAlign w:val="center"/>
                </w:tcPr>
                <w:p w14:paraId="45804E01">
                  <w:pPr>
                    <w:spacing w:line="240" w:lineRule="exact"/>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14:textFill>
                        <w14:solidFill>
                          <w14:schemeClr w14:val="tx1"/>
                        </w14:solidFill>
                      </w14:textFill>
                    </w:rPr>
                    <w:t>t</w:t>
                  </w:r>
                </w:p>
              </w:tc>
              <w:tc>
                <w:tcPr>
                  <w:tcW w:w="691" w:type="dxa"/>
                  <w:vMerge w:val="continue"/>
                  <w:noWrap w:val="0"/>
                  <w:vAlign w:val="center"/>
                </w:tcPr>
                <w:p w14:paraId="6E849345">
                  <w:pPr>
                    <w:spacing w:line="240" w:lineRule="exact"/>
                    <w:ind w:left="-105" w:leftChars="-50" w:right="-105" w:rightChars="-50"/>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r>
          </w:tbl>
          <w:p w14:paraId="113762A0">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根据危险废物《危险废物贮存污染控制标准》（GB18597-2023）的规定，项目危险废物暂存间如下规定：</w:t>
            </w:r>
          </w:p>
          <w:p w14:paraId="7D616CB3">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①危险废物暂存间单独设置并必须按GB15562.2的规定设置警示标志；</w:t>
            </w:r>
          </w:p>
          <w:p w14:paraId="0FB7AD61">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②危险废物暂存间必须基础防渗，防渗层为至少1米厚粘土层（渗透系数&lt;10</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-7</w:t>
            </w:r>
            <w:r>
              <w:rPr>
                <w:rFonts w:hint="eastAsia" w:ascii="Times New Roman" w:hAnsi="Times New Roman" w:cs="Times New Roman"/>
                <w:color w:val="000000" w:themeColor="text1"/>
                <w:sz w:val="24"/>
                <w:highlight w:val="none"/>
                <w:lang w:val="en-US" w:eastAsia="zh-CN"/>
                <w14:textFill>
                  <w14:solidFill>
                    <w14:schemeClr w14:val="tx1"/>
                  </w14:solidFill>
                </w14:textFill>
              </w:rPr>
              <w:t>cm/s)，或2毫米厚高密度聚乙烯，或至少2毫米厚的其它人工材料，渗透系数&lt;10</w:t>
            </w:r>
            <w:r>
              <w:rPr>
                <w:rFonts w:hint="eastAsia" w:ascii="Times New Roman" w:hAnsi="Times New Roman" w:cs="Times New Roman"/>
                <w:color w:val="000000" w:themeColor="text1"/>
                <w:sz w:val="24"/>
                <w:highlight w:val="none"/>
                <w:vertAlign w:val="superscript"/>
                <w:lang w:val="en-US" w:eastAsia="zh-CN"/>
                <w14:textFill>
                  <w14:solidFill>
                    <w14:schemeClr w14:val="tx1"/>
                  </w14:solidFill>
                </w14:textFill>
              </w:rPr>
              <w:t>-10</w:t>
            </w:r>
            <w:r>
              <w:rPr>
                <w:rFonts w:hint="eastAsia" w:ascii="Times New Roman" w:hAnsi="Times New Roman" w:cs="Times New Roman"/>
                <w:color w:val="000000" w:themeColor="text1"/>
                <w:sz w:val="24"/>
                <w:highlight w:val="none"/>
                <w:lang w:val="en-US" w:eastAsia="zh-CN"/>
                <w14:textFill>
                  <w14:solidFill>
                    <w14:schemeClr w14:val="tx1"/>
                  </w14:solidFill>
                </w14:textFill>
              </w:rPr>
              <w:t>cm/s；</w:t>
            </w:r>
          </w:p>
          <w:p w14:paraId="76AEE7B4">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③危险废物暂存间周围应设置围墙或其它防护栅栏；</w:t>
            </w:r>
          </w:p>
          <w:p w14:paraId="237863B7">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④危险废物暂存间要防风、防雨、防晒；</w:t>
            </w:r>
          </w:p>
          <w:p w14:paraId="26575869">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⑤建设单位须作好危险废物情况的记录，记录上须注明危险废物的名称、来源、数量、特性和包装容器的类别、入库日期、存放库位、废物出库日期及接收单位名称等；</w:t>
            </w:r>
          </w:p>
          <w:p w14:paraId="622B1B02">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⑥危险废物的记录和货单在危险废物回取后应继续保留三年；</w:t>
            </w:r>
          </w:p>
          <w:p w14:paraId="354ED68F">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⑦必须定期对所贮存的危险废物包装容器及贮存设施进行检查，发现破损，应及时采取措施清理更换；</w:t>
            </w:r>
          </w:p>
          <w:p w14:paraId="6EFF93EC">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⑧项目危险废物哲存间应配备通讯设备、照明设施、安全防护服装及工具，并设有应急防护设施。</w:t>
            </w:r>
          </w:p>
          <w:p w14:paraId="339FBAD4">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根据《医疗废物管理条例》（国务院[2003]第380号令）以及《医疗卫生机构医疗废物管理办法》（卫生部[2003]第36号令）等，本次评价重点对医疗废物的处理处置措施的可行性进行分析。</w:t>
            </w:r>
          </w:p>
          <w:p w14:paraId="08128656">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1）分类收集</w:t>
            </w:r>
          </w:p>
          <w:p w14:paraId="0216A816">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医院医疗废物的收集是否完善彻底、是否分类是医院废弃物处理处置的关键。结合处理处置措施的不同，医院废弃物可分为：①损伤性废弃物，如手术刀、注射针等；②病原性废弃物，如纱布、脱脂棉、输液管等；③一般可燃废弃物，如塑料包装袋、普通生活垃圾等；④一般不可燃废弃物，如输液瓶等；⑤病理组织等；⑥化学试剂和过期药品等，有机、无机，液体、固体必须分开收集。</w:t>
            </w:r>
          </w:p>
          <w:p w14:paraId="588FC675">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2）分类处置</w:t>
            </w:r>
          </w:p>
          <w:p w14:paraId="5D7A6165">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一次性医疗器械毁形消毒后委托有资质单位进行处置：可以焚烧的医院委托有资质单位及时焚烧。</w:t>
            </w:r>
          </w:p>
          <w:p w14:paraId="10B9B55D">
            <w:pPr>
              <w:keepNext w:val="0"/>
              <w:keepLines w:val="0"/>
              <w:pageBreakBefore w:val="0"/>
              <w:widowControl w:val="0"/>
              <w:numPr>
                <w:ilvl w:val="0"/>
                <w:numId w:val="9"/>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具体处理处置措施</w:t>
            </w:r>
          </w:p>
          <w:p w14:paraId="26015CA8">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A.收集容器的规定</w:t>
            </w:r>
          </w:p>
          <w:p w14:paraId="32D7E272">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收集容器应符合《医疗废物专用包装袋、容器和警示标志标准》(HJ421-2008)的要求。包装袋在正常使用情况下，不应出现渗漏、破裂和穿孔；采用高温热处置技术处置医疗废物时，包装袋不应使用聚氯乙烯材料：包装袋容积大小应适中，便于操作，配合周转箱（桶）运输；医疗废物包装袋的颜色为淡黄，颜色应符合GB/T3181中Y06的要求，包装袋的明显处应印制警示标志和警告语：包装袋外观质量：表面基本平整、无皱褶、污迹和杂质，无划痕、气泡、缩孔、针孔以及其他缺陷；包装袋物理机械性能应符合相应的规定。</w:t>
            </w:r>
          </w:p>
          <w:p w14:paraId="374D9D6B">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利器盒整体为硬质材料制成，封闭且防刺穿，以保证在正常情况下，利器盒内盛装物不撒漏，并且利器盒一旦被封口，在不破坏的情况下无法被再次打开：采用高温热处置技术处置损伤性废物时，利器盒不应使用聚氦乙烯材料；利器盒整体颜色为淡黄，颜色应符合GB/T3181中Y06的要求。利器盒侧面明显处应印制警示标志，警告语为“警告！损伤性废物”：满盛装量的利器盒从1.20m高处自由跌落至水泥地面，连续3次，不会出现破裂、被刺穿等情况。</w:t>
            </w:r>
          </w:p>
          <w:p w14:paraId="762CFD82">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周转箱（桶）整体应防液体渗漏，应便于清洗和消毒；周转箱（桶）整体为淡黄，颜色应符合GB/T3181中Y06的要求。箱体侧面或桶身明显处应印（喷）制警示标志和警告语；周转箱整体装配密闭，箱体与箱盖能牢固扣紧，扣紧后不分离；表面光滑平整，</w:t>
            </w:r>
          </w:p>
          <w:p w14:paraId="1D3BF156">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完整无裂损，没有明显凹陷，边缘及提手无毛刺；周转箱的箱底和顶部有配合牙槽，具有防滑功能；周转箱物理机械性能应符合相应规定。</w:t>
            </w:r>
          </w:p>
          <w:p w14:paraId="32BE4293">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B.分类收集的措施</w:t>
            </w:r>
          </w:p>
          <w:p w14:paraId="7EEB2628">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根据医疗废物的类别，将医疗废物分置于符合《医疗废物专用包装袋、容器和警示标志标准》的包装物或者容器内。在盛装医疗废物前，应当对医疗废物包装物或者容器进行认真检查，确保无破损、渗漏和其它缺陷。</w:t>
            </w:r>
          </w:p>
          <w:p w14:paraId="2AA9FADB">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感染性废物、病理性废物、损伤性废物、药物性废物及化学性废物不能混合收集。少量的药物性废物可以混入感染性废物，但应当在标签上注明。</w:t>
            </w:r>
          </w:p>
          <w:p w14:paraId="5E3130A3">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废弃的麻醉、精神、放射性、毒性等药品及其相关的废物的管理，依照有关法律、行政法规和国家有关规定、标准执行。</w:t>
            </w:r>
          </w:p>
          <w:p w14:paraId="0153AF3F">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化学性废物中批量的废化学试剂、废消毒剂应当交由专门机构处置。</w:t>
            </w:r>
          </w:p>
          <w:p w14:paraId="33392F6A">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批量的含有汞的体温计、血压计等医疗器具报废时，应当交由专门机构处置。医疗废物中病原体的培养基、标本和菌种、毒种保存液等高危险废物，应当首先在产生地点进行压力蒸汽灭菌或者化学消毒处理，然后按感染性废物收集处理盛装的医疗废物达到包装物或者容器的3/4时，应当使用有效的封口方式，使包装物或者容器的封口紧实、严密。包装物或者容器的外表面被感染性废物污染时，应当对被污染处进行消毒处理或者增加一层包装。</w:t>
            </w:r>
          </w:p>
          <w:p w14:paraId="65661441">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C.暂时贮存措施</w:t>
            </w:r>
          </w:p>
          <w:p w14:paraId="16105205">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医疗废物的暂时贮存设施、设备应当定期消毒和清洁，应满足《危险废物贮存污染控制标准》(GB18597-2023)的要求。医疗废物的暂时贮存设施、设备应当达到以下要求：</w:t>
            </w:r>
          </w:p>
          <w:p w14:paraId="4721F0B3">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①远离医疗区、食品加工区、人员活动区和生活垃圾存放场所，方便医疗废物运送人员及运送工只、车辆的出入；</w:t>
            </w:r>
          </w:p>
          <w:p w14:paraId="62FECCFA">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②有严密的封闭措施，设专（兼）职人员管理，防止非工作人员接触医疗废物；</w:t>
            </w:r>
          </w:p>
          <w:p w14:paraId="7157E4C1">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③有防鼠、防蚊蝇、防蜂螂的安全措施；防止渗漏和雨水冲刷；易于清洁和消毒；避免阳光直射；</w:t>
            </w:r>
          </w:p>
          <w:p w14:paraId="68DB75C7">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④设有明显的医疗废物警示标识和“禁止吸烟、饮食”的警示标识；</w:t>
            </w:r>
          </w:p>
          <w:p w14:paraId="0532F529">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⑤暂时贮存病理性废物，应当具备低温贮存或者防腐条件；</w:t>
            </w:r>
          </w:p>
          <w:p w14:paraId="12CB5F4A">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⑥医院医疗废物每日集中收集至医院暂存场所。医疗废物暂时贮存的时间不得超过2天。</w:t>
            </w:r>
          </w:p>
          <w:p w14:paraId="0DC03A65">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医疗废物临时贮存设施须按照《危险废物贮存污染控制标准》(GB18597-2023)的要求建设，采取以下污染防范措施：</w:t>
            </w:r>
          </w:p>
          <w:p w14:paraId="2161500E">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①地面与裙脚要用坚固、防渗的材料建造，建筑材料必须与危险废物相容；另外储存场所必须设置防渗、防漏、防腐蚀措施，防止发生医疗废物流失、泄漏、扩散等事故；</w:t>
            </w:r>
          </w:p>
          <w:p w14:paraId="003B4C3A">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②必须有泄漏液体收集装置、气体导出口及气体净化装置；</w:t>
            </w:r>
          </w:p>
          <w:p w14:paraId="0FD389AD">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③不相容的危险废物必须分开存放，并设有隔离间隔断；</w:t>
            </w:r>
          </w:p>
          <w:p w14:paraId="2DB0F074">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④应建造径流疏导系统，保证能防止25年一遇的暴雨不会流到危险废物堆里；</w:t>
            </w:r>
          </w:p>
          <w:p w14:paraId="65075CE6">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⑤医疗废物堆场必须进行消毒处理，可采用臭氧或紫外线进行消毒处理。</w:t>
            </w:r>
          </w:p>
          <w:p w14:paraId="32366AFE">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D.医疗废物的交接</w:t>
            </w:r>
          </w:p>
          <w:p w14:paraId="0F1162F4">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医疗废物运送人员在接收医疗废物时，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拨规定对医疗废物进行包装的，运送人员有权拒绝运送，并向当地环保部门报告。</w:t>
            </w:r>
          </w:p>
          <w:p w14:paraId="5E94FB8B">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化学性医疗废物应由医疗卫生机构委托有资质的危险废物处置单位处置，未取得相应许可的处置单位医疗废物运送人员不得接收化学性医疗废物。</w:t>
            </w:r>
          </w:p>
          <w:p w14:paraId="4BFA98A6">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医疗卫生机构交予处置的废物采用危险废物转移联单管理。设区的市环保部门对医疗废物转移计划进行审批。转移计划批准后，医疗废物产生单位和处置单位的日常医疗废物交接可采用简化的《危险废物转移联单》(医疗废物专用)。在医疗卫生机构、处置单位及运送方式变化后，应对医疗废物转移计划进行重新审批。《危险废物转移联单》（医疗废物专用）一式两份，每月一张，由处置单位医疗废物运送人员和医疗卫生机构医疗废物管理人员交接时共同填写，医疗卫生机构和处置单位分别保存，保存时间为5年。每车每次运送的医疗废物采用《医疗废物运送登记卡》管理，一车一卡，由医疗卫生机构医疗废物管理人员交接时填写并签字。当医疗废物运至处置单位时，处置厂接收人员确认该登记卡上填写的医疗废物数量真实、准确后签收。</w:t>
            </w:r>
          </w:p>
          <w:p w14:paraId="4B53494F">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E.医疗废物的运输</w:t>
            </w:r>
          </w:p>
          <w:p w14:paraId="1F98EB86">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医疗废物运送应当使用专用车辆。车辆厢体应与驾驶室分离并密闭：厢体应达到气密性要求，内壁光滑平整，易于清洗消毒；厢体材料防水、耐腐蚀；厢体底部防液体渗漏，并设清洗污水的排水收集装置。运送车辆应符合《医疗废物转运车技术要求》（GB19217-2003）的要求。</w:t>
            </w:r>
          </w:p>
          <w:p w14:paraId="17BF067E">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运送车辆应配备：《危险废物转移联单》（医疗废物专用）以及《医疗废物运送登记卡》、运送路线图、通讯设备、医疗废物产生单位及其管理人员名单与电话号码、事故应急预案及联络单位和人员的名单、电话号码、收集医疗废物的工具、消毒器具与药品、备用的医疗废物专用袋和利器盒、备用的人员防护用品。</w:t>
            </w:r>
          </w:p>
          <w:p w14:paraId="581FD8B1">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F.事故应急措施</w:t>
            </w:r>
          </w:p>
          <w:p w14:paraId="25815F18">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发生医疗废物流失、泄漏、扩散和意外事故时，应当按照以下要求及时采取紧急处理措施：确定流失、泄漏、扩散的医疗废物的类别、数量、发生时间、影响范围及严重程度；组织有关人员尽快按照应急方案，对发生医疗废物泄漏、扩散的现场进行处理；对被医疗废物污染的区域进行处理时，应当尽可能减少对病人、医务人员、其它现场人员及环境的影响；采取适当的安全处置措施，对泄漏物及受污染的区域、物品进行消毒或者其他无害化处置，必要时封锁污染区域，以防扩大污染；对感染性废物污染区域进行消毒时，消毒工作从污染最轻区域向污染最严重区域进行，对可能被污染的所有使用过的工具也应当进行消毒：工作人员应当做好卫生安全防护后进行工作。处理工作结束后，医疗卫生机构应当对事件的起因进行调查，并采取有效的防范措施预防类似事件的发生。</w:t>
            </w:r>
          </w:p>
          <w:p w14:paraId="7ED63879">
            <w:pPr>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生活垃圾</w:t>
            </w:r>
          </w:p>
          <w:p w14:paraId="655755C6">
            <w:pPr>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扩建项目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住院病人按每病床每日产生生活垃圾按1.0kg计，按住院人数</w:t>
            </w:r>
            <w:r>
              <w:rPr>
                <w:rFonts w:hint="eastAsia" w:ascii="Times New Roman" w:hAnsi="Times New Roman" w:cs="Times New Roman"/>
                <w:color w:val="000000" w:themeColor="text1"/>
                <w:sz w:val="24"/>
                <w:highlight w:val="none"/>
                <w:lang w:val="en-US" w:eastAsia="zh-CN"/>
                <w14:textFill>
                  <w14:solidFill>
                    <w14:schemeClr w14:val="tx1"/>
                  </w14:solidFill>
                </w14:textFill>
              </w:rPr>
              <w:t>105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人计，生活垃圾产生</w:t>
            </w:r>
            <w:r>
              <w:rPr>
                <w:rFonts w:hint="eastAsia" w:ascii="Times New Roman" w:hAnsi="Times New Roman" w:cs="Times New Roman"/>
                <w:color w:val="000000" w:themeColor="text1"/>
                <w:sz w:val="24"/>
                <w:highlight w:val="none"/>
                <w:lang w:val="en-US" w:eastAsia="zh-CN"/>
                <w14:textFill>
                  <w14:solidFill>
                    <w14:schemeClr w14:val="tx1"/>
                  </w14:solidFill>
                </w14:textFill>
              </w:rPr>
              <w:t>量为38.325t/a；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门诊垃圾按每日每人次产生0.2kg计，以每天门诊人数</w:t>
            </w:r>
            <w:r>
              <w:rPr>
                <w:rFonts w:hint="eastAsia" w:ascii="Times New Roman" w:hAnsi="Times New Roman" w:cs="Times New Roman"/>
                <w:color w:val="000000" w:themeColor="text1"/>
                <w:sz w:val="24"/>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人计</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生活垃圾产生量为</w:t>
            </w:r>
            <w:r>
              <w:rPr>
                <w:rFonts w:hint="eastAsia" w:ascii="Times New Roman" w:hAnsi="Times New Roman" w:cs="Times New Roman"/>
                <w:color w:val="000000" w:themeColor="text1"/>
                <w:sz w:val="24"/>
                <w:highlight w:val="none"/>
                <w:lang w:val="en-US" w:eastAsia="zh-CN"/>
                <w14:textFill>
                  <w14:solidFill>
                    <w14:schemeClr w14:val="tx1"/>
                  </w14:solidFill>
                </w14:textFill>
              </w:rPr>
              <w:t>7.3t/a；医务人员82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人</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每人每日产生生活垃圾按0.5kg计，生活垃圾产生量为</w:t>
            </w:r>
            <w:r>
              <w:rPr>
                <w:rFonts w:hint="eastAsia" w:ascii="Times New Roman" w:hAnsi="Times New Roman" w:cs="Times New Roman"/>
                <w:color w:val="000000" w:themeColor="text1"/>
                <w:sz w:val="24"/>
                <w:highlight w:val="none"/>
                <w:lang w:val="en-US" w:eastAsia="zh-CN"/>
                <w14:textFill>
                  <w14:solidFill>
                    <w14:schemeClr w14:val="tx1"/>
                  </w14:solidFill>
                </w14:textFill>
              </w:rPr>
              <w:t>14.965t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。根据以上分析，</w:t>
            </w:r>
            <w:r>
              <w:rPr>
                <w:rFonts w:hint="eastAsia" w:ascii="Times New Roman" w:hAnsi="Times New Roman" w:cs="Times New Roman"/>
                <w:color w:val="000000" w:themeColor="text1"/>
                <w:sz w:val="24"/>
                <w:highlight w:val="none"/>
                <w:lang w:val="en-US" w:eastAsia="zh-CN"/>
                <w14:textFill>
                  <w14:solidFill>
                    <w14:schemeClr w14:val="tx1"/>
                  </w14:solidFill>
                </w14:textFill>
              </w:rPr>
              <w:t>扩建项目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生活垃圾</w:t>
            </w:r>
            <w:r>
              <w:rPr>
                <w:rFonts w:hint="eastAsia" w:ascii="Times New Roman" w:hAnsi="Times New Roman" w:cs="Times New Roman"/>
                <w:color w:val="000000" w:themeColor="text1"/>
                <w:sz w:val="24"/>
                <w:highlight w:val="none"/>
                <w:lang w:val="en-US" w:eastAsia="zh-CN"/>
                <w14:textFill>
                  <w14:solidFill>
                    <w14:schemeClr w14:val="tx1"/>
                  </w14:solidFill>
                </w14:textFill>
              </w:rPr>
              <w:t>总产生</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量为</w:t>
            </w:r>
            <w:r>
              <w:rPr>
                <w:rFonts w:hint="eastAsia" w:ascii="Times New Roman" w:hAnsi="Times New Roman" w:cs="Times New Roman"/>
                <w:color w:val="000000" w:themeColor="text1"/>
                <w:sz w:val="24"/>
                <w:highlight w:val="none"/>
                <w:lang w:val="en-US" w:eastAsia="zh-CN"/>
                <w14:textFill>
                  <w14:solidFill>
                    <w14:schemeClr w14:val="tx1"/>
                  </w14:solidFill>
                </w14:textFill>
              </w:rPr>
              <w:t>60.59</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eastAsia" w:ascii="Times New Roman" w:hAnsi="Times New Roman" w:cs="Times New Roman"/>
                <w:color w:val="000000" w:themeColor="text1"/>
                <w:sz w:val="24"/>
                <w:highlight w:val="none"/>
                <w:lang w:val="en-US" w:eastAsia="zh-CN"/>
                <w14:textFill>
                  <w14:solidFill>
                    <w14:schemeClr w14:val="tx1"/>
                  </w14:solidFill>
                </w14:textFill>
              </w:rPr>
              <w:t>依托在建工程①垃圾暂存站收集暂存后，由环卫部门统一清运</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23D01257">
            <w:pPr>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firstLine="480" w:firstLineChars="200"/>
              <w:textAlignment w:val="auto"/>
              <w:rPr>
                <w:rFonts w:hint="default"/>
                <w:b w:val="0"/>
                <w:bCs/>
                <w:color w:val="000000" w:themeColor="text1"/>
                <w:sz w:val="24"/>
                <w:szCs w:val="24"/>
                <w:highlight w:val="none"/>
                <w:u w:val="none"/>
                <w14:textFill>
                  <w14:solidFill>
                    <w14:schemeClr w14:val="tx1"/>
                  </w14:solidFill>
                </w14:textFill>
              </w:rPr>
            </w:pPr>
            <w:r>
              <w:rPr>
                <w:rFonts w:hint="default"/>
                <w:b w:val="0"/>
                <w:bCs/>
                <w:color w:val="000000" w:themeColor="text1"/>
                <w:sz w:val="24"/>
                <w:szCs w:val="24"/>
                <w:highlight w:val="none"/>
                <w:u w:val="none"/>
                <w14:textFill>
                  <w14:solidFill>
                    <w14:schemeClr w14:val="tx1"/>
                  </w14:solidFill>
                </w14:textFill>
              </w:rPr>
              <w:t>综上所述，</w:t>
            </w:r>
            <w:r>
              <w:rPr>
                <w:rFonts w:hint="eastAsia"/>
                <w:b w:val="0"/>
                <w:bCs/>
                <w:color w:val="000000" w:themeColor="text1"/>
                <w:sz w:val="24"/>
                <w:szCs w:val="24"/>
                <w:highlight w:val="none"/>
                <w:u w:val="none"/>
                <w:lang w:val="en-US" w:eastAsia="zh-CN"/>
                <w14:textFill>
                  <w14:solidFill>
                    <w14:schemeClr w14:val="tx1"/>
                  </w14:solidFill>
                </w14:textFill>
              </w:rPr>
              <w:t>扩建</w:t>
            </w:r>
            <w:r>
              <w:rPr>
                <w:rFonts w:hint="default"/>
                <w:b w:val="0"/>
                <w:bCs/>
                <w:color w:val="000000" w:themeColor="text1"/>
                <w:sz w:val="24"/>
                <w:szCs w:val="24"/>
                <w:highlight w:val="none"/>
                <w:u w:val="none"/>
                <w:lang w:eastAsia="zh-CN"/>
                <w14:textFill>
                  <w14:solidFill>
                    <w14:schemeClr w14:val="tx1"/>
                  </w14:solidFill>
                </w14:textFill>
              </w:rPr>
              <w:t>项目</w:t>
            </w:r>
            <w:r>
              <w:rPr>
                <w:rFonts w:hint="default"/>
                <w:b w:val="0"/>
                <w:bCs/>
                <w:color w:val="000000" w:themeColor="text1"/>
                <w:sz w:val="24"/>
                <w:szCs w:val="24"/>
                <w:highlight w:val="none"/>
                <w:u w:val="none"/>
                <w14:textFill>
                  <w14:solidFill>
                    <w14:schemeClr w14:val="tx1"/>
                  </w14:solidFill>
                </w14:textFill>
              </w:rPr>
              <w:t>产生的固体废物采取以上措施后可全部合理安全处置，对周围环境影响较小。</w:t>
            </w:r>
          </w:p>
          <w:p w14:paraId="61BDF812">
            <w:pPr>
              <w:keepNext w:val="0"/>
              <w:keepLines w:val="0"/>
              <w:pageBreakBefore w:val="0"/>
              <w:widowControl w:val="0"/>
              <w:numPr>
                <w:ilvl w:val="0"/>
                <w:numId w:val="10"/>
              </w:numPr>
              <w:kinsoku/>
              <w:wordWrap/>
              <w:overflowPunct/>
              <w:topLinePunct w:val="0"/>
              <w:autoSpaceDE/>
              <w:autoSpaceDN/>
              <w:bidi w:val="0"/>
              <w:adjustRightInd/>
              <w:snapToGrid w:val="0"/>
              <w:spacing w:line="420" w:lineRule="auto"/>
              <w:textAlignment w:val="auto"/>
              <w:rPr>
                <w:rFonts w:hint="default"/>
                <w:b/>
                <w:bCs/>
                <w:color w:val="000000" w:themeColor="text1"/>
                <w:sz w:val="24"/>
                <w:szCs w:val="24"/>
                <w:highlight w:val="none"/>
                <w14:textFill>
                  <w14:solidFill>
                    <w14:schemeClr w14:val="tx1"/>
                  </w14:solidFill>
                </w14:textFill>
              </w:rPr>
            </w:pPr>
            <w:r>
              <w:rPr>
                <w:rFonts w:hint="default"/>
                <w:b/>
                <w:bCs/>
                <w:color w:val="000000" w:themeColor="text1"/>
                <w:sz w:val="24"/>
                <w:szCs w:val="24"/>
                <w:highlight w:val="none"/>
                <w14:textFill>
                  <w14:solidFill>
                    <w14:schemeClr w14:val="tx1"/>
                  </w14:solidFill>
                </w14:textFill>
              </w:rPr>
              <w:t>地下水</w:t>
            </w: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土壤</w:t>
            </w:r>
            <w:r>
              <w:rPr>
                <w:rFonts w:hint="default"/>
                <w:b/>
                <w:bCs/>
                <w:color w:val="000000" w:themeColor="text1"/>
                <w:sz w:val="24"/>
                <w:szCs w:val="24"/>
                <w:highlight w:val="none"/>
                <w14:textFill>
                  <w14:solidFill>
                    <w14:schemeClr w14:val="tx1"/>
                  </w14:solidFill>
                </w14:textFill>
              </w:rPr>
              <w:t>环境影响分析</w:t>
            </w:r>
          </w:p>
          <w:p w14:paraId="6AD7BBDE">
            <w:pPr>
              <w:keepNext w:val="0"/>
              <w:keepLines w:val="0"/>
              <w:pageBreakBefore w:val="0"/>
              <w:widowControl w:val="0"/>
              <w:numPr>
                <w:ilvl w:val="0"/>
                <w:numId w:val="11"/>
              </w:numPr>
              <w:kinsoku/>
              <w:wordWrap/>
              <w:overflowPunct/>
              <w:topLinePunct w:val="0"/>
              <w:autoSpaceDE/>
              <w:autoSpaceDN/>
              <w:bidi w:val="0"/>
              <w:adjustRightInd/>
              <w:snapToGrid w:val="0"/>
              <w:spacing w:line="420" w:lineRule="auto"/>
              <w:ind w:firstLine="482" w:firstLineChars="200"/>
              <w:textAlignment w:val="auto"/>
              <w:rPr>
                <w:rFonts w:hint="eastAsia" w:ascii="Times New Roman" w:hAnsi="Times New Roman" w:cs="Times New Roman"/>
                <w:b/>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24"/>
                <w:szCs w:val="24"/>
                <w:highlight w:val="none"/>
                <w:lang w:val="en-US" w:eastAsia="zh-CN" w:bidi="ar-SA"/>
                <w14:textFill>
                  <w14:solidFill>
                    <w14:schemeClr w14:val="tx1"/>
                  </w14:solidFill>
                </w14:textFill>
              </w:rPr>
              <w:t>污染源、污染物类型及污染途径</w:t>
            </w:r>
          </w:p>
          <w:p w14:paraId="77D32114">
            <w:pPr>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firstLine="480" w:firstLineChars="200"/>
              <w:textAlignment w:val="auto"/>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扩建项目对地下水、土壤环境可能造成影响的主要为污水处理站泄露，主要污染物为废水，泄露后以渗透为主，可能进入地下水层造成地下水水质污染和土壤污染。</w:t>
            </w:r>
          </w:p>
          <w:p w14:paraId="3791F9B7">
            <w:pPr>
              <w:keepNext w:val="0"/>
              <w:keepLines w:val="0"/>
              <w:pageBreakBefore w:val="0"/>
              <w:widowControl w:val="0"/>
              <w:numPr>
                <w:ilvl w:val="0"/>
                <w:numId w:val="11"/>
              </w:numPr>
              <w:kinsoku/>
              <w:wordWrap/>
              <w:overflowPunct/>
              <w:topLinePunct w:val="0"/>
              <w:autoSpaceDE/>
              <w:autoSpaceDN/>
              <w:bidi w:val="0"/>
              <w:adjustRightInd/>
              <w:snapToGrid w:val="0"/>
              <w:spacing w:line="420" w:lineRule="auto"/>
              <w:ind w:left="0" w:leftChars="0" w:firstLine="482" w:firstLineChars="200"/>
              <w:textAlignment w:val="auto"/>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分区防控措施</w:t>
            </w:r>
          </w:p>
          <w:p w14:paraId="3DD27A79">
            <w:pPr>
              <w:keepNext w:val="0"/>
              <w:keepLines w:val="0"/>
              <w:pageBreakBefore w:val="0"/>
              <w:widowControl w:val="0"/>
              <w:numPr>
                <w:ilvl w:val="0"/>
                <w:numId w:val="0"/>
              </w:numPr>
              <w:kinsoku/>
              <w:wordWrap/>
              <w:overflowPunct/>
              <w:topLinePunct w:val="0"/>
              <w:autoSpaceDE/>
              <w:autoSpaceDN/>
              <w:bidi w:val="0"/>
              <w:adjustRightInd/>
              <w:snapToGrid w:val="0"/>
              <w:spacing w:line="420" w:lineRule="auto"/>
              <w:ind w:leftChars="0" w:firstLine="480" w:firstLineChars="200"/>
              <w:textAlignment w:val="auto"/>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根据</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扩建项目</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厂区可能泄漏至地面区域污染物的性质和生产单元的构筑方式，将厂区划分为重点污染防治区、一般污染防治区和非污染防治区。针对不同的区域提出相应的防渗要求。</w:t>
            </w:r>
          </w:p>
          <w:p w14:paraId="06DED866">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1）重点污染防治区：</w:t>
            </w:r>
          </w:p>
          <w:p w14:paraId="4DB976FB">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扩建项目</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重点防渗区为</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污水处理站、</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危废暂存间</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、污泥暂存间</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p>
          <w:p w14:paraId="1BA05CDE">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对于重点污染防治区，参照《危险废物贮存污染控制标准》 (</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GB18597-2023</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 的要求进行防渗设计</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并采取“防风、防雨、防晒、防渗漏”措施。</w:t>
            </w:r>
          </w:p>
          <w:p w14:paraId="505CC6C8">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重点污染防治区：基础必须防渗，</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防渗层为至少1m厚粘土层（渗透系数≤10</w:t>
            </w:r>
            <w:r>
              <w:rPr>
                <w:rFonts w:hint="default" w:ascii="Times New Roman" w:hAnsi="Times New Roman" w:eastAsia="宋体" w:cs="Times New Roman"/>
                <w:color w:val="000000" w:themeColor="text1"/>
                <w:kern w:val="2"/>
                <w:sz w:val="24"/>
                <w:szCs w:val="24"/>
                <w:highlight w:val="none"/>
                <w:u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cm/s），或者2mm厚高密度聚乙烯，或至少2mm的其他人工材料（渗透系数≤10</w:t>
            </w:r>
            <w:r>
              <w:rPr>
                <w:rFonts w:hint="default" w:ascii="Times New Roman" w:hAnsi="Times New Roman" w:eastAsia="宋体" w:cs="Times New Roman"/>
                <w:color w:val="000000" w:themeColor="text1"/>
                <w:kern w:val="2"/>
                <w:sz w:val="24"/>
                <w:szCs w:val="24"/>
                <w:highlight w:val="none"/>
                <w:u w:val="none"/>
                <w:vertAlign w:val="superscript"/>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u w:val="none"/>
                <w:vertAlign w:val="superscript"/>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 xml:space="preserve">cm/s）。 </w:t>
            </w:r>
          </w:p>
          <w:p w14:paraId="5B2702E8">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2）一般污染防治区</w:t>
            </w:r>
          </w:p>
          <w:p w14:paraId="794604AD">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扩建项目</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一般污染防治区</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为感染病楼房、垃圾暂存站、厂区道路</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w:t>
            </w:r>
          </w:p>
          <w:p w14:paraId="62707AFF">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对于一般污染防治区，参照《一般工业固体废物贮存</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和填埋</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污染控制标准》（GB18599</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-2020</w:t>
            </w: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 xml:space="preserve">）Ⅱ类场进行设计。 </w:t>
            </w:r>
          </w:p>
          <w:p w14:paraId="522DDB26">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一般污染区防渗要求：</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全部进行水泥硬化处理，采取三合土铺底，再在上层铺 15</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20cm的水泥进行硬化</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w:t>
            </w:r>
          </w:p>
          <w:p w14:paraId="626CA567">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3）非污染防治区</w:t>
            </w:r>
          </w:p>
          <w:p w14:paraId="1DD752D6">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扩建项目</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非污染防治区是指不会对土壤和地下水造成污染的区域，主要</w:t>
            </w:r>
            <w:r>
              <w:rPr>
                <w:rFonts w:hint="eastAsia" w:ascii="Times New Roman" w:hAnsi="Times New Roman" w:cs="Times New Roman"/>
                <w:color w:val="000000" w:themeColor="text1"/>
                <w:kern w:val="2"/>
                <w:sz w:val="24"/>
                <w:szCs w:val="24"/>
                <w:highlight w:val="none"/>
                <w:u w:val="none"/>
                <w:lang w:val="en-US" w:eastAsia="zh-CN" w:bidi="ar-SA"/>
                <w14:textFill>
                  <w14:solidFill>
                    <w14:schemeClr w14:val="tx1"/>
                  </w14:solidFill>
                </w14:textFill>
              </w:rPr>
              <w:t>为地上停车场</w:t>
            </w:r>
            <w:r>
              <w:rPr>
                <w:rFonts w:hint="eastAsia" w:ascii="Times New Roman" w:hAnsi="Times New Roman" w:eastAsia="宋体" w:cs="Times New Roman"/>
                <w:color w:val="000000" w:themeColor="text1"/>
                <w:kern w:val="2"/>
                <w:sz w:val="24"/>
                <w:szCs w:val="24"/>
                <w:highlight w:val="none"/>
                <w:u w:val="none"/>
                <w:lang w:val="en-US" w:eastAsia="zh-CN" w:bidi="ar-SA"/>
                <w14:textFill>
                  <w14:solidFill>
                    <w14:schemeClr w14:val="tx1"/>
                  </w14:solidFill>
                </w14:textFill>
              </w:rPr>
              <w:t>。对于基本上不产生污染物的非污染防治区，不采取专门针对地下水污染的防治措施。</w:t>
            </w:r>
          </w:p>
          <w:p w14:paraId="50DAF034">
            <w:pPr>
              <w:pStyle w:val="104"/>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textAlignment w:val="auto"/>
              <w:rPr>
                <w:rFonts w:hint="default" w:ascii="黑体" w:hAnsi="黑体" w:eastAsia="黑体" w:cs="Times New Roman"/>
                <w:bCs/>
                <w:color w:val="000000" w:themeColor="text1"/>
                <w:highlight w:val="none"/>
                <w:lang w:val="en-US" w:eastAsia="zh-CN"/>
                <w14:textFill>
                  <w14:solidFill>
                    <w14:schemeClr w14:val="tx1"/>
                  </w14:solidFill>
                </w14:textFill>
              </w:rPr>
            </w:pPr>
            <w:r>
              <w:rPr>
                <w:rFonts w:hint="eastAsia" w:ascii="黑体" w:hAnsi="黑体" w:eastAsia="黑体" w:cs="Times New Roman"/>
                <w:bCs/>
                <w:color w:val="000000" w:themeColor="text1"/>
                <w:highlight w:val="none"/>
                <w:lang w:val="en-US" w:eastAsia="zh-CN"/>
                <w14:textFill>
                  <w14:solidFill>
                    <w14:schemeClr w14:val="tx1"/>
                  </w14:solidFill>
                </w14:textFill>
              </w:rPr>
              <w:t xml:space="preserve">   </w:t>
            </w:r>
            <w:r>
              <w:rPr>
                <w:rFonts w:hint="eastAsia" w:ascii="Times New Roman" w:hAnsi="Times New Roman" w:cs="Times New Roman"/>
                <w:color w:val="000000" w:themeColor="text1"/>
                <w:highlight w:val="none"/>
                <w:lang w:val="en-US" w:eastAsia="zh-CN"/>
                <w14:textFill>
                  <w14:solidFill>
                    <w14:schemeClr w14:val="tx1"/>
                  </w14:solidFill>
                </w14:textFill>
              </w:rPr>
              <w:t xml:space="preserve"> </w:t>
            </w:r>
            <w:r>
              <w:rPr>
                <w:rFonts w:hint="eastAsia" w:ascii="黑体" w:hAnsi="黑体" w:eastAsia="黑体" w:cs="Times New Roman"/>
                <w:bCs/>
                <w:color w:val="000000" w:themeColor="text1"/>
                <w:highlight w:val="none"/>
                <w:lang w:val="en-US" w:eastAsia="zh-CN"/>
                <w14:textFill>
                  <w14:solidFill>
                    <w14:schemeClr w14:val="tx1"/>
                  </w14:solidFill>
                </w14:textFill>
              </w:rPr>
              <w:t>项目防渗分区识别表</w:t>
            </w:r>
          </w:p>
          <w:tbl>
            <w:tblPr>
              <w:tblStyle w:val="35"/>
              <w:tblW w:w="8080"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565"/>
              <w:gridCol w:w="1147"/>
              <w:gridCol w:w="876"/>
              <w:gridCol w:w="3824"/>
            </w:tblGrid>
            <w:tr w14:paraId="5C8C8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8" w:type="dxa"/>
                  <w:tcBorders>
                    <w:tl2br w:val="nil"/>
                    <w:tr2bl w:val="nil"/>
                  </w:tcBorders>
                  <w:noWrap w:val="0"/>
                  <w:vAlign w:val="center"/>
                </w:tcPr>
                <w:p w14:paraId="3401DF36">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序号</w:t>
                  </w:r>
                </w:p>
              </w:tc>
              <w:tc>
                <w:tcPr>
                  <w:tcW w:w="1565" w:type="dxa"/>
                  <w:tcBorders>
                    <w:tl2br w:val="nil"/>
                    <w:tr2bl w:val="nil"/>
                  </w:tcBorders>
                  <w:noWrap w:val="0"/>
                  <w:vAlign w:val="center"/>
                </w:tcPr>
                <w:p w14:paraId="55A4AED3">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装置（单元、设施）名称</w:t>
                  </w:r>
                </w:p>
              </w:tc>
              <w:tc>
                <w:tcPr>
                  <w:tcW w:w="1147" w:type="dxa"/>
                  <w:tcBorders>
                    <w:tl2br w:val="nil"/>
                    <w:tr2bl w:val="nil"/>
                  </w:tcBorders>
                  <w:noWrap w:val="0"/>
                  <w:vAlign w:val="center"/>
                </w:tcPr>
                <w:p w14:paraId="106642AE">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防渗区域</w:t>
                  </w:r>
                </w:p>
              </w:tc>
              <w:tc>
                <w:tcPr>
                  <w:tcW w:w="876" w:type="dxa"/>
                  <w:tcBorders>
                    <w:tl2br w:val="nil"/>
                    <w:tr2bl w:val="nil"/>
                  </w:tcBorders>
                  <w:noWrap w:val="0"/>
                  <w:vAlign w:val="center"/>
                </w:tcPr>
                <w:p w14:paraId="37B565AD">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识别结果</w:t>
                  </w:r>
                </w:p>
              </w:tc>
              <w:tc>
                <w:tcPr>
                  <w:tcW w:w="3824" w:type="dxa"/>
                  <w:tcBorders>
                    <w:tl2br w:val="nil"/>
                    <w:tr2bl w:val="nil"/>
                  </w:tcBorders>
                  <w:noWrap w:val="0"/>
                  <w:vAlign w:val="center"/>
                </w:tcPr>
                <w:p w14:paraId="47D12B12">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防渗措施</w:t>
                  </w:r>
                </w:p>
              </w:tc>
            </w:tr>
            <w:tr w14:paraId="0FD07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8" w:type="dxa"/>
                  <w:tcBorders>
                    <w:tl2br w:val="nil"/>
                    <w:tr2bl w:val="nil"/>
                  </w:tcBorders>
                  <w:noWrap w:val="0"/>
                  <w:vAlign w:val="center"/>
                </w:tcPr>
                <w:p w14:paraId="79B3DF14">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1</w:t>
                  </w:r>
                </w:p>
              </w:tc>
              <w:tc>
                <w:tcPr>
                  <w:tcW w:w="1565" w:type="dxa"/>
                  <w:tcBorders>
                    <w:tl2br w:val="nil"/>
                    <w:tr2bl w:val="nil"/>
                  </w:tcBorders>
                  <w:noWrap w:val="0"/>
                  <w:vAlign w:val="center"/>
                </w:tcPr>
                <w:p w14:paraId="269D005D">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污水处理站、危废暂存间、污泥暂存间</w:t>
                  </w:r>
                </w:p>
              </w:tc>
              <w:tc>
                <w:tcPr>
                  <w:tcW w:w="1147" w:type="dxa"/>
                  <w:tcBorders>
                    <w:tl2br w:val="nil"/>
                    <w:tr2bl w:val="nil"/>
                  </w:tcBorders>
                  <w:noWrap w:val="0"/>
                  <w:vAlign w:val="center"/>
                </w:tcPr>
                <w:p w14:paraId="626FE69E">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地面、裙角、池内</w:t>
                  </w:r>
                </w:p>
              </w:tc>
              <w:tc>
                <w:tcPr>
                  <w:tcW w:w="876" w:type="dxa"/>
                  <w:tcBorders>
                    <w:tl2br w:val="nil"/>
                    <w:tr2bl w:val="nil"/>
                  </w:tcBorders>
                  <w:noWrap w:val="0"/>
                  <w:vAlign w:val="center"/>
                </w:tcPr>
                <w:p w14:paraId="729C2A05">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重点污染防治区</w:t>
                  </w:r>
                </w:p>
              </w:tc>
              <w:tc>
                <w:tcPr>
                  <w:tcW w:w="3824" w:type="dxa"/>
                  <w:tcBorders>
                    <w:tl2br w:val="nil"/>
                    <w:tr2bl w:val="nil"/>
                  </w:tcBorders>
                  <w:noWrap w:val="0"/>
                  <w:vAlign w:val="center"/>
                </w:tcPr>
                <w:p w14:paraId="26E18752">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至少1m厚粘土层（渗透系数≤10</w:t>
                  </w:r>
                  <w:r>
                    <w:rPr>
                      <w:rFonts w:hint="default" w:ascii="Times New Roman" w:hAnsi="Times New Roman" w:eastAsia="宋体" w:cs="Times New Roman"/>
                      <w:color w:val="000000" w:themeColor="text1"/>
                      <w:kern w:val="2"/>
                      <w:sz w:val="21"/>
                      <w:szCs w:val="21"/>
                      <w:highlight w:val="none"/>
                      <w:u w:val="none"/>
                      <w:vertAlign w:val="superscript"/>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cm/s），或者2mm厚高密度聚乙烯，或至少2mm的其他人工材料（渗透系数≤10</w:t>
                  </w:r>
                  <w:r>
                    <w:rPr>
                      <w:rFonts w:hint="default" w:ascii="Times New Roman" w:hAnsi="Times New Roman" w:eastAsia="宋体" w:cs="Times New Roman"/>
                      <w:color w:val="000000" w:themeColor="text1"/>
                      <w:kern w:val="2"/>
                      <w:sz w:val="21"/>
                      <w:szCs w:val="21"/>
                      <w:highlight w:val="none"/>
                      <w:u w:val="none"/>
                      <w:vertAlign w:val="superscript"/>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u w:val="none"/>
                      <w:vertAlign w:val="superscript"/>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t>cm/s）</w:t>
                  </w:r>
                </w:p>
              </w:tc>
            </w:tr>
            <w:tr w14:paraId="273F6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8" w:type="dxa"/>
                  <w:tcBorders>
                    <w:tl2br w:val="nil"/>
                    <w:tr2bl w:val="nil"/>
                  </w:tcBorders>
                  <w:noWrap w:val="0"/>
                  <w:vAlign w:val="center"/>
                </w:tcPr>
                <w:p w14:paraId="612C3599">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2</w:t>
                  </w:r>
                </w:p>
              </w:tc>
              <w:tc>
                <w:tcPr>
                  <w:tcW w:w="1565" w:type="dxa"/>
                  <w:tcBorders>
                    <w:tl2br w:val="nil"/>
                    <w:tr2bl w:val="nil"/>
                  </w:tcBorders>
                  <w:noWrap w:val="0"/>
                  <w:vAlign w:val="center"/>
                </w:tcPr>
                <w:p w14:paraId="2383C226">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精神病</w:t>
                  </w:r>
                  <w:r>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楼房、</w:t>
                  </w: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垃圾暂存站、</w:t>
                  </w:r>
                  <w:r>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厂区道路</w:t>
                  </w:r>
                </w:p>
              </w:tc>
              <w:tc>
                <w:tcPr>
                  <w:tcW w:w="1147" w:type="dxa"/>
                  <w:tcBorders>
                    <w:tl2br w:val="nil"/>
                    <w:tr2bl w:val="nil"/>
                  </w:tcBorders>
                  <w:noWrap w:val="0"/>
                  <w:vAlign w:val="center"/>
                </w:tcPr>
                <w:p w14:paraId="5FA8CE45">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地面</w:t>
                  </w:r>
                </w:p>
              </w:tc>
              <w:tc>
                <w:tcPr>
                  <w:tcW w:w="876" w:type="dxa"/>
                  <w:tcBorders>
                    <w:tl2br w:val="nil"/>
                    <w:tr2bl w:val="nil"/>
                  </w:tcBorders>
                  <w:noWrap w:val="0"/>
                  <w:vAlign w:val="center"/>
                </w:tcPr>
                <w:p w14:paraId="27C2B8DC">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一般污染防治区</w:t>
                  </w:r>
                </w:p>
              </w:tc>
              <w:tc>
                <w:tcPr>
                  <w:tcW w:w="3824" w:type="dxa"/>
                  <w:tcBorders>
                    <w:tl2br w:val="nil"/>
                    <w:tr2bl w:val="nil"/>
                  </w:tcBorders>
                  <w:noWrap w:val="0"/>
                  <w:vAlign w:val="center"/>
                </w:tcPr>
                <w:p w14:paraId="36936705">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全部进行水泥硬化处理，采取三合土铺底，再在上层铺15</w:t>
                  </w: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20cm的水泥进行硬化</w:t>
                  </w:r>
                </w:p>
              </w:tc>
            </w:tr>
            <w:tr w14:paraId="1373F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8" w:type="dxa"/>
                  <w:tcBorders>
                    <w:tl2br w:val="nil"/>
                    <w:tr2bl w:val="nil"/>
                  </w:tcBorders>
                  <w:noWrap w:val="0"/>
                  <w:vAlign w:val="center"/>
                </w:tcPr>
                <w:p w14:paraId="7B8B4843">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3</w:t>
                  </w:r>
                </w:p>
              </w:tc>
              <w:tc>
                <w:tcPr>
                  <w:tcW w:w="1565" w:type="dxa"/>
                  <w:tcBorders>
                    <w:tl2br w:val="nil"/>
                    <w:tr2bl w:val="nil"/>
                  </w:tcBorders>
                  <w:noWrap w:val="0"/>
                  <w:vAlign w:val="center"/>
                </w:tcPr>
                <w:p w14:paraId="0365E2D0">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地上停车场</w:t>
                  </w:r>
                </w:p>
              </w:tc>
              <w:tc>
                <w:tcPr>
                  <w:tcW w:w="1147" w:type="dxa"/>
                  <w:tcBorders>
                    <w:tl2br w:val="nil"/>
                    <w:tr2bl w:val="nil"/>
                  </w:tcBorders>
                  <w:noWrap w:val="0"/>
                  <w:vAlign w:val="center"/>
                </w:tcPr>
                <w:p w14:paraId="2F41D49C">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地面</w:t>
                  </w:r>
                </w:p>
              </w:tc>
              <w:tc>
                <w:tcPr>
                  <w:tcW w:w="876" w:type="dxa"/>
                  <w:tcBorders>
                    <w:tl2br w:val="nil"/>
                    <w:tr2bl w:val="nil"/>
                  </w:tcBorders>
                  <w:noWrap w:val="0"/>
                  <w:vAlign w:val="center"/>
                </w:tcPr>
                <w:p w14:paraId="1F3CC1E1">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非污染防治区</w:t>
                  </w:r>
                </w:p>
              </w:tc>
              <w:tc>
                <w:tcPr>
                  <w:tcW w:w="3824" w:type="dxa"/>
                  <w:tcBorders>
                    <w:tl2br w:val="nil"/>
                    <w:tr2bl w:val="nil"/>
                  </w:tcBorders>
                  <w:noWrap w:val="0"/>
                  <w:vAlign w:val="center"/>
                </w:tcPr>
                <w:p w14:paraId="51DC8A20">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u w:val="none"/>
                      <w:vertAlign w:val="baseline"/>
                      <w:lang w:val="en-US" w:eastAsia="zh-CN" w:bidi="ar-SA"/>
                      <w14:textFill>
                        <w14:solidFill>
                          <w14:schemeClr w14:val="tx1"/>
                        </w14:solidFill>
                      </w14:textFill>
                    </w:rPr>
                    <w:t>一般地面硬化</w:t>
                  </w:r>
                </w:p>
              </w:tc>
            </w:tr>
          </w:tbl>
          <w:p w14:paraId="6FA3DC4C">
            <w:pPr>
              <w:pStyle w:val="20"/>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bC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24"/>
                <w:szCs w:val="24"/>
                <w:highlight w:val="none"/>
                <w:lang w:val="en-US" w:eastAsia="zh-CN" w:bidi="ar-SA"/>
                <w14:textFill>
                  <w14:solidFill>
                    <w14:schemeClr w14:val="tx1"/>
                  </w14:solidFill>
                </w14:textFill>
              </w:rPr>
              <w:t>（3）土壤环境污染防控措施</w:t>
            </w:r>
          </w:p>
          <w:p w14:paraId="36521755">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扩建项目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营运期可能迁移进入土壤坏境的影响主要包含大气沉降影响，废水、危废、原料垂直入渗影响。针对上述迁移方式，防控措施包括：</w:t>
            </w:r>
          </w:p>
          <w:p w14:paraId="4B49040A">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（1）源头控制措施</w:t>
            </w:r>
          </w:p>
          <w:p w14:paraId="2613A1B9">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①配套建设污染处理设施并保持正常运转，防止产生的废气、废水、固废等对土壤造成污染和危害；</w:t>
            </w:r>
          </w:p>
          <w:p w14:paraId="62DBDAD3">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②收集、贮存、运输化学物品、固体废物及其他有毒有害物品，应当采取措施防止沱染物泄漏及扩散</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p>
          <w:p w14:paraId="5CDD8172">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③定期巡查生产及环境保护设施设备的运行情况，及时发现并处理生产过程中材料、产品或者废物的扬散、流失和渗漏等问题。</w:t>
            </w:r>
          </w:p>
          <w:p w14:paraId="2B189C0F">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（2）过程防控措施</w:t>
            </w:r>
          </w:p>
          <w:p w14:paraId="1212A9DA">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院内</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空地采取绿化措施，种植具有较强吸附能力的植物。</w:t>
            </w:r>
          </w:p>
          <w:p w14:paraId="6CA48284">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②加强项目废气</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、废水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处理设施运行维护，确保废气</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、废水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处理设施稳定运行，各类污染物达标排放。</w:t>
            </w:r>
          </w:p>
          <w:p w14:paraId="7C9908D3">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综上所述，</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扩建项目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对可能产生地下水、土壤影响的各项途径均进行有效预防，在做好各项防渗措施、加强厂区环境管理的基础上，可有效控制厂区内的污染物渗漏至土壤中的现象，对地下水、土壤环境影响较小。</w:t>
            </w:r>
          </w:p>
          <w:p w14:paraId="263B32BA">
            <w:pPr>
              <w:keepNext w:val="0"/>
              <w:keepLines w:val="0"/>
              <w:pageBreakBefore w:val="0"/>
              <w:widowControl w:val="0"/>
              <w:kinsoku/>
              <w:wordWrap/>
              <w:overflowPunct/>
              <w:topLinePunct w:val="0"/>
              <w:autoSpaceDE/>
              <w:autoSpaceDN/>
              <w:bidi w:val="0"/>
              <w:adjustRightInd/>
              <w:snapToGrid/>
              <w:spacing w:before="157" w:beforeLines="50" w:line="420" w:lineRule="auto"/>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六</w:t>
            </w:r>
            <w:r>
              <w:rPr>
                <w:rFonts w:hint="default"/>
                <w:b/>
                <w:bCs/>
                <w:color w:val="000000" w:themeColor="text1"/>
                <w:sz w:val="24"/>
                <w:szCs w:val="24"/>
                <w:highlight w:val="none"/>
                <w:lang w:val="en-US" w:eastAsia="zh-CN"/>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生态影响分析</w:t>
            </w:r>
          </w:p>
          <w:p w14:paraId="4C12684B">
            <w:pPr>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textAlignment w:val="auto"/>
              <w:rPr>
                <w:rFonts w:hint="eastAsia" w:ascii="宋体" w:hAnsi="宋体" w:cs="宋体"/>
                <w:bCs/>
                <w:color w:val="000000" w:themeColor="text1"/>
                <w:spacing w:val="0"/>
                <w:kern w:val="21"/>
                <w:sz w:val="24"/>
                <w:szCs w:val="24"/>
                <w:highlight w:val="none"/>
                <w14:textFill>
                  <w14:solidFill>
                    <w14:schemeClr w14:val="tx1"/>
                  </w14:solidFill>
                </w14:textFill>
              </w:rPr>
            </w:pPr>
            <w:r>
              <w:rPr>
                <w:rFonts w:hint="eastAsia" w:ascii="宋体" w:hAnsi="宋体" w:cs="宋体"/>
                <w:bCs/>
                <w:color w:val="000000" w:themeColor="text1"/>
                <w:spacing w:val="0"/>
                <w:kern w:val="21"/>
                <w:sz w:val="24"/>
                <w:szCs w:val="24"/>
                <w:highlight w:val="none"/>
                <w:lang w:val="en-US" w:eastAsia="zh-CN"/>
                <w14:textFill>
                  <w14:solidFill>
                    <w14:schemeClr w14:val="tx1"/>
                  </w14:solidFill>
                </w14:textFill>
              </w:rPr>
              <w:t>扩建项目</w:t>
            </w:r>
            <w:r>
              <w:rPr>
                <w:rFonts w:hint="eastAsia" w:ascii="宋体" w:hAnsi="宋体" w:cs="宋体"/>
                <w:bCs/>
                <w:color w:val="000000" w:themeColor="text1"/>
                <w:spacing w:val="0"/>
                <w:kern w:val="21"/>
                <w:sz w:val="24"/>
                <w:szCs w:val="24"/>
                <w:highlight w:val="none"/>
                <w14:textFill>
                  <w14:solidFill>
                    <w14:schemeClr w14:val="tx1"/>
                  </w14:solidFill>
                </w14:textFill>
              </w:rPr>
              <w:t>用地范围内</w:t>
            </w:r>
            <w:r>
              <w:rPr>
                <w:rFonts w:hint="eastAsia" w:ascii="宋体" w:hAnsi="宋体" w:cs="宋体"/>
                <w:bCs/>
                <w:color w:val="000000" w:themeColor="text1"/>
                <w:spacing w:val="0"/>
                <w:kern w:val="21"/>
                <w:sz w:val="24"/>
                <w:szCs w:val="24"/>
                <w:highlight w:val="none"/>
                <w:lang w:val="en-US" w:eastAsia="zh-CN"/>
                <w14:textFill>
                  <w14:solidFill>
                    <w14:schemeClr w14:val="tx1"/>
                  </w14:solidFill>
                </w14:textFill>
              </w:rPr>
              <w:t>无</w:t>
            </w:r>
            <w:r>
              <w:rPr>
                <w:rFonts w:hint="eastAsia" w:ascii="宋体" w:hAnsi="宋体" w:cs="宋体"/>
                <w:bCs/>
                <w:color w:val="000000" w:themeColor="text1"/>
                <w:spacing w:val="0"/>
                <w:kern w:val="21"/>
                <w:sz w:val="24"/>
                <w:szCs w:val="24"/>
                <w:highlight w:val="none"/>
                <w14:textFill>
                  <w14:solidFill>
                    <w14:schemeClr w14:val="tx1"/>
                  </w14:solidFill>
                </w14:textFill>
              </w:rPr>
              <w:t>生态环境保护目标，</w:t>
            </w:r>
            <w:r>
              <w:rPr>
                <w:rFonts w:hint="eastAsia" w:ascii="宋体" w:hAnsi="宋体" w:cs="宋体"/>
                <w:bCs/>
                <w:color w:val="000000" w:themeColor="text1"/>
                <w:spacing w:val="0"/>
                <w:kern w:val="21"/>
                <w:sz w:val="24"/>
                <w:szCs w:val="24"/>
                <w:highlight w:val="none"/>
                <w:lang w:val="en-US" w:eastAsia="zh-CN"/>
                <w14:textFill>
                  <w14:solidFill>
                    <w14:schemeClr w14:val="tx1"/>
                  </w14:solidFill>
                </w14:textFill>
              </w:rPr>
              <w:t>本次不进行生态影响分析</w:t>
            </w:r>
            <w:r>
              <w:rPr>
                <w:rFonts w:hint="eastAsia" w:ascii="宋体" w:hAnsi="宋体" w:cs="宋体"/>
                <w:bCs/>
                <w:color w:val="000000" w:themeColor="text1"/>
                <w:spacing w:val="0"/>
                <w:kern w:val="21"/>
                <w:sz w:val="24"/>
                <w:szCs w:val="24"/>
                <w:highlight w:val="none"/>
                <w14:textFill>
                  <w14:solidFill>
                    <w14:schemeClr w14:val="tx1"/>
                  </w14:solidFill>
                </w14:textFill>
              </w:rPr>
              <w:t>。</w:t>
            </w:r>
          </w:p>
          <w:p w14:paraId="4DB0FD14">
            <w:pPr>
              <w:keepNext w:val="0"/>
              <w:keepLines w:val="0"/>
              <w:pageBreakBefore w:val="0"/>
              <w:widowControl w:val="0"/>
              <w:kinsoku/>
              <w:wordWrap/>
              <w:overflowPunct/>
              <w:topLinePunct w:val="0"/>
              <w:autoSpaceDE/>
              <w:autoSpaceDN/>
              <w:bidi w:val="0"/>
              <w:adjustRightInd/>
              <w:snapToGrid/>
              <w:spacing w:line="420" w:lineRule="auto"/>
              <w:jc w:val="left"/>
              <w:textAlignment w:val="baseline"/>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七</w:t>
            </w:r>
            <w:r>
              <w:rPr>
                <w:rFonts w:hint="default"/>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环境风险</w:t>
            </w:r>
          </w:p>
          <w:p w14:paraId="5FC37AE5">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环境风险潜势判定</w:t>
            </w:r>
          </w:p>
          <w:p w14:paraId="4D61FA97">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扩建项目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涉及风险的物质主要为</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化验室使用的酸碱、有机溶剂等。</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《建设项目环境风险评价技术导则》（HJ169-2018）附录B</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扩建项目</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风险物质危险性及临界量、存储量情况见下表。</w:t>
            </w:r>
          </w:p>
          <w:p w14:paraId="3A864FA4">
            <w:pPr>
              <w:pStyle w:val="104"/>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textAlignment w:val="auto"/>
              <w:rPr>
                <w:rFonts w:hint="default" w:ascii="黑体" w:hAnsi="黑体" w:eastAsia="黑体" w:cs="Times New Roman"/>
                <w:bCs/>
                <w:color w:val="000000" w:themeColor="text1"/>
                <w:highlight w:val="none"/>
                <w:lang w:val="en-US" w:eastAsia="zh-CN"/>
                <w14:textFill>
                  <w14:solidFill>
                    <w14:schemeClr w14:val="tx1"/>
                  </w14:solidFill>
                </w14:textFill>
              </w:rPr>
            </w:pPr>
            <w:r>
              <w:rPr>
                <w:rFonts w:hint="eastAsia" w:ascii="黑体" w:hAnsi="黑体" w:eastAsia="黑体" w:cs="Times New Roman"/>
                <w:bCs/>
                <w:color w:val="000000" w:themeColor="text1"/>
                <w:highlight w:val="none"/>
                <w:lang w:val="en-US" w:eastAsia="zh-CN"/>
                <w14:textFill>
                  <w14:solidFill>
                    <w14:schemeClr w14:val="tx1"/>
                  </w14:solidFill>
                </w14:textFill>
              </w:rPr>
              <w:t xml:space="preserve">  各风险物质存在量与临界量比值一览表</w:t>
            </w:r>
          </w:p>
          <w:tbl>
            <w:tblPr>
              <w:tblStyle w:val="35"/>
              <w:tblW w:w="8100"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549"/>
              <w:gridCol w:w="1517"/>
              <w:gridCol w:w="1787"/>
              <w:gridCol w:w="1532"/>
              <w:gridCol w:w="1116"/>
            </w:tblGrid>
            <w:tr w14:paraId="660E1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dxa"/>
                  <w:tcBorders>
                    <w:tl2br w:val="nil"/>
                    <w:tr2bl w:val="nil"/>
                  </w:tcBorders>
                  <w:noWrap w:val="0"/>
                  <w:vAlign w:val="center"/>
                </w:tcPr>
                <w:p w14:paraId="028F524D">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序号</w:t>
                  </w:r>
                </w:p>
              </w:tc>
              <w:tc>
                <w:tcPr>
                  <w:tcW w:w="1549" w:type="dxa"/>
                  <w:tcBorders>
                    <w:tl2br w:val="nil"/>
                    <w:tr2bl w:val="nil"/>
                  </w:tcBorders>
                  <w:noWrap w:val="0"/>
                  <w:vAlign w:val="center"/>
                </w:tcPr>
                <w:p w14:paraId="39D875E5">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物质名称</w:t>
                  </w:r>
                </w:p>
              </w:tc>
              <w:tc>
                <w:tcPr>
                  <w:tcW w:w="1517" w:type="dxa"/>
                  <w:tcBorders>
                    <w:tl2br w:val="nil"/>
                    <w:tr2bl w:val="nil"/>
                  </w:tcBorders>
                  <w:noWrap w:val="0"/>
                  <w:vAlign w:val="center"/>
                </w:tcPr>
                <w:p w14:paraId="76AE05A1">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CAS号</w:t>
                  </w:r>
                </w:p>
              </w:tc>
              <w:tc>
                <w:tcPr>
                  <w:tcW w:w="1787" w:type="dxa"/>
                  <w:tcBorders>
                    <w:tl2br w:val="nil"/>
                    <w:tr2bl w:val="nil"/>
                  </w:tcBorders>
                  <w:noWrap w:val="0"/>
                  <w:vAlign w:val="center"/>
                </w:tcPr>
                <w:p w14:paraId="5D8EAC35">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最大存在量（t）</w:t>
                  </w:r>
                </w:p>
              </w:tc>
              <w:tc>
                <w:tcPr>
                  <w:tcW w:w="1532" w:type="dxa"/>
                  <w:tcBorders>
                    <w:tl2br w:val="nil"/>
                    <w:tr2bl w:val="nil"/>
                  </w:tcBorders>
                  <w:noWrap w:val="0"/>
                  <w:vAlign w:val="center"/>
                </w:tcPr>
                <w:p w14:paraId="4BB427D3">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临界量（t）</w:t>
                  </w:r>
                </w:p>
              </w:tc>
              <w:tc>
                <w:tcPr>
                  <w:tcW w:w="1116" w:type="dxa"/>
                  <w:tcBorders>
                    <w:tl2br w:val="nil"/>
                    <w:tr2bl w:val="nil"/>
                  </w:tcBorders>
                  <w:noWrap w:val="0"/>
                  <w:vAlign w:val="center"/>
                </w:tcPr>
                <w:p w14:paraId="55905A27">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比值Q</w:t>
                  </w:r>
                </w:p>
              </w:tc>
            </w:tr>
            <w:tr w14:paraId="21C7B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dxa"/>
                  <w:tcBorders>
                    <w:tl2br w:val="nil"/>
                    <w:tr2bl w:val="nil"/>
                  </w:tcBorders>
                  <w:noWrap w:val="0"/>
                  <w:vAlign w:val="center"/>
                </w:tcPr>
                <w:p w14:paraId="326A2BD1">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1</w:t>
                  </w:r>
                </w:p>
              </w:tc>
              <w:tc>
                <w:tcPr>
                  <w:tcW w:w="1549" w:type="dxa"/>
                  <w:tcBorders>
                    <w:tl2br w:val="nil"/>
                    <w:tr2bl w:val="nil"/>
                  </w:tcBorders>
                  <w:noWrap w:val="0"/>
                  <w:vAlign w:val="center"/>
                </w:tcPr>
                <w:p w14:paraId="75CEEF58">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盐酸</w:t>
                  </w:r>
                </w:p>
              </w:tc>
              <w:tc>
                <w:tcPr>
                  <w:tcW w:w="1517" w:type="dxa"/>
                  <w:tcBorders>
                    <w:tl2br w:val="nil"/>
                    <w:tr2bl w:val="nil"/>
                  </w:tcBorders>
                  <w:noWrap w:val="0"/>
                  <w:vAlign w:val="center"/>
                </w:tcPr>
                <w:p w14:paraId="189F47A2">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7647-01-0</w:t>
                  </w:r>
                </w:p>
              </w:tc>
              <w:tc>
                <w:tcPr>
                  <w:tcW w:w="1787" w:type="dxa"/>
                  <w:tcBorders>
                    <w:tl2br w:val="nil"/>
                    <w:tr2bl w:val="nil"/>
                  </w:tcBorders>
                  <w:noWrap w:val="0"/>
                  <w:vAlign w:val="center"/>
                </w:tcPr>
                <w:p w14:paraId="2D3367A8">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0.01</w:t>
                  </w:r>
                </w:p>
              </w:tc>
              <w:tc>
                <w:tcPr>
                  <w:tcW w:w="1532" w:type="dxa"/>
                  <w:tcBorders>
                    <w:tl2br w:val="nil"/>
                    <w:tr2bl w:val="nil"/>
                  </w:tcBorders>
                  <w:noWrap w:val="0"/>
                  <w:vAlign w:val="center"/>
                </w:tcPr>
                <w:p w14:paraId="145B2987">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2.5</w:t>
                  </w:r>
                </w:p>
              </w:tc>
              <w:tc>
                <w:tcPr>
                  <w:tcW w:w="1116" w:type="dxa"/>
                  <w:tcBorders>
                    <w:tl2br w:val="nil"/>
                    <w:tr2bl w:val="nil"/>
                  </w:tcBorders>
                  <w:noWrap w:val="0"/>
                  <w:vAlign w:val="center"/>
                </w:tcPr>
                <w:p w14:paraId="7312F586">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0.004</w:t>
                  </w:r>
                </w:p>
              </w:tc>
            </w:tr>
            <w:tr w14:paraId="2268B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dxa"/>
                  <w:tcBorders>
                    <w:tl2br w:val="nil"/>
                    <w:tr2bl w:val="nil"/>
                  </w:tcBorders>
                  <w:noWrap w:val="0"/>
                  <w:vAlign w:val="center"/>
                </w:tcPr>
                <w:p w14:paraId="07E78247">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2</w:t>
                  </w:r>
                </w:p>
              </w:tc>
              <w:tc>
                <w:tcPr>
                  <w:tcW w:w="1549" w:type="dxa"/>
                  <w:tcBorders>
                    <w:tl2br w:val="nil"/>
                    <w:tr2bl w:val="nil"/>
                  </w:tcBorders>
                  <w:noWrap w:val="0"/>
                  <w:vAlign w:val="center"/>
                </w:tcPr>
                <w:p w14:paraId="1CA949F4">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硫酸</w:t>
                  </w:r>
                </w:p>
              </w:tc>
              <w:tc>
                <w:tcPr>
                  <w:tcW w:w="1517" w:type="dxa"/>
                  <w:tcBorders>
                    <w:tl2br w:val="nil"/>
                    <w:tr2bl w:val="nil"/>
                  </w:tcBorders>
                  <w:noWrap w:val="0"/>
                  <w:vAlign w:val="center"/>
                </w:tcPr>
                <w:p w14:paraId="2FB97997">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766-93-9</w:t>
                  </w:r>
                </w:p>
              </w:tc>
              <w:tc>
                <w:tcPr>
                  <w:tcW w:w="1787" w:type="dxa"/>
                  <w:tcBorders>
                    <w:tl2br w:val="nil"/>
                    <w:tr2bl w:val="nil"/>
                  </w:tcBorders>
                  <w:noWrap w:val="0"/>
                  <w:vAlign w:val="center"/>
                </w:tcPr>
                <w:p w14:paraId="019E7DD3">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0.01</w:t>
                  </w:r>
                </w:p>
              </w:tc>
              <w:tc>
                <w:tcPr>
                  <w:tcW w:w="1532" w:type="dxa"/>
                  <w:tcBorders>
                    <w:tl2br w:val="nil"/>
                    <w:tr2bl w:val="nil"/>
                  </w:tcBorders>
                  <w:noWrap w:val="0"/>
                  <w:vAlign w:val="center"/>
                </w:tcPr>
                <w:p w14:paraId="1D65969B">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10</w:t>
                  </w:r>
                </w:p>
              </w:tc>
              <w:tc>
                <w:tcPr>
                  <w:tcW w:w="1116" w:type="dxa"/>
                  <w:tcBorders>
                    <w:tl2br w:val="nil"/>
                    <w:tr2bl w:val="nil"/>
                  </w:tcBorders>
                  <w:noWrap w:val="0"/>
                  <w:vAlign w:val="center"/>
                </w:tcPr>
                <w:p w14:paraId="601AB61A">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0.001</w:t>
                  </w:r>
                </w:p>
              </w:tc>
            </w:tr>
            <w:tr w14:paraId="4B08A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dxa"/>
                  <w:tcBorders>
                    <w:tl2br w:val="nil"/>
                    <w:tr2bl w:val="nil"/>
                  </w:tcBorders>
                  <w:noWrap w:val="0"/>
                  <w:vAlign w:val="center"/>
                </w:tcPr>
                <w:p w14:paraId="07D2D744">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3</w:t>
                  </w:r>
                </w:p>
              </w:tc>
              <w:tc>
                <w:tcPr>
                  <w:tcW w:w="1549" w:type="dxa"/>
                  <w:tcBorders>
                    <w:tl2br w:val="nil"/>
                    <w:tr2bl w:val="nil"/>
                  </w:tcBorders>
                  <w:noWrap w:val="0"/>
                  <w:vAlign w:val="center"/>
                </w:tcPr>
                <w:p w14:paraId="214BCC0C">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甲醇</w:t>
                  </w:r>
                </w:p>
              </w:tc>
              <w:tc>
                <w:tcPr>
                  <w:tcW w:w="1517" w:type="dxa"/>
                  <w:tcBorders>
                    <w:tl2br w:val="nil"/>
                    <w:tr2bl w:val="nil"/>
                  </w:tcBorders>
                  <w:noWrap w:val="0"/>
                  <w:vAlign w:val="center"/>
                </w:tcPr>
                <w:p w14:paraId="6711882C">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37-56-1</w:t>
                  </w:r>
                </w:p>
              </w:tc>
              <w:tc>
                <w:tcPr>
                  <w:tcW w:w="1787" w:type="dxa"/>
                  <w:tcBorders>
                    <w:tl2br w:val="nil"/>
                    <w:tr2bl w:val="nil"/>
                  </w:tcBorders>
                  <w:noWrap w:val="0"/>
                  <w:vAlign w:val="center"/>
                </w:tcPr>
                <w:p w14:paraId="4FE9895C">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0.02</w:t>
                  </w:r>
                </w:p>
              </w:tc>
              <w:tc>
                <w:tcPr>
                  <w:tcW w:w="1532" w:type="dxa"/>
                  <w:tcBorders>
                    <w:tl2br w:val="nil"/>
                    <w:tr2bl w:val="nil"/>
                  </w:tcBorders>
                  <w:noWrap w:val="0"/>
                  <w:vAlign w:val="center"/>
                </w:tcPr>
                <w:p w14:paraId="659CED21">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10</w:t>
                  </w:r>
                </w:p>
              </w:tc>
              <w:tc>
                <w:tcPr>
                  <w:tcW w:w="1116" w:type="dxa"/>
                  <w:tcBorders>
                    <w:tl2br w:val="nil"/>
                    <w:tr2bl w:val="nil"/>
                  </w:tcBorders>
                  <w:noWrap w:val="0"/>
                  <w:vAlign w:val="center"/>
                </w:tcPr>
                <w:p w14:paraId="507A9AE4">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0.002</w:t>
                  </w:r>
                </w:p>
              </w:tc>
            </w:tr>
            <w:tr w14:paraId="17165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dxa"/>
                  <w:tcBorders>
                    <w:tl2br w:val="nil"/>
                    <w:tr2bl w:val="nil"/>
                  </w:tcBorders>
                  <w:noWrap w:val="0"/>
                  <w:vAlign w:val="center"/>
                </w:tcPr>
                <w:p w14:paraId="2868373D">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4</w:t>
                  </w:r>
                </w:p>
              </w:tc>
              <w:tc>
                <w:tcPr>
                  <w:tcW w:w="1549" w:type="dxa"/>
                  <w:tcBorders>
                    <w:tl2br w:val="nil"/>
                    <w:tr2bl w:val="nil"/>
                  </w:tcBorders>
                  <w:noWrap w:val="0"/>
                  <w:vAlign w:val="center"/>
                </w:tcPr>
                <w:p w14:paraId="10ACD1B0">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乙醚</w:t>
                  </w:r>
                </w:p>
              </w:tc>
              <w:tc>
                <w:tcPr>
                  <w:tcW w:w="1517" w:type="dxa"/>
                  <w:tcBorders>
                    <w:tl2br w:val="nil"/>
                    <w:tr2bl w:val="nil"/>
                  </w:tcBorders>
                  <w:noWrap w:val="0"/>
                  <w:vAlign w:val="center"/>
                </w:tcPr>
                <w:p w14:paraId="7A7E8F60">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60-29-7</w:t>
                  </w:r>
                </w:p>
              </w:tc>
              <w:tc>
                <w:tcPr>
                  <w:tcW w:w="1787" w:type="dxa"/>
                  <w:tcBorders>
                    <w:tl2br w:val="nil"/>
                    <w:tr2bl w:val="nil"/>
                  </w:tcBorders>
                  <w:noWrap w:val="0"/>
                  <w:vAlign w:val="center"/>
                </w:tcPr>
                <w:p w14:paraId="67F71D97">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0.01</w:t>
                  </w:r>
                </w:p>
              </w:tc>
              <w:tc>
                <w:tcPr>
                  <w:tcW w:w="1532" w:type="dxa"/>
                  <w:tcBorders>
                    <w:tl2br w:val="nil"/>
                    <w:tr2bl w:val="nil"/>
                  </w:tcBorders>
                  <w:noWrap w:val="0"/>
                  <w:vAlign w:val="center"/>
                </w:tcPr>
                <w:p w14:paraId="284AD9BC">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10</w:t>
                  </w:r>
                </w:p>
              </w:tc>
              <w:tc>
                <w:tcPr>
                  <w:tcW w:w="1116" w:type="dxa"/>
                  <w:tcBorders>
                    <w:tl2br w:val="nil"/>
                    <w:tr2bl w:val="nil"/>
                  </w:tcBorders>
                  <w:noWrap w:val="0"/>
                  <w:vAlign w:val="center"/>
                </w:tcPr>
                <w:p w14:paraId="1E3416A8">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0.001</w:t>
                  </w:r>
                </w:p>
              </w:tc>
            </w:tr>
            <w:tr w14:paraId="52A35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84" w:type="dxa"/>
                  <w:gridSpan w:val="5"/>
                  <w:tcBorders>
                    <w:tl2br w:val="nil"/>
                    <w:tr2bl w:val="nil"/>
                  </w:tcBorders>
                  <w:noWrap w:val="0"/>
                  <w:vAlign w:val="center"/>
                </w:tcPr>
                <w:p w14:paraId="75D066E7">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合计</w:t>
                  </w:r>
                </w:p>
              </w:tc>
              <w:tc>
                <w:tcPr>
                  <w:tcW w:w="1116" w:type="dxa"/>
                  <w:tcBorders>
                    <w:tl2br w:val="nil"/>
                    <w:tr2bl w:val="nil"/>
                  </w:tcBorders>
                  <w:noWrap w:val="0"/>
                  <w:vAlign w:val="center"/>
                </w:tcPr>
                <w:p w14:paraId="1D10B58A">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0.008</w:t>
                  </w:r>
                </w:p>
              </w:tc>
            </w:tr>
          </w:tbl>
          <w:p w14:paraId="13FAA636">
            <w:pPr>
              <w:pStyle w:val="20"/>
              <w:keepNext w:val="0"/>
              <w:keepLines w:val="0"/>
              <w:pageBreakBefore w:val="0"/>
              <w:widowControl w:val="0"/>
              <w:numPr>
                <w:ilvl w:val="0"/>
                <w:numId w:val="0"/>
              </w:numPr>
              <w:kinsoku/>
              <w:wordWrap/>
              <w:overflowPunct/>
              <w:topLinePunct w:val="0"/>
              <w:autoSpaceDE/>
              <w:autoSpaceDN/>
              <w:bidi w:val="0"/>
              <w:adjustRightInd/>
              <w:snapToGrid/>
              <w:spacing w:before="157" w:beforeLines="50" w:line="42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从上表计算结果可知，</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扩建项目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危险物质数量与临界量比值 Q=</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0.008</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&lt;1，则</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扩建项目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环境风险潜势为Ⅰ。</w:t>
            </w:r>
          </w:p>
          <w:p w14:paraId="1CB7BECA">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危险物质和风险源分布情况及可能影响途径</w:t>
            </w:r>
          </w:p>
          <w:p w14:paraId="6D663592">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扩建项目危险物质和风险源分布情况及可能影响途径见下表。</w:t>
            </w:r>
          </w:p>
          <w:p w14:paraId="254262E6">
            <w:pPr>
              <w:pStyle w:val="104"/>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0"/>
              <w:textAlignment w:val="auto"/>
              <w:rPr>
                <w:rFonts w:hint="default" w:ascii="黑体" w:hAnsi="黑体" w:eastAsia="黑体" w:cs="Times New Roman"/>
                <w:bCs/>
                <w:color w:val="000000" w:themeColor="text1"/>
                <w:highlight w:val="none"/>
                <w:lang w:val="en-US" w:eastAsia="zh-CN"/>
                <w14:textFill>
                  <w14:solidFill>
                    <w14:schemeClr w14:val="tx1"/>
                  </w14:solidFill>
                </w14:textFill>
              </w:rPr>
            </w:pPr>
            <w:r>
              <w:rPr>
                <w:rFonts w:hint="eastAsia" w:ascii="黑体" w:hAnsi="黑体" w:eastAsia="黑体" w:cs="Times New Roman"/>
                <w:bCs/>
                <w:color w:val="000000" w:themeColor="text1"/>
                <w:highlight w:val="none"/>
                <w:lang w:val="en-US" w:eastAsia="zh-CN"/>
                <w14:textFill>
                  <w14:solidFill>
                    <w14:schemeClr w14:val="tx1"/>
                  </w14:solidFill>
                </w14:textFill>
              </w:rPr>
              <w:t>危险物质和风险源分布情况及可能影响途径一览表</w:t>
            </w:r>
          </w:p>
          <w:tbl>
            <w:tblPr>
              <w:tblStyle w:val="35"/>
              <w:tblW w:w="8059"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344"/>
              <w:gridCol w:w="2614"/>
              <w:gridCol w:w="2928"/>
            </w:tblGrid>
            <w:tr w14:paraId="72FF7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173" w:type="dxa"/>
                  <w:tcBorders>
                    <w:tl2br w:val="nil"/>
                    <w:tr2bl w:val="nil"/>
                  </w:tcBorders>
                  <w:noWrap w:val="0"/>
                  <w:vAlign w:val="center"/>
                </w:tcPr>
                <w:p w14:paraId="4536ADD9">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危险物质</w:t>
                  </w:r>
                </w:p>
              </w:tc>
              <w:tc>
                <w:tcPr>
                  <w:tcW w:w="1344" w:type="dxa"/>
                  <w:tcBorders>
                    <w:tl2br w:val="nil"/>
                    <w:tr2bl w:val="nil"/>
                  </w:tcBorders>
                  <w:noWrap w:val="0"/>
                  <w:vAlign w:val="center"/>
                </w:tcPr>
                <w:p w14:paraId="3A7A8FC8">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事故类型</w:t>
                  </w:r>
                </w:p>
              </w:tc>
              <w:tc>
                <w:tcPr>
                  <w:tcW w:w="2614" w:type="dxa"/>
                  <w:tcBorders>
                    <w:tl2br w:val="nil"/>
                    <w:tr2bl w:val="nil"/>
                  </w:tcBorders>
                  <w:noWrap w:val="0"/>
                  <w:vAlign w:val="center"/>
                </w:tcPr>
                <w:p w14:paraId="1E418E28">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事故引发可能原因</w:t>
                  </w:r>
                </w:p>
              </w:tc>
              <w:tc>
                <w:tcPr>
                  <w:tcW w:w="2928" w:type="dxa"/>
                  <w:tcBorders>
                    <w:tl2br w:val="nil"/>
                    <w:tr2bl w:val="nil"/>
                  </w:tcBorders>
                  <w:noWrap w:val="0"/>
                  <w:vAlign w:val="center"/>
                </w:tcPr>
                <w:p w14:paraId="69C2B7AD">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影响途径</w:t>
                  </w:r>
                </w:p>
              </w:tc>
            </w:tr>
            <w:tr w14:paraId="64DA1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4" w:hRule="atLeast"/>
              </w:trPr>
              <w:tc>
                <w:tcPr>
                  <w:tcW w:w="1173" w:type="dxa"/>
                  <w:tcBorders>
                    <w:tl2br w:val="nil"/>
                    <w:tr2bl w:val="nil"/>
                  </w:tcBorders>
                  <w:noWrap w:val="0"/>
                  <w:vAlign w:val="center"/>
                </w:tcPr>
                <w:p w14:paraId="74A79B6F">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酸碱、有机溶剂</w:t>
                  </w:r>
                </w:p>
              </w:tc>
              <w:tc>
                <w:tcPr>
                  <w:tcW w:w="1344" w:type="dxa"/>
                  <w:tcBorders>
                    <w:tl2br w:val="nil"/>
                    <w:tr2bl w:val="nil"/>
                  </w:tcBorders>
                  <w:noWrap w:val="0"/>
                  <w:vAlign w:val="center"/>
                </w:tcPr>
                <w:p w14:paraId="067118C0">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火灾、泄露</w:t>
                  </w:r>
                </w:p>
              </w:tc>
              <w:tc>
                <w:tcPr>
                  <w:tcW w:w="2614" w:type="dxa"/>
                  <w:tcBorders>
                    <w:tl2br w:val="nil"/>
                    <w:tr2bl w:val="nil"/>
                  </w:tcBorders>
                  <w:noWrap w:val="0"/>
                  <w:vAlign w:val="center"/>
                </w:tcPr>
                <w:p w14:paraId="0A6E8D67">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在运输和使用的过程中，可能因员工操作不当或意外碰撞，造成泄漏；设备破损保存不当或者泄漏遇到明火、高热时出现火灾事故，使用不当造成化学品泄漏</w:t>
                  </w:r>
                </w:p>
              </w:tc>
              <w:tc>
                <w:tcPr>
                  <w:tcW w:w="2928" w:type="dxa"/>
                  <w:tcBorders>
                    <w:tl2br w:val="nil"/>
                    <w:tr2bl w:val="nil"/>
                  </w:tcBorders>
                  <w:noWrap w:val="0"/>
                  <w:vAlign w:val="center"/>
                </w:tcPr>
                <w:p w14:paraId="74C56905">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泄漏的</w:t>
                  </w: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液体</w:t>
                  </w: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进入下水管道、土壤，并挥发进入大气，对环境空气、土壤和水体造成污染；对职工和周围敏感点群众造成财产损失和人身伤害，并产生废气对大气造成污染</w:t>
                  </w:r>
                </w:p>
              </w:tc>
            </w:tr>
            <w:tr w14:paraId="59C34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173" w:type="dxa"/>
                  <w:tcBorders>
                    <w:tl2br w:val="nil"/>
                    <w:tr2bl w:val="nil"/>
                  </w:tcBorders>
                  <w:noWrap w:val="0"/>
                  <w:vAlign w:val="center"/>
                </w:tcPr>
                <w:p w14:paraId="65FC5A5B">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臭氧</w:t>
                  </w:r>
                </w:p>
              </w:tc>
              <w:tc>
                <w:tcPr>
                  <w:tcW w:w="1344" w:type="dxa"/>
                  <w:tcBorders>
                    <w:tl2br w:val="nil"/>
                    <w:tr2bl w:val="nil"/>
                  </w:tcBorders>
                  <w:noWrap w:val="0"/>
                  <w:vAlign w:val="center"/>
                </w:tcPr>
                <w:p w14:paraId="04F64416">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泄漏</w:t>
                  </w:r>
                </w:p>
              </w:tc>
              <w:tc>
                <w:tcPr>
                  <w:tcW w:w="2614" w:type="dxa"/>
                  <w:tcBorders>
                    <w:tl2br w:val="nil"/>
                    <w:tr2bl w:val="nil"/>
                  </w:tcBorders>
                  <w:noWrap w:val="0"/>
                  <w:vAlign w:val="center"/>
                </w:tcPr>
                <w:p w14:paraId="3C46F860">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由于设备故障或操作失误，可能发生臭氧泄露</w:t>
                  </w:r>
                </w:p>
              </w:tc>
              <w:tc>
                <w:tcPr>
                  <w:tcW w:w="2928" w:type="dxa"/>
                  <w:tcBorders>
                    <w:tl2br w:val="nil"/>
                    <w:tr2bl w:val="nil"/>
                  </w:tcBorders>
                  <w:noWrap w:val="0"/>
                  <w:vAlign w:val="center"/>
                </w:tcPr>
                <w:p w14:paraId="57982E0D">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对职工和周围敏感点群众造成财产损失和人身伤害</w:t>
                  </w:r>
                </w:p>
              </w:tc>
            </w:tr>
            <w:tr w14:paraId="7518F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4" w:hRule="atLeast"/>
              </w:trPr>
              <w:tc>
                <w:tcPr>
                  <w:tcW w:w="1173" w:type="dxa"/>
                  <w:tcBorders>
                    <w:tl2br w:val="nil"/>
                    <w:tr2bl w:val="nil"/>
                  </w:tcBorders>
                  <w:noWrap w:val="0"/>
                  <w:vAlign w:val="center"/>
                </w:tcPr>
                <w:p w14:paraId="0A6AA3B2">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危废暂存间</w:t>
                  </w:r>
                </w:p>
              </w:tc>
              <w:tc>
                <w:tcPr>
                  <w:tcW w:w="1344" w:type="dxa"/>
                  <w:tcBorders>
                    <w:tl2br w:val="nil"/>
                    <w:tr2bl w:val="nil"/>
                  </w:tcBorders>
                  <w:noWrap w:val="0"/>
                  <w:vAlign w:val="center"/>
                </w:tcPr>
                <w:p w14:paraId="5EBE608F">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t>火灾、泄漏</w:t>
                  </w:r>
                </w:p>
              </w:tc>
              <w:tc>
                <w:tcPr>
                  <w:tcW w:w="2614" w:type="dxa"/>
                  <w:tcBorders>
                    <w:tl2br w:val="nil"/>
                    <w:tr2bl w:val="nil"/>
                  </w:tcBorders>
                  <w:noWrap w:val="0"/>
                  <w:vAlign w:val="center"/>
                </w:tcPr>
                <w:p w14:paraId="6DEF8111">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装卸或存储过程中某些危险废物可能会发生泄漏可能污染地下水，或可能由于恶劣天气影响，导致雨水渗入；或遇到明火、高热时出现火灾事故等</w:t>
                  </w:r>
                </w:p>
              </w:tc>
              <w:tc>
                <w:tcPr>
                  <w:tcW w:w="2928" w:type="dxa"/>
                  <w:tcBorders>
                    <w:tl2br w:val="nil"/>
                    <w:tr2bl w:val="nil"/>
                  </w:tcBorders>
                  <w:noWrap w:val="0"/>
                  <w:vAlign w:val="center"/>
                </w:tcPr>
                <w:p w14:paraId="1346ADE9">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可能污染地下水；火灾对职工和周围敏感点群众造成财产损失和人身伤害，并产生废气对大气造成污染</w:t>
                  </w:r>
                </w:p>
              </w:tc>
            </w:tr>
            <w:tr w14:paraId="6400C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173" w:type="dxa"/>
                  <w:tcBorders>
                    <w:tl2br w:val="nil"/>
                    <w:tr2bl w:val="nil"/>
                  </w:tcBorders>
                  <w:noWrap w:val="0"/>
                  <w:vAlign w:val="center"/>
                </w:tcPr>
                <w:p w14:paraId="0F98FC08">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废气</w:t>
                  </w:r>
                </w:p>
              </w:tc>
              <w:tc>
                <w:tcPr>
                  <w:tcW w:w="1344" w:type="dxa"/>
                  <w:tcBorders>
                    <w:tl2br w:val="nil"/>
                    <w:tr2bl w:val="nil"/>
                  </w:tcBorders>
                  <w:noWrap w:val="0"/>
                  <w:vAlign w:val="center"/>
                </w:tcPr>
                <w:p w14:paraId="7D6E0BC1">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事故排放</w:t>
                  </w:r>
                </w:p>
              </w:tc>
              <w:tc>
                <w:tcPr>
                  <w:tcW w:w="2614" w:type="dxa"/>
                  <w:tcBorders>
                    <w:tl2br w:val="nil"/>
                    <w:tr2bl w:val="nil"/>
                  </w:tcBorders>
                  <w:noWrap w:val="0"/>
                  <w:vAlign w:val="center"/>
                </w:tcPr>
                <w:p w14:paraId="2ACE6D30">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设备操作不当、损坏或失效</w:t>
                  </w:r>
                </w:p>
              </w:tc>
              <w:tc>
                <w:tcPr>
                  <w:tcW w:w="2928" w:type="dxa"/>
                  <w:tcBorders>
                    <w:tl2br w:val="nil"/>
                    <w:tr2bl w:val="nil"/>
                  </w:tcBorders>
                  <w:noWrap w:val="0"/>
                  <w:vAlign w:val="center"/>
                </w:tcPr>
                <w:p w14:paraId="72B10FFD">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污染周围大气并造成敏感点污染物超标</w:t>
                  </w:r>
                </w:p>
              </w:tc>
            </w:tr>
            <w:tr w14:paraId="3272F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73" w:type="dxa"/>
                  <w:tcBorders>
                    <w:tl2br w:val="nil"/>
                    <w:tr2bl w:val="nil"/>
                  </w:tcBorders>
                  <w:noWrap w:val="0"/>
                  <w:vAlign w:val="center"/>
                </w:tcPr>
                <w:p w14:paraId="0235CF8F">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废水</w:t>
                  </w:r>
                </w:p>
              </w:tc>
              <w:tc>
                <w:tcPr>
                  <w:tcW w:w="1344" w:type="dxa"/>
                  <w:tcBorders>
                    <w:tl2br w:val="nil"/>
                    <w:tr2bl w:val="nil"/>
                  </w:tcBorders>
                  <w:noWrap w:val="0"/>
                  <w:vAlign w:val="center"/>
                </w:tcPr>
                <w:p w14:paraId="4BCB6B43">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事故排放</w:t>
                  </w:r>
                </w:p>
              </w:tc>
              <w:tc>
                <w:tcPr>
                  <w:tcW w:w="2614" w:type="dxa"/>
                  <w:tcBorders>
                    <w:tl2br w:val="nil"/>
                    <w:tr2bl w:val="nil"/>
                  </w:tcBorders>
                  <w:noWrap w:val="0"/>
                  <w:vAlign w:val="center"/>
                </w:tcPr>
                <w:p w14:paraId="4AFEB09C">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设备操作不当、损坏或失效</w:t>
                  </w:r>
                </w:p>
              </w:tc>
              <w:tc>
                <w:tcPr>
                  <w:tcW w:w="2928" w:type="dxa"/>
                  <w:tcBorders>
                    <w:tl2br w:val="nil"/>
                    <w:tr2bl w:val="nil"/>
                  </w:tcBorders>
                  <w:noWrap w:val="0"/>
                  <w:vAlign w:val="center"/>
                </w:tcPr>
                <w:p w14:paraId="176AE2A5">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污染周围</w:t>
                  </w: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地表水、地下水、土壤</w:t>
                  </w:r>
                </w:p>
              </w:tc>
            </w:tr>
            <w:tr w14:paraId="1C002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173" w:type="dxa"/>
                  <w:tcBorders>
                    <w:tl2br w:val="nil"/>
                    <w:tr2bl w:val="nil"/>
                  </w:tcBorders>
                  <w:noWrap w:val="0"/>
                  <w:vAlign w:val="center"/>
                </w:tcPr>
                <w:p w14:paraId="133CE5B9">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污泥</w:t>
                  </w:r>
                </w:p>
              </w:tc>
              <w:tc>
                <w:tcPr>
                  <w:tcW w:w="1344" w:type="dxa"/>
                  <w:tcBorders>
                    <w:tl2br w:val="nil"/>
                    <w:tr2bl w:val="nil"/>
                  </w:tcBorders>
                  <w:noWrap w:val="0"/>
                  <w:vAlign w:val="center"/>
                </w:tcPr>
                <w:p w14:paraId="5C79152C">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事故排放</w:t>
                  </w:r>
                </w:p>
              </w:tc>
              <w:tc>
                <w:tcPr>
                  <w:tcW w:w="2614" w:type="dxa"/>
                  <w:tcBorders>
                    <w:tl2br w:val="nil"/>
                    <w:tr2bl w:val="nil"/>
                  </w:tcBorders>
                  <w:noWrap w:val="0"/>
                  <w:vAlign w:val="center"/>
                </w:tcPr>
                <w:p w14:paraId="321EBB1C">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设备操作不当、损坏或失效</w:t>
                  </w:r>
                </w:p>
              </w:tc>
              <w:tc>
                <w:tcPr>
                  <w:tcW w:w="2928" w:type="dxa"/>
                  <w:tcBorders>
                    <w:tl2br w:val="nil"/>
                    <w:tr2bl w:val="nil"/>
                  </w:tcBorders>
                  <w:noWrap w:val="0"/>
                  <w:vAlign w:val="center"/>
                </w:tcPr>
                <w:p w14:paraId="044F2D90">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污染周围</w:t>
                  </w:r>
                  <w:r>
                    <w:rPr>
                      <w:rFonts w:hint="eastAsia" w:ascii="Times New Roman" w:hAnsi="Times New Roman" w:cs="Times New Roman"/>
                      <w:color w:val="000000" w:themeColor="text1"/>
                      <w:kern w:val="2"/>
                      <w:sz w:val="21"/>
                      <w:szCs w:val="21"/>
                      <w:highlight w:val="none"/>
                      <w:vertAlign w:val="baseline"/>
                      <w:lang w:val="en-US" w:eastAsia="zh-CN" w:bidi="ar-SA"/>
                      <w14:textFill>
                        <w14:solidFill>
                          <w14:schemeClr w14:val="tx1"/>
                        </w14:solidFill>
                      </w14:textFill>
                    </w:rPr>
                    <w:t>地下水、土壤</w:t>
                  </w:r>
                </w:p>
              </w:tc>
            </w:tr>
          </w:tbl>
          <w:p w14:paraId="27592727">
            <w:pPr>
              <w:pStyle w:val="20"/>
              <w:keepNext w:val="0"/>
              <w:keepLines w:val="0"/>
              <w:pageBreakBefore w:val="0"/>
              <w:widowControl w:val="0"/>
              <w:numPr>
                <w:ilvl w:val="0"/>
                <w:numId w:val="0"/>
              </w:numPr>
              <w:kinsoku/>
              <w:wordWrap/>
              <w:overflowPunct/>
              <w:topLinePunct w:val="0"/>
              <w:autoSpaceDE/>
              <w:autoSpaceDN/>
              <w:bidi w:val="0"/>
              <w:adjustRightInd/>
              <w:snapToGrid/>
              <w:spacing w:before="157" w:beforeLines="50" w:line="420" w:lineRule="auto"/>
              <w:ind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风险防范措施</w:t>
            </w:r>
          </w:p>
          <w:p w14:paraId="193F1618">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1、原辅材料使用风险防范措施</w:t>
            </w:r>
          </w:p>
          <w:p w14:paraId="6697FE8E">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本项目不设置单独的危险化学品仓库，运营期使用的药品及化学品主要存储在药房库房及相关科室、实验室内，使用量和存储量均较小。运营期危险化学品风险主要为化学品在使用过程中若操作过程中若操作不规范，有可能引发泄漏、火灾和爆炸等风险造成环境污染，包括泄漏物直接挥发造成空气污染、泄漏物经雨水管进入地表水体造成水体污染、发生火灾和爆炸风险对空气和地表水体造成二次污染等。本项目运营期拟严格按照《中华人民共和国禁毒法》、《易制毒化学品的管理条例》和《危险化学品安全条例》等相关规定中的要求进行药品和危险化学品的使用和存储，制定医院的药品和危险化学品管理制度，通过规范操作和加强管理，本项目药品和危险化学品产生环境污染的风险较小。</w:t>
            </w:r>
          </w:p>
          <w:p w14:paraId="361D3C8C">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2、废水事故风险防范措施</w:t>
            </w:r>
          </w:p>
          <w:p w14:paraId="14261893">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扩建项目污水处理站正常运行的情况下，废水经过处理可以满足《医疗机构水污染物排放标准》(GBI8466-2005)中表1传染病、结核病医疗机构水污染物排放限值（日均值）排放标准要求，实现达标排放，进入市政管网。但在运行过程中，若出现机械设施或电力故障，将导致污水处理站不能正常运行；或因污水站工作人员操作不当，污水处理系统运行不正常，造成污水处理效率下降，不能实现达标排放；或因外部条件如温度变化，尤其是冬季，温度较低，也会导致生化处理效率下降；另外，如果污水处理站的消毒系统出现异常，将导致大量的活体病原微生物进入市政管网；通过城市污水处理厂，最终将进入地表水体，虽城市污水处理厂出水也设置有消毒设施，但此种情况已构成对周围环境的潜在危害。</w:t>
            </w:r>
          </w:p>
          <w:p w14:paraId="53C56066">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由于以上原因，均有可能导致污水处理站不能正常这行，发生事故性排放，医院拟采取一些防范措施，如：易发生故障的设备（泵类）均有备用设备，一旦设备发生故障可立即采用备用设备。另外为了避免非正常排放的发生，评价提出如下建议：</w:t>
            </w:r>
          </w:p>
          <w:p w14:paraId="76E818D5">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①污水处理站必须制定严格的操作规程和管理制度；</w:t>
            </w:r>
          </w:p>
          <w:p w14:paraId="3E57C3D9">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②定期检修、保养仪器设备，对备用设备应及时检修维护，以防止电器及设备故障发生；</w:t>
            </w:r>
          </w:p>
          <w:p w14:paraId="0043E0DE">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③污水处理站用电采用双回路设计，并与医院备用电源联网；</w:t>
            </w:r>
          </w:p>
          <w:p w14:paraId="149060F9">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④污水处理站设计时沉淀池分两组，每组按50%的水量设计。</w:t>
            </w:r>
          </w:p>
          <w:p w14:paraId="739B38F2">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⑤加强操作人员的职业道德教育和职业技能培训，使操作人员均持证上岗，具有高度的责任心和熟练的操作技能，能根据进水的水质、水量变化及时调整操作工艺，避免操作失误造成工艺系统的紊乱和破坏。</w:t>
            </w:r>
          </w:p>
          <w:p w14:paraId="2755002B">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通过上述预防措施，评价认为能够最大限度的减少污水站运行期风险事故的发生，确保污水处理站正常和稳定运行，使处理后废水达标排放。</w:t>
            </w:r>
          </w:p>
          <w:p w14:paraId="16BE94AD">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3、臭氧泄露风险防范措施</w:t>
            </w:r>
          </w:p>
          <w:p w14:paraId="2A287B6C">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臭氧的制备原理是利用高压电离（或化学，光化学反应），使空气中的部分氧气分解聚合为臭氧，臭氧的不稳定性使其很难实现瓶装贮存，一般只能利用臭氧发生器现场生产，随产随用。臭氧属于有害气体，分解时放出大量的热，当含量在25%以上时，易发生爆炸，但是臭氧含量一般不高于10%，因此发生爆炸几率较小。臭氧具有很强的氧化性，容易腐蚀管道。一旦发生事故造成短时闻内型气中臭氧升高时，自动检测和报警装置则会发出警报，停止臭氧生成。由于臭氧为现制现用，其单位时间产生量较小，故当停止原料反应，臭氧在空气中或水中的浓度将因逸散、化学反应等而迅速降低。由于臭氧发生器置干医院污水站辅助用房内，会定期检查和维护，虽然臭氧发生泄漏的可能性不大，但为了避免事故发生，仍需采取以下防范措施:</w:t>
            </w:r>
          </w:p>
          <w:p w14:paraId="6B8884F9">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①严格执行医院污水处理系统的而安全生产制度，加强臭氧发生器系统的各项安全管理和安全生产动态监控工作，发现安全生产隐患及时整改以便消除隐患，通过技术人员的谨慎确认后才能生产；</w:t>
            </w:r>
          </w:p>
          <w:p w14:paraId="00DC474C">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②配备相应的报警系统，一旦发生臭氧事故性泄漏，报警系统即会自动报警，并可开启机械通风设备；</w:t>
            </w:r>
          </w:p>
          <w:p w14:paraId="077E7CE2">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③严格执行医院污水处理系统的消防安全制度，制定的消防措施和进行的预防安全培训应包括臭氧发生器泄漏风险预防和处理；</w:t>
            </w:r>
          </w:p>
          <w:p w14:paraId="7BF34583">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④臭氧发生器应精心维护和细心保养，如发现安全隐患，应及时检修；</w:t>
            </w:r>
          </w:p>
          <w:p w14:paraId="487ADF5F">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⑤做好臭氧消毒系统设备、管道防腐工作。</w:t>
            </w:r>
          </w:p>
          <w:p w14:paraId="0374EB25">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pPr>
          </w:p>
          <w:p w14:paraId="75E62614">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2" w:firstLineChars="200"/>
              <w:jc w:val="both"/>
              <w:textAlignment w:val="auto"/>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（4）事故风险防范措施</w:t>
            </w:r>
          </w:p>
          <w:p w14:paraId="129D37FF">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在扩建项目营运期若遇到停电等情况，院内污水处理设施不能发挥正常作用，会造成院内医疗废水事故性排放，因此评价建议采取以下预防措施：</w:t>
            </w:r>
          </w:p>
          <w:p w14:paraId="1B8B11D4">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①院内的污水处理设施必须设置备用电源，保证在市政电网停电状况下能够使污水处理站正常运行；</w:t>
            </w:r>
          </w:p>
          <w:p w14:paraId="2E9A98B2">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②处理站工作人员应定期检查污水处理设施，做好日常的维护、检修及保养工作，发现问题及时解决，确保院内的污水处理系统发挥正常的工作效率，使其稳定有效运行，避免出现院内废水的事故性排放；</w:t>
            </w:r>
          </w:p>
          <w:p w14:paraId="1BD04031">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③院方应设置专门安全环保科室，负责院内日常的污水处理及院内其它的环保工作。</w:t>
            </w:r>
          </w:p>
          <w:p w14:paraId="0065DE26">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2" w:firstLineChars="200"/>
              <w:jc w:val="both"/>
              <w:textAlignment w:val="auto"/>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（5）应急预案</w:t>
            </w:r>
          </w:p>
          <w:p w14:paraId="497B8C45">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医院危险废物将由三门峡天蓝环保科技有限公司负责安全处理，评价建议医院设立专门的应急事故小组，危险废物在运输途中如果发生事故，运送人员应立即向本单位应急水故小组取得联系，请求当地公安交警、环境保护或城市应急联动中心的支持，同时，运送人员应采取下述应急措施：</w:t>
            </w:r>
          </w:p>
          <w:p w14:paraId="394BEC6F">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①立即请求公安交通警察在受污染地区设立隔离区，禁止其他车辆和行人穿过，避免污染物扩散和对行人造成伤害；</w:t>
            </w:r>
          </w:p>
          <w:p w14:paraId="34C61563">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②对溢出、散落的医疗废物迅速进行收集、清理和消毒处理，对于液体溢出物采用吸附材料吸收处理；</w:t>
            </w:r>
          </w:p>
          <w:p w14:paraId="6AF505AA">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③清理人员在进行清理工作时须穿戴防护服、手套、口罩、靴等防护用品，清理工作结束后，用具和防护用品均须进行消毒处理；</w:t>
            </w:r>
          </w:p>
          <w:p w14:paraId="4B278221">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④如果在操作中，清理人员的身体（皮肤）不慎受到伤害，应及时采取处理措施，并到医院接受救治；</w:t>
            </w:r>
          </w:p>
          <w:p w14:paraId="2F4AC14A">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⑤清洁人员还须对被污染的现场地面进行消毒和清洁处理；</w:t>
            </w:r>
          </w:p>
          <w:p w14:paraId="152AE1C0">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⑥对发生的事故采取上述应急措施的同时，处置单位必须向当地环保和卫生部门报告事故发生情况。事故处理完毕后，处置单位要向上述两个部门写出书面报告，包括事故发生的时间、地点、原因及其简要经过；泄露、散落医疗废物的类型和数量、受污染的原因及医疗废物产生单位名称；医疗废物泄露、散落已造成的危害和潜在影响；已采取的应急处理措施和处理结果。</w:t>
            </w:r>
          </w:p>
          <w:p w14:paraId="3D4DC291">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在通过加强医疗废物从产生到储存再到运输等各个环节的管理，认真落实《医疗废物集中处置技术规范(试行)》以及相应的管理要求后，评价认为可以将扩建项目医疗废物对周围环境的影响降至最低，最大限度的减少医疗废物发生事故的可能性。</w:t>
            </w:r>
          </w:p>
          <w:p w14:paraId="6E13D213">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风险分析结论</w:t>
            </w:r>
          </w:p>
          <w:p w14:paraId="69151BAD">
            <w:pPr>
              <w:pStyle w:val="20"/>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综上所述，扩建项目的环境风险潜势为Ⅰ，环境风险事故影响较小，风险水平是可以接受的。在建设单位严格落实环评提出的各项防范措施和应急预案后，其环境风险可防可控。</w:t>
            </w:r>
          </w:p>
          <w:p w14:paraId="2413822F">
            <w:pPr>
              <w:pStyle w:val="20"/>
              <w:rPr>
                <w:rFonts w:hint="default"/>
                <w:color w:val="000000" w:themeColor="text1"/>
                <w:highlight w:val="none"/>
                <w14:textFill>
                  <w14:solidFill>
                    <w14:schemeClr w14:val="tx1"/>
                  </w14:solidFill>
                </w14:textFill>
              </w:rPr>
            </w:pPr>
          </w:p>
          <w:p w14:paraId="0C8BAD78">
            <w:pPr>
              <w:rPr>
                <w:rFonts w:hint="default"/>
                <w:color w:val="000000" w:themeColor="text1"/>
                <w:highlight w:val="none"/>
                <w14:textFill>
                  <w14:solidFill>
                    <w14:schemeClr w14:val="tx1"/>
                  </w14:solidFill>
                </w14:textFill>
              </w:rPr>
            </w:pPr>
          </w:p>
          <w:p w14:paraId="7189D4F7">
            <w:pPr>
              <w:pStyle w:val="2"/>
              <w:rPr>
                <w:rFonts w:hint="default"/>
                <w:color w:val="000000" w:themeColor="text1"/>
                <w:highlight w:val="none"/>
                <w14:textFill>
                  <w14:solidFill>
                    <w14:schemeClr w14:val="tx1"/>
                  </w14:solidFill>
                </w14:textFill>
              </w:rPr>
            </w:pPr>
          </w:p>
          <w:p w14:paraId="7ED11398">
            <w:pPr>
              <w:rPr>
                <w:rFonts w:hint="default"/>
                <w:color w:val="000000" w:themeColor="text1"/>
                <w:highlight w:val="none"/>
                <w14:textFill>
                  <w14:solidFill>
                    <w14:schemeClr w14:val="tx1"/>
                  </w14:solidFill>
                </w14:textFill>
              </w:rPr>
            </w:pPr>
          </w:p>
          <w:p w14:paraId="3C2B6970">
            <w:pPr>
              <w:pStyle w:val="2"/>
              <w:rPr>
                <w:rFonts w:hint="default"/>
                <w:color w:val="000000" w:themeColor="text1"/>
                <w:highlight w:val="none"/>
                <w14:textFill>
                  <w14:solidFill>
                    <w14:schemeClr w14:val="tx1"/>
                  </w14:solidFill>
                </w14:textFill>
              </w:rPr>
            </w:pPr>
          </w:p>
          <w:p w14:paraId="03B41EEE">
            <w:pPr>
              <w:rPr>
                <w:rFonts w:hint="default"/>
                <w:color w:val="000000" w:themeColor="text1"/>
                <w:highlight w:val="none"/>
                <w14:textFill>
                  <w14:solidFill>
                    <w14:schemeClr w14:val="tx1"/>
                  </w14:solidFill>
                </w14:textFill>
              </w:rPr>
            </w:pPr>
          </w:p>
          <w:p w14:paraId="595FC0B4">
            <w:pPr>
              <w:pStyle w:val="2"/>
              <w:rPr>
                <w:rFonts w:hint="default"/>
                <w:color w:val="000000" w:themeColor="text1"/>
                <w:highlight w:val="none"/>
                <w14:textFill>
                  <w14:solidFill>
                    <w14:schemeClr w14:val="tx1"/>
                  </w14:solidFill>
                </w14:textFill>
              </w:rPr>
            </w:pPr>
          </w:p>
          <w:p w14:paraId="5F806A57">
            <w:pPr>
              <w:rPr>
                <w:rFonts w:hint="default"/>
                <w:color w:val="000000" w:themeColor="text1"/>
                <w:highlight w:val="none"/>
                <w14:textFill>
                  <w14:solidFill>
                    <w14:schemeClr w14:val="tx1"/>
                  </w14:solidFill>
                </w14:textFill>
              </w:rPr>
            </w:pPr>
          </w:p>
          <w:p w14:paraId="1FA3D624">
            <w:pPr>
              <w:pStyle w:val="2"/>
              <w:rPr>
                <w:rFonts w:hint="default"/>
                <w:color w:val="000000" w:themeColor="text1"/>
                <w:highlight w:val="none"/>
                <w14:textFill>
                  <w14:solidFill>
                    <w14:schemeClr w14:val="tx1"/>
                  </w14:solidFill>
                </w14:textFill>
              </w:rPr>
            </w:pPr>
          </w:p>
          <w:p w14:paraId="61D3DFB1">
            <w:pPr>
              <w:rPr>
                <w:rFonts w:hint="default"/>
                <w:color w:val="000000" w:themeColor="text1"/>
                <w:highlight w:val="none"/>
                <w14:textFill>
                  <w14:solidFill>
                    <w14:schemeClr w14:val="tx1"/>
                  </w14:solidFill>
                </w14:textFill>
              </w:rPr>
            </w:pPr>
          </w:p>
          <w:p w14:paraId="1976685B">
            <w:pPr>
              <w:pStyle w:val="2"/>
              <w:rPr>
                <w:rFonts w:hint="default"/>
                <w:color w:val="000000" w:themeColor="text1"/>
                <w14:textFill>
                  <w14:solidFill>
                    <w14:schemeClr w14:val="tx1"/>
                  </w14:solidFill>
                </w14:textFill>
              </w:rPr>
            </w:pPr>
          </w:p>
          <w:p w14:paraId="65A697F8">
            <w:pPr>
              <w:pStyle w:val="2"/>
              <w:rPr>
                <w:rFonts w:hint="default"/>
                <w:color w:val="000000" w:themeColor="text1"/>
                <w:highlight w:val="none"/>
                <w14:textFill>
                  <w14:solidFill>
                    <w14:schemeClr w14:val="tx1"/>
                  </w14:solidFill>
                </w14:textFill>
              </w:rPr>
            </w:pPr>
          </w:p>
          <w:p w14:paraId="6B45169E">
            <w:pPr>
              <w:pStyle w:val="191"/>
              <w:spacing w:line="360" w:lineRule="auto"/>
              <w:rPr>
                <w:rFonts w:hint="default"/>
                <w:color w:val="000000" w:themeColor="text1"/>
                <w:highlight w:val="none"/>
                <w14:textFill>
                  <w14:solidFill>
                    <w14:schemeClr w14:val="tx1"/>
                  </w14:solidFill>
                </w14:textFill>
              </w:rPr>
            </w:pPr>
          </w:p>
        </w:tc>
      </w:tr>
    </w:tbl>
    <w:p w14:paraId="7B036EE6">
      <w:pPr>
        <w:pStyle w:val="3"/>
        <w:rPr>
          <w:rFonts w:hint="eastAsia"/>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3A9E091">
      <w:pPr>
        <w:pStyle w:val="30"/>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五、</w:t>
      </w:r>
      <w:bookmarkStart w:id="2"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2"/>
    </w:p>
    <w:tbl>
      <w:tblPr>
        <w:tblStyle w:val="34"/>
        <w:tblW w:w="90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466"/>
        <w:gridCol w:w="1320"/>
        <w:gridCol w:w="2564"/>
        <w:gridCol w:w="2568"/>
      </w:tblGrid>
      <w:tr w14:paraId="6A519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12" w:type="dxa"/>
            <w:tcBorders>
              <w:tl2br w:val="single" w:color="auto" w:sz="4" w:space="0"/>
            </w:tcBorders>
            <w:noWrap w:val="0"/>
            <w:vAlign w:val="top"/>
          </w:tcPr>
          <w:p w14:paraId="34367277">
            <w:pPr>
              <w:adjustRightInd w:val="0"/>
              <w:snapToGrid w:val="0"/>
              <w:jc w:val="right"/>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内容</w:t>
            </w:r>
          </w:p>
          <w:p w14:paraId="541A604B">
            <w:pPr>
              <w:adjustRightInd w:val="0"/>
              <w:snapToGrid w:val="0"/>
              <w:jc w:val="right"/>
              <w:rPr>
                <w:rFonts w:hint="default" w:ascii="Times New Roman" w:hAnsi="Times New Roman" w:cs="Times New Roman"/>
                <w:b w:val="0"/>
                <w:bCs w:val="0"/>
                <w:color w:val="000000" w:themeColor="text1"/>
                <w:szCs w:val="21"/>
                <w:highlight w:val="none"/>
                <w:u w:val="none"/>
                <w14:textFill>
                  <w14:solidFill>
                    <w14:schemeClr w14:val="tx1"/>
                  </w14:solidFill>
                </w14:textFill>
              </w:rPr>
            </w:pPr>
          </w:p>
          <w:p w14:paraId="7DC3CC7B">
            <w:pPr>
              <w:wordWrap w:val="0"/>
              <w:adjustRightInd w:val="0"/>
              <w:snapToGrid w:val="0"/>
              <w:jc w:val="right"/>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 xml:space="preserve">要素    </w:t>
            </w:r>
          </w:p>
        </w:tc>
        <w:tc>
          <w:tcPr>
            <w:tcW w:w="1466" w:type="dxa"/>
            <w:noWrap w:val="0"/>
            <w:vAlign w:val="center"/>
          </w:tcPr>
          <w:p w14:paraId="17D8AEC6">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排放口(编号、</w:t>
            </w:r>
          </w:p>
          <w:p w14:paraId="0070DC07">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名称)/污染源</w:t>
            </w:r>
          </w:p>
        </w:tc>
        <w:tc>
          <w:tcPr>
            <w:tcW w:w="1320" w:type="dxa"/>
            <w:noWrap w:val="0"/>
            <w:vAlign w:val="center"/>
          </w:tcPr>
          <w:p w14:paraId="19DDF563">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污染物项目</w:t>
            </w:r>
          </w:p>
        </w:tc>
        <w:tc>
          <w:tcPr>
            <w:tcW w:w="2564" w:type="dxa"/>
            <w:noWrap w:val="0"/>
            <w:vAlign w:val="center"/>
          </w:tcPr>
          <w:p w14:paraId="6E69FE09">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环境保护措施</w:t>
            </w:r>
          </w:p>
        </w:tc>
        <w:tc>
          <w:tcPr>
            <w:tcW w:w="2568" w:type="dxa"/>
            <w:noWrap w:val="0"/>
            <w:vAlign w:val="center"/>
          </w:tcPr>
          <w:p w14:paraId="164F68B1">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执行标准</w:t>
            </w:r>
          </w:p>
        </w:tc>
      </w:tr>
      <w:tr w14:paraId="49682C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12" w:type="dxa"/>
            <w:noWrap w:val="0"/>
            <w:vAlign w:val="center"/>
          </w:tcPr>
          <w:p w14:paraId="612574C0">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大气环境</w:t>
            </w:r>
          </w:p>
        </w:tc>
        <w:tc>
          <w:tcPr>
            <w:tcW w:w="1466" w:type="dxa"/>
            <w:noWrap w:val="0"/>
            <w:vAlign w:val="center"/>
          </w:tcPr>
          <w:p w14:paraId="7EC87C33">
            <w:pPr>
              <w:adjustRightInd w:val="0"/>
              <w:snapToGrid w:val="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污水处理站恶臭</w:t>
            </w:r>
          </w:p>
        </w:tc>
        <w:tc>
          <w:tcPr>
            <w:tcW w:w="1320" w:type="dxa"/>
            <w:noWrap w:val="0"/>
            <w:vAlign w:val="center"/>
          </w:tcPr>
          <w:p w14:paraId="6E8CCF33">
            <w:pPr>
              <w:adjustRightInd w:val="0"/>
              <w:snapToGrid w:val="0"/>
              <w:jc w:val="center"/>
              <w:rPr>
                <w:rFonts w:hint="default"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NH</w:t>
            </w:r>
            <w:r>
              <w:rPr>
                <w:rFonts w:hint="eastAsia" w:ascii="Times New Roman" w:hAnsi="Times New Roman" w:cs="Times New Roman"/>
                <w:b w:val="0"/>
                <w:bCs w:val="0"/>
                <w:color w:val="000000" w:themeColor="text1"/>
                <w:szCs w:val="21"/>
                <w:highlight w:val="none"/>
                <w:u w:val="none"/>
                <w:vertAlign w:val="subscript"/>
                <w:lang w:val="en-US" w:eastAsia="zh-CN"/>
                <w14:textFill>
                  <w14:solidFill>
                    <w14:schemeClr w14:val="tx1"/>
                  </w14:solidFill>
                </w14:textFill>
              </w:rPr>
              <w:t>3</w:t>
            </w: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、H</w:t>
            </w:r>
            <w:r>
              <w:rPr>
                <w:rFonts w:hint="eastAsia" w:ascii="Times New Roman" w:hAnsi="Times New Roman" w:cs="Times New Roman"/>
                <w:b w:val="0"/>
                <w:bCs w:val="0"/>
                <w:color w:val="000000" w:themeColor="text1"/>
                <w:szCs w:val="21"/>
                <w:highlight w:val="none"/>
                <w:u w:val="none"/>
                <w:vertAlign w:val="subscript"/>
                <w:lang w:val="en-US" w:eastAsia="zh-CN"/>
                <w14:textFill>
                  <w14:solidFill>
                    <w14:schemeClr w14:val="tx1"/>
                  </w14:solidFill>
                </w14:textFill>
              </w:rPr>
              <w:t>2</w:t>
            </w: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S、臭气浓度</w:t>
            </w:r>
          </w:p>
        </w:tc>
        <w:tc>
          <w:tcPr>
            <w:tcW w:w="2564" w:type="dxa"/>
            <w:noWrap w:val="0"/>
            <w:vAlign w:val="center"/>
          </w:tcPr>
          <w:p w14:paraId="1DD298EC">
            <w:pPr>
              <w:adjustRightInd w:val="0"/>
              <w:snapToGrid w:val="0"/>
              <w:jc w:val="center"/>
              <w:rPr>
                <w:rFonts w:hint="eastAsia"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依托在建工程①，恶臭气体</w:t>
            </w:r>
            <w:r>
              <w:rPr>
                <w:rFonts w:hint="eastAsia"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t>收集后经活性炭吸附处理后引至感染病楼房顶（20m）排放</w:t>
            </w:r>
          </w:p>
        </w:tc>
        <w:tc>
          <w:tcPr>
            <w:tcW w:w="2568" w:type="dxa"/>
            <w:noWrap w:val="0"/>
            <w:vAlign w:val="center"/>
          </w:tcPr>
          <w:p w14:paraId="34AD1BF3">
            <w:pPr>
              <w:ind w:left="-105" w:leftChars="-50" w:right="-105" w:rightChars="-5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highlight w:val="none"/>
                <w:u w:val="none"/>
                <w:lang w:val="en-US" w:eastAsia="zh-CN"/>
                <w14:textFill>
                  <w14:solidFill>
                    <w14:schemeClr w14:val="tx1"/>
                  </w14:solidFill>
                </w14:textFill>
              </w:rPr>
              <w:t>《医疗机构水污染物排放标准》（GB18466-2005）表3</w:t>
            </w: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“污水处理站周边大气污染物最高允许浓度标准”</w:t>
            </w:r>
          </w:p>
        </w:tc>
      </w:tr>
      <w:tr w14:paraId="2B30A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12" w:type="dxa"/>
            <w:noWrap w:val="0"/>
            <w:vAlign w:val="center"/>
          </w:tcPr>
          <w:p w14:paraId="2B6D9AC6">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地表水</w:t>
            </w:r>
          </w:p>
          <w:p w14:paraId="16D2546B">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环境</w:t>
            </w:r>
          </w:p>
        </w:tc>
        <w:tc>
          <w:tcPr>
            <w:tcW w:w="7918" w:type="dxa"/>
            <w:gridSpan w:val="4"/>
            <w:noWrap w:val="0"/>
            <w:vAlign w:val="center"/>
          </w:tcPr>
          <w:p w14:paraId="68866223">
            <w:pPr>
              <w:adjustRightInd w:val="0"/>
              <w:snapToGrid w:val="0"/>
              <w:jc w:val="center"/>
              <w:rPr>
                <w:rFonts w:hint="eastAsia" w:ascii="Times New Roman" w:hAnsi="Times New Roman" w:eastAsia="宋体" w:cs="Times New Roman"/>
                <w:b w:val="0"/>
                <w:bCs w:val="0"/>
                <w:color w:val="000000" w:themeColor="text1"/>
                <w:szCs w:val="21"/>
                <w:highlight w:val="none"/>
                <w:u w:val="none"/>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依托在建工程①并扩建，</w:t>
            </w:r>
            <w:r>
              <w:rPr>
                <w:rFonts w:hint="eastAsia" w:ascii="Times New Roman" w:hAnsi="Times New Roman" w:eastAsia="宋体" w:cs="Times New Roman"/>
                <w:b w:val="0"/>
                <w:bCs w:val="0"/>
                <w:color w:val="000000" w:themeColor="text1"/>
                <w:szCs w:val="21"/>
                <w:highlight w:val="none"/>
                <w:u w:val="none"/>
                <w:lang w:eastAsia="zh-CN"/>
                <w14:textFill>
                  <w14:solidFill>
                    <w14:schemeClr w14:val="tx1"/>
                  </w14:solidFill>
                </w14:textFill>
              </w:rPr>
              <w:t>废水经污水处理站</w:t>
            </w:r>
            <w:r>
              <w:rPr>
                <w:rFonts w:hint="eastAsia" w:ascii="Times New Roman" w:hAnsi="Times New Roman" w:cs="Times New Roman"/>
                <w:b w:val="0"/>
                <w:bCs w:val="0"/>
                <w:color w:val="000000" w:themeColor="text1"/>
                <w:szCs w:val="21"/>
                <w:highlight w:val="none"/>
                <w:u w:val="none"/>
                <w:lang w:eastAsia="zh-CN"/>
                <w14:textFill>
                  <w14:solidFill>
                    <w14:schemeClr w14:val="tx1"/>
                  </w14:solidFill>
                </w14:textFill>
              </w:rPr>
              <w:t>（</w:t>
            </w: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160m</w:t>
            </w:r>
            <w:r>
              <w:rPr>
                <w:rFonts w:hint="eastAsia" w:ascii="Times New Roman" w:hAnsi="Times New Roman" w:cs="Times New Roman"/>
                <w:b w:val="0"/>
                <w:bCs w:val="0"/>
                <w:color w:val="000000" w:themeColor="text1"/>
                <w:szCs w:val="21"/>
                <w:highlight w:val="none"/>
                <w:u w:val="none"/>
                <w:vertAlign w:val="superscript"/>
                <w:lang w:val="en-US" w:eastAsia="zh-CN"/>
                <w14:textFill>
                  <w14:solidFill>
                    <w14:schemeClr w14:val="tx1"/>
                  </w14:solidFill>
                </w14:textFill>
              </w:rPr>
              <w:t>3</w:t>
            </w: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/d</w:t>
            </w:r>
            <w:r>
              <w:rPr>
                <w:rFonts w:hint="eastAsia" w:ascii="Times New Roman" w:hAnsi="Times New Roman" w:cs="Times New Roman"/>
                <w:b w:val="0"/>
                <w:bCs w:val="0"/>
                <w:color w:val="000000" w:themeColor="text1"/>
                <w:szCs w:val="21"/>
                <w:highlight w:val="none"/>
                <w:u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Cs w:val="21"/>
                <w:highlight w:val="none"/>
                <w:u w:val="none"/>
                <w:lang w:eastAsia="zh-CN"/>
                <w14:textFill>
                  <w14:solidFill>
                    <w14:schemeClr w14:val="tx1"/>
                  </w14:solidFill>
                </w14:textFill>
              </w:rPr>
              <w:t>处理并消毒后通过总排口由市政污水管网进入渑池县第二污水处理厂进一步处理，最终排入涧河</w:t>
            </w:r>
          </w:p>
        </w:tc>
      </w:tr>
      <w:tr w14:paraId="4157F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12" w:type="dxa"/>
            <w:noWrap w:val="0"/>
            <w:vAlign w:val="center"/>
          </w:tcPr>
          <w:p w14:paraId="487C8EAD">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声环境</w:t>
            </w:r>
          </w:p>
        </w:tc>
        <w:tc>
          <w:tcPr>
            <w:tcW w:w="1466" w:type="dxa"/>
            <w:noWrap w:val="0"/>
            <w:vAlign w:val="center"/>
          </w:tcPr>
          <w:p w14:paraId="0A93A740">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生产设备</w:t>
            </w:r>
          </w:p>
        </w:tc>
        <w:tc>
          <w:tcPr>
            <w:tcW w:w="1320" w:type="dxa"/>
            <w:noWrap w:val="0"/>
            <w:vAlign w:val="center"/>
          </w:tcPr>
          <w:p w14:paraId="54524197">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噪声</w:t>
            </w:r>
          </w:p>
        </w:tc>
        <w:tc>
          <w:tcPr>
            <w:tcW w:w="2564" w:type="dxa"/>
            <w:noWrap w:val="0"/>
            <w:vAlign w:val="center"/>
          </w:tcPr>
          <w:p w14:paraId="276D9F3B">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基础减振、</w:t>
            </w: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楼房</w:t>
            </w:r>
            <w:r>
              <w:rPr>
                <w:rFonts w:hint="default" w:ascii="Times New Roman" w:hAnsi="Times New Roman" w:cs="Times New Roman"/>
                <w:b w:val="0"/>
                <w:bCs w:val="0"/>
                <w:color w:val="000000" w:themeColor="text1"/>
                <w:szCs w:val="21"/>
                <w:highlight w:val="none"/>
                <w:u w:val="none"/>
                <w14:textFill>
                  <w14:solidFill>
                    <w14:schemeClr w14:val="tx1"/>
                  </w14:solidFill>
                </w14:textFill>
              </w:rPr>
              <w:t>隔声等</w:t>
            </w:r>
          </w:p>
        </w:tc>
        <w:tc>
          <w:tcPr>
            <w:tcW w:w="2568" w:type="dxa"/>
            <w:noWrap w:val="0"/>
            <w:vAlign w:val="center"/>
          </w:tcPr>
          <w:p w14:paraId="3A9C385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《工业企业厂界环境噪声排放标准》（GB12348-2008）</w:t>
            </w: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2</w:t>
            </w:r>
            <w:r>
              <w:rPr>
                <w:rFonts w:hint="default" w:ascii="Times New Roman" w:hAnsi="Times New Roman" w:cs="Times New Roman"/>
                <w:b w:val="0"/>
                <w:bCs w:val="0"/>
                <w:color w:val="000000" w:themeColor="text1"/>
                <w:szCs w:val="21"/>
                <w:highlight w:val="none"/>
                <w:u w:val="none"/>
                <w14:textFill>
                  <w14:solidFill>
                    <w14:schemeClr w14:val="tx1"/>
                  </w14:solidFill>
                </w14:textFill>
              </w:rPr>
              <w:t>类</w:t>
            </w: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标准</w:t>
            </w:r>
          </w:p>
        </w:tc>
      </w:tr>
      <w:tr w14:paraId="14074A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12" w:type="dxa"/>
            <w:noWrap w:val="0"/>
            <w:vAlign w:val="center"/>
          </w:tcPr>
          <w:p w14:paraId="5DEE1030">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电磁辐射</w:t>
            </w:r>
          </w:p>
        </w:tc>
        <w:tc>
          <w:tcPr>
            <w:tcW w:w="7918" w:type="dxa"/>
            <w:gridSpan w:val="4"/>
            <w:noWrap w:val="0"/>
            <w:vAlign w:val="center"/>
          </w:tcPr>
          <w:p w14:paraId="54BDD0D0">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w:t>
            </w:r>
          </w:p>
        </w:tc>
      </w:tr>
      <w:tr w14:paraId="2E73B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1112" w:type="dxa"/>
            <w:noWrap w:val="0"/>
            <w:vAlign w:val="center"/>
          </w:tcPr>
          <w:p w14:paraId="41FFCAD8">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固体废物</w:t>
            </w:r>
          </w:p>
        </w:tc>
        <w:tc>
          <w:tcPr>
            <w:tcW w:w="7918" w:type="dxa"/>
            <w:gridSpan w:val="4"/>
            <w:noWrap w:val="0"/>
            <w:vAlign w:val="center"/>
          </w:tcPr>
          <w:p w14:paraId="263BB7B1">
            <w:pPr>
              <w:adjustRightInd w:val="0"/>
              <w:snapToGrid w:val="0"/>
              <w:jc w:val="left"/>
              <w:rPr>
                <w:rFonts w:hint="eastAsia" w:ascii="Times New Roman" w:hAnsi="Times New Roman" w:eastAsia="宋体" w:cs="Times New Roman"/>
                <w:b w:val="0"/>
                <w:bCs w:val="0"/>
                <w:color w:val="000000" w:themeColor="text1"/>
                <w:szCs w:val="21"/>
                <w:highlight w:val="none"/>
                <w:u w:val="none"/>
                <w:lang w:eastAsia="zh-CN"/>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医疗废物、废活性炭在危废暂存间内分类收集暂存后定期交三门峡天蓝环保科技有限公司安全处置；污水处理站脱水后的泥饼袋装密封后在污泥暂存间内暂存，定期交由三门峡天蓝环保科技有限公司安全处置；</w:t>
            </w: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隔油池油渣经收集后由有资质单位处置；中药药渣和</w:t>
            </w:r>
            <w:r>
              <w:rPr>
                <w:rFonts w:hint="default" w:ascii="Times New Roman" w:hAnsi="Times New Roman" w:cs="Times New Roman"/>
                <w:b w:val="0"/>
                <w:bCs w:val="0"/>
                <w:color w:val="000000" w:themeColor="text1"/>
                <w:szCs w:val="21"/>
                <w:highlight w:val="none"/>
                <w:u w:val="none"/>
                <w14:textFill>
                  <w14:solidFill>
                    <w14:schemeClr w14:val="tx1"/>
                  </w14:solidFill>
                </w14:textFill>
              </w:rPr>
              <w:t>生活垃圾</w:t>
            </w: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经</w:t>
            </w:r>
            <w:r>
              <w:rPr>
                <w:rFonts w:hint="eastAsia" w:ascii="Times New Roman" w:hAnsi="Times New Roman" w:cs="Times New Roman"/>
                <w:color w:val="000000" w:themeColor="text1"/>
                <w:szCs w:val="21"/>
                <w:highlight w:val="none"/>
                <w:lang w:val="en-US" w:eastAsia="zh-CN"/>
                <w14:textFill>
                  <w14:solidFill>
                    <w14:schemeClr w14:val="tx1"/>
                  </w14:solidFill>
                </w14:textFill>
              </w:rPr>
              <w:t>垃圾暂存站</w:t>
            </w:r>
            <w:r>
              <w:rPr>
                <w:rFonts w:hint="default" w:ascii="Times New Roman" w:hAnsi="Times New Roman" w:cs="Times New Roman"/>
                <w:b w:val="0"/>
                <w:bCs w:val="0"/>
                <w:color w:val="000000" w:themeColor="text1"/>
                <w:szCs w:val="21"/>
                <w:highlight w:val="none"/>
                <w:u w:val="none"/>
                <w14:textFill>
                  <w14:solidFill>
                    <w14:schemeClr w14:val="tx1"/>
                  </w14:solidFill>
                </w14:textFill>
              </w:rPr>
              <w:t>收集后</w:t>
            </w:r>
            <w:r>
              <w:rPr>
                <w:rFonts w:hint="eastAsia" w:ascii="Times New Roman" w:hAnsi="Times New Roman" w:cs="Times New Roman"/>
                <w:b w:val="0"/>
                <w:bCs w:val="0"/>
                <w:color w:val="000000" w:themeColor="text1"/>
                <w:szCs w:val="21"/>
                <w:highlight w:val="none"/>
                <w:u w:val="none"/>
                <w:lang w:eastAsia="zh-CN"/>
                <w14:textFill>
                  <w14:solidFill>
                    <w14:schemeClr w14:val="tx1"/>
                  </w14:solidFill>
                </w14:textFill>
              </w:rPr>
              <w:t>，</w:t>
            </w:r>
            <w:r>
              <w:rPr>
                <w:rFonts w:hint="default" w:ascii="Times New Roman" w:hAnsi="Times New Roman" w:cs="Times New Roman"/>
                <w:b w:val="0"/>
                <w:bCs w:val="0"/>
                <w:color w:val="000000" w:themeColor="text1"/>
                <w:szCs w:val="21"/>
                <w:highlight w:val="none"/>
                <w:u w:val="none"/>
                <w14:textFill>
                  <w14:solidFill>
                    <w14:schemeClr w14:val="tx1"/>
                  </w14:solidFill>
                </w14:textFill>
              </w:rPr>
              <w:t>由环卫部门定期清运</w:t>
            </w:r>
            <w:r>
              <w:rPr>
                <w:rFonts w:hint="eastAsia" w:ascii="Times New Roman" w:hAnsi="Times New Roman" w:cs="Times New Roman"/>
                <w:b w:val="0"/>
                <w:bCs w:val="0"/>
                <w:color w:val="000000" w:themeColor="text1"/>
                <w:szCs w:val="21"/>
                <w:highlight w:val="none"/>
                <w:u w:val="none"/>
                <w:lang w:eastAsia="zh-CN"/>
                <w14:textFill>
                  <w14:solidFill>
                    <w14:schemeClr w14:val="tx1"/>
                  </w14:solidFill>
                </w14:textFill>
              </w:rPr>
              <w:t>。</w:t>
            </w:r>
          </w:p>
        </w:tc>
      </w:tr>
      <w:tr w14:paraId="37DA0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112" w:type="dxa"/>
            <w:noWrap w:val="0"/>
            <w:vAlign w:val="center"/>
          </w:tcPr>
          <w:p w14:paraId="2835C0FD">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土壤及地下水污染防治措施</w:t>
            </w:r>
          </w:p>
        </w:tc>
        <w:tc>
          <w:tcPr>
            <w:tcW w:w="7918" w:type="dxa"/>
            <w:gridSpan w:val="4"/>
            <w:noWrap w:val="0"/>
            <w:vAlign w:val="center"/>
          </w:tcPr>
          <w:p w14:paraId="7E463089">
            <w:pPr>
              <w:adjustRightInd w:val="0"/>
              <w:snapToGrid w:val="0"/>
              <w:jc w:val="left"/>
              <w:rPr>
                <w:rFonts w:hint="default" w:ascii="Times New Roman" w:hAnsi="Times New Roman" w:eastAsia="宋体" w:cs="Times New Roman"/>
                <w:b w:val="0"/>
                <w:bCs w:val="0"/>
                <w:color w:val="000000" w:themeColor="text1"/>
                <w:szCs w:val="21"/>
                <w:highlight w:val="none"/>
                <w:u w:val="none"/>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建设单位</w:t>
            </w:r>
            <w:r>
              <w:rPr>
                <w:rFonts w:hint="default" w:ascii="Times New Roman" w:hAnsi="Times New Roman" w:cs="Times New Roman"/>
                <w:b w:val="0"/>
                <w:bCs w:val="0"/>
                <w:color w:val="000000" w:themeColor="text1"/>
                <w:szCs w:val="21"/>
                <w:highlight w:val="none"/>
                <w:u w:val="none"/>
                <w:lang w:val="en-US" w:eastAsia="zh-CN"/>
                <w14:textFill>
                  <w14:solidFill>
                    <w14:schemeClr w14:val="tx1"/>
                  </w14:solidFill>
                </w14:textFill>
              </w:rPr>
              <w:t>拟对</w:t>
            </w: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院区</w:t>
            </w:r>
            <w:r>
              <w:rPr>
                <w:rFonts w:hint="default" w:ascii="Times New Roman" w:hAnsi="Times New Roman" w:cs="Times New Roman"/>
                <w:b w:val="0"/>
                <w:bCs w:val="0"/>
                <w:color w:val="000000" w:themeColor="text1"/>
                <w:szCs w:val="21"/>
                <w:highlight w:val="none"/>
                <w:u w:val="none"/>
                <w14:textFill>
                  <w14:solidFill>
                    <w14:schemeClr w14:val="tx1"/>
                  </w14:solidFill>
                </w14:textFill>
              </w:rPr>
              <w:t>地面硬化、防渗防漏，</w:t>
            </w:r>
            <w:r>
              <w:rPr>
                <w:rFonts w:hint="eastAsia" w:ascii="Times New Roman" w:hAnsi="Times New Roman" w:cs="Times New Roman"/>
                <w:b w:val="0"/>
                <w:bCs w:val="0"/>
                <w:color w:val="000000" w:themeColor="text1"/>
                <w:szCs w:val="21"/>
                <w:highlight w:val="none"/>
                <w:u w:val="none"/>
                <w:lang w:eastAsia="zh-CN"/>
                <w14:textFill>
                  <w14:solidFill>
                    <w14:schemeClr w14:val="tx1"/>
                  </w14:solidFill>
                </w14:textFill>
              </w:rPr>
              <w:t>危险废物暂存间</w:t>
            </w:r>
            <w:r>
              <w:rPr>
                <w:rFonts w:hint="default" w:ascii="Times New Roman" w:hAnsi="Times New Roman" w:cs="Times New Roman"/>
                <w:b w:val="0"/>
                <w:bCs w:val="0"/>
                <w:color w:val="000000" w:themeColor="text1"/>
                <w:szCs w:val="21"/>
                <w:highlight w:val="none"/>
                <w:u w:val="none"/>
                <w14:textFill>
                  <w14:solidFill>
                    <w14:schemeClr w14:val="tx1"/>
                  </w14:solidFill>
                </w14:textFill>
              </w:rPr>
              <w:t>拟严格按照《危险废物贮存污染控制标准》</w:t>
            </w:r>
            <w:r>
              <w:rPr>
                <w:rFonts w:hint="eastAsia" w:ascii="Times New Roman" w:hAnsi="Times New Roman" w:cs="Times New Roman"/>
                <w:b w:val="0"/>
                <w:bCs w:val="0"/>
                <w:color w:val="000000" w:themeColor="text1"/>
                <w:szCs w:val="21"/>
                <w:highlight w:val="none"/>
                <w:u w:val="none"/>
                <w:lang w:eastAsia="zh-CN"/>
                <w14:textFill>
                  <w14:solidFill>
                    <w14:schemeClr w14:val="tx1"/>
                  </w14:solidFill>
                </w14:textFill>
              </w:rPr>
              <w:t>（GB18597-2023）</w:t>
            </w:r>
            <w:r>
              <w:rPr>
                <w:rFonts w:hint="default" w:ascii="Times New Roman" w:hAnsi="Times New Roman" w:cs="Times New Roman"/>
                <w:b w:val="0"/>
                <w:bCs w:val="0"/>
                <w:color w:val="000000" w:themeColor="text1"/>
                <w:szCs w:val="21"/>
                <w:highlight w:val="none"/>
                <w:u w:val="none"/>
                <w14:textFill>
                  <w14:solidFill>
                    <w14:schemeClr w14:val="tx1"/>
                  </w14:solidFill>
                </w14:textFill>
              </w:rPr>
              <w:t>的要求进行防渗处理，采取防风、防雨、防晒、防渗漏措施</w:t>
            </w:r>
            <w:r>
              <w:rPr>
                <w:rFonts w:hint="default" w:ascii="Times New Roman" w:hAnsi="Times New Roman" w:cs="Times New Roman"/>
                <w:b w:val="0"/>
                <w:bCs w:val="0"/>
                <w:color w:val="000000" w:themeColor="text1"/>
                <w:szCs w:val="21"/>
                <w:highlight w:val="none"/>
                <w:u w:val="none"/>
                <w:lang w:eastAsia="zh-CN"/>
                <w14:textFill>
                  <w14:solidFill>
                    <w14:schemeClr w14:val="tx1"/>
                  </w14:solidFill>
                </w14:textFill>
              </w:rPr>
              <w:t>。</w:t>
            </w:r>
          </w:p>
        </w:tc>
      </w:tr>
      <w:tr w14:paraId="453EBA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112" w:type="dxa"/>
            <w:noWrap w:val="0"/>
            <w:vAlign w:val="center"/>
          </w:tcPr>
          <w:p w14:paraId="34F1750C">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生态保护措施</w:t>
            </w:r>
          </w:p>
        </w:tc>
        <w:tc>
          <w:tcPr>
            <w:tcW w:w="7918" w:type="dxa"/>
            <w:gridSpan w:val="4"/>
            <w:noWrap w:val="0"/>
            <w:vAlign w:val="center"/>
          </w:tcPr>
          <w:p w14:paraId="040B68F9">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w:t>
            </w:r>
          </w:p>
        </w:tc>
      </w:tr>
      <w:tr w14:paraId="21152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6" w:hRule="atLeast"/>
          <w:jc w:val="center"/>
        </w:trPr>
        <w:tc>
          <w:tcPr>
            <w:tcW w:w="1112" w:type="dxa"/>
            <w:noWrap w:val="0"/>
            <w:vAlign w:val="center"/>
          </w:tcPr>
          <w:p w14:paraId="7BFEC65A">
            <w:pPr>
              <w:adjustRightInd w:val="0"/>
              <w:snapToGrid w:val="0"/>
              <w:jc w:val="center"/>
              <w:rPr>
                <w:rFonts w:hint="default" w:ascii="Times New Roman" w:hAnsi="Times New Roman" w:cs="Times New Roman"/>
                <w:b w:val="0"/>
                <w:bCs w:val="0"/>
                <w:color w:val="000000" w:themeColor="text1"/>
                <w:spacing w:val="-8"/>
                <w:szCs w:val="21"/>
                <w:highlight w:val="none"/>
                <w:u w:val="none"/>
                <w14:textFill>
                  <w14:solidFill>
                    <w14:schemeClr w14:val="tx1"/>
                  </w14:solidFill>
                </w14:textFill>
              </w:rPr>
            </w:pPr>
            <w:r>
              <w:rPr>
                <w:rFonts w:hint="default" w:ascii="Times New Roman" w:hAnsi="Times New Roman" w:cs="Times New Roman"/>
                <w:b w:val="0"/>
                <w:bCs w:val="0"/>
                <w:color w:val="000000" w:themeColor="text1"/>
                <w:spacing w:val="-8"/>
                <w:szCs w:val="21"/>
                <w:highlight w:val="none"/>
                <w:u w:val="none"/>
                <w14:textFill>
                  <w14:solidFill>
                    <w14:schemeClr w14:val="tx1"/>
                  </w14:solidFill>
                </w14:textFill>
              </w:rPr>
              <w:t>环境风险</w:t>
            </w:r>
          </w:p>
          <w:p w14:paraId="719487D3">
            <w:pPr>
              <w:adjustRightInd w:val="0"/>
              <w:snapToGrid w:val="0"/>
              <w:jc w:val="center"/>
              <w:rPr>
                <w:rFonts w:hint="default" w:ascii="Times New Roman" w:hAnsi="Times New Roman" w:cs="Times New Roman"/>
                <w:b w:val="0"/>
                <w:bCs w:val="0"/>
                <w:color w:val="000000" w:themeColor="text1"/>
                <w:spacing w:val="-8"/>
                <w:szCs w:val="21"/>
                <w:highlight w:val="none"/>
                <w:u w:val="none"/>
                <w14:textFill>
                  <w14:solidFill>
                    <w14:schemeClr w14:val="tx1"/>
                  </w14:solidFill>
                </w14:textFill>
              </w:rPr>
            </w:pPr>
            <w:r>
              <w:rPr>
                <w:rFonts w:hint="default" w:ascii="Times New Roman" w:hAnsi="Times New Roman" w:cs="Times New Roman"/>
                <w:b w:val="0"/>
                <w:bCs w:val="0"/>
                <w:color w:val="000000" w:themeColor="text1"/>
                <w:spacing w:val="-8"/>
                <w:szCs w:val="21"/>
                <w:highlight w:val="none"/>
                <w:u w:val="none"/>
                <w14:textFill>
                  <w14:solidFill>
                    <w14:schemeClr w14:val="tx1"/>
                  </w14:solidFill>
                </w14:textFill>
              </w:rPr>
              <w:t>防范措施</w:t>
            </w:r>
          </w:p>
        </w:tc>
        <w:tc>
          <w:tcPr>
            <w:tcW w:w="7918" w:type="dxa"/>
            <w:gridSpan w:val="4"/>
            <w:noWrap w:val="0"/>
            <w:vAlign w:val="center"/>
          </w:tcPr>
          <w:p w14:paraId="6C29E61F">
            <w:pPr>
              <w:tabs>
                <w:tab w:val="left" w:pos="0"/>
              </w:tabs>
              <w:ind w:left="-105" w:leftChars="-50" w:right="-105" w:rightChars="-50"/>
              <w:jc w:val="left"/>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①</w:t>
            </w:r>
            <w:r>
              <w:rPr>
                <w:rFonts w:hint="default" w:ascii="Times New Roman" w:hAnsi="Times New Roman" w:cs="Times New Roman"/>
                <w:b w:val="0"/>
                <w:bCs w:val="0"/>
                <w:color w:val="000000" w:themeColor="text1"/>
                <w:szCs w:val="21"/>
                <w:highlight w:val="none"/>
                <w:u w:val="none"/>
                <w14:textFill>
                  <w14:solidFill>
                    <w14:schemeClr w14:val="tx1"/>
                  </w14:solidFill>
                </w14:textFill>
              </w:rPr>
              <w:t>氯酸钠运输过程中避免强烈震动、一次装载量不宜过大，且不可与酸性物质或还原性粉状物质混运；不可堆积存放，储存间要保持干燥和通风；使用过程中应加强管理。</w:t>
            </w:r>
          </w:p>
          <w:p w14:paraId="321EF822">
            <w:pPr>
              <w:tabs>
                <w:tab w:val="left" w:pos="0"/>
              </w:tabs>
              <w:ind w:left="-105" w:leftChars="-50" w:right="-105" w:rightChars="-50"/>
              <w:jc w:val="left"/>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②</w:t>
            </w:r>
            <w:r>
              <w:rPr>
                <w:rFonts w:hint="default" w:ascii="Times New Roman" w:hAnsi="Times New Roman" w:cs="Times New Roman"/>
                <w:b w:val="0"/>
                <w:bCs w:val="0"/>
                <w:color w:val="000000" w:themeColor="text1"/>
                <w:szCs w:val="21"/>
                <w:highlight w:val="none"/>
                <w:u w:val="none"/>
                <w14:textFill>
                  <w14:solidFill>
                    <w14:schemeClr w14:val="tx1"/>
                  </w14:solidFill>
                </w14:textFill>
              </w:rPr>
              <w:t>污水处理站易发生故障的设备（泵类）均有备用设备，一旦设备发生故障可立即采用备用设备。</w:t>
            </w:r>
          </w:p>
          <w:p w14:paraId="5A92273F">
            <w:pPr>
              <w:tabs>
                <w:tab w:val="left" w:pos="0"/>
              </w:tabs>
              <w:ind w:left="-105" w:leftChars="-50" w:right="-105" w:rightChars="-50"/>
              <w:jc w:val="left"/>
              <w:rPr>
                <w:rFonts w:hint="eastAsia" w:ascii="Times New Roman" w:hAnsi="Times New Roman" w:eastAsia="宋体" w:cs="Times New Roman"/>
                <w:b w:val="0"/>
                <w:bCs w:val="0"/>
                <w:color w:val="000000" w:themeColor="text1"/>
                <w:szCs w:val="21"/>
                <w:highlight w:val="none"/>
                <w:u w:val="none"/>
                <w:lang w:eastAsia="zh-CN"/>
                <w14:textFill>
                  <w14:solidFill>
                    <w14:schemeClr w14:val="tx1"/>
                  </w14:solidFill>
                </w14:textFill>
              </w:rPr>
            </w:pP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③</w:t>
            </w:r>
            <w:r>
              <w:rPr>
                <w:rFonts w:hint="default" w:ascii="Times New Roman" w:hAnsi="Times New Roman" w:cs="Times New Roman"/>
                <w:b w:val="0"/>
                <w:bCs w:val="0"/>
                <w:color w:val="000000" w:themeColor="text1"/>
                <w:szCs w:val="21"/>
                <w:highlight w:val="none"/>
                <w:u w:val="none"/>
                <w14:textFill>
                  <w14:solidFill>
                    <w14:schemeClr w14:val="tx1"/>
                  </w14:solidFill>
                </w14:textFill>
              </w:rPr>
              <w:t>编制应急预案</w:t>
            </w:r>
            <w:r>
              <w:rPr>
                <w:rFonts w:hint="eastAsia" w:ascii="Times New Roman" w:hAnsi="Times New Roman" w:cs="Times New Roman"/>
                <w:b w:val="0"/>
                <w:bCs w:val="0"/>
                <w:color w:val="000000" w:themeColor="text1"/>
                <w:szCs w:val="21"/>
                <w:highlight w:val="none"/>
                <w:u w:val="none"/>
                <w:lang w:eastAsia="zh-CN"/>
                <w14:textFill>
                  <w14:solidFill>
                    <w14:schemeClr w14:val="tx1"/>
                  </w14:solidFill>
                </w14:textFill>
              </w:rPr>
              <w:t>，</w:t>
            </w:r>
            <w:r>
              <w:rPr>
                <w:rFonts w:hint="eastAsia" w:ascii="Times New Roman" w:hAnsi="Times New Roman" w:cs="Times New Roman"/>
                <w:b w:val="0"/>
                <w:bCs w:val="0"/>
                <w:color w:val="000000" w:themeColor="text1"/>
                <w:szCs w:val="21"/>
                <w:highlight w:val="none"/>
                <w:u w:val="none"/>
                <w:lang w:val="en-US" w:eastAsia="zh-CN"/>
                <w14:textFill>
                  <w14:solidFill>
                    <w14:schemeClr w14:val="tx1"/>
                  </w14:solidFill>
                </w14:textFill>
              </w:rPr>
              <w:t>加强医疗废物从产生到储存再到运输等各个环节的管理。</w:t>
            </w:r>
          </w:p>
        </w:tc>
      </w:tr>
      <w:tr w14:paraId="3D702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1112" w:type="dxa"/>
            <w:noWrap w:val="0"/>
            <w:vAlign w:val="center"/>
          </w:tcPr>
          <w:p w14:paraId="589BC504">
            <w:pPr>
              <w:adjustRightInd w:val="0"/>
              <w:snapToGrid w:val="0"/>
              <w:jc w:val="center"/>
              <w:rPr>
                <w:rFonts w:hint="default" w:ascii="Times New Roman" w:hAnsi="Times New Roman" w:cs="Times New Roman"/>
                <w:b w:val="0"/>
                <w:bCs w:val="0"/>
                <w:color w:val="000000" w:themeColor="text1"/>
                <w:spacing w:val="-8"/>
                <w:szCs w:val="21"/>
                <w:highlight w:val="none"/>
                <w:u w:val="none"/>
                <w14:textFill>
                  <w14:solidFill>
                    <w14:schemeClr w14:val="tx1"/>
                  </w14:solidFill>
                </w14:textFill>
              </w:rPr>
            </w:pPr>
            <w:r>
              <w:rPr>
                <w:rFonts w:hint="default" w:ascii="Times New Roman" w:hAnsi="Times New Roman" w:cs="Times New Roman"/>
                <w:b w:val="0"/>
                <w:bCs w:val="0"/>
                <w:color w:val="000000" w:themeColor="text1"/>
                <w:spacing w:val="-8"/>
                <w:szCs w:val="21"/>
                <w:highlight w:val="none"/>
                <w:u w:val="none"/>
                <w14:textFill>
                  <w14:solidFill>
                    <w14:schemeClr w14:val="tx1"/>
                  </w14:solidFill>
                </w14:textFill>
              </w:rPr>
              <w:t>其他环境</w:t>
            </w:r>
          </w:p>
          <w:p w14:paraId="759A44E8">
            <w:pPr>
              <w:adjustRightInd w:val="0"/>
              <w:snapToGrid w:val="0"/>
              <w:jc w:val="center"/>
              <w:rPr>
                <w:rFonts w:hint="default" w:ascii="Times New Roman" w:hAnsi="Times New Roman" w:cs="Times New Roman"/>
                <w:b w:val="0"/>
                <w:bCs w:val="0"/>
                <w:color w:val="000000" w:themeColor="text1"/>
                <w:spacing w:val="-8"/>
                <w:szCs w:val="21"/>
                <w:highlight w:val="none"/>
                <w:u w:val="none"/>
                <w14:textFill>
                  <w14:solidFill>
                    <w14:schemeClr w14:val="tx1"/>
                  </w14:solidFill>
                </w14:textFill>
              </w:rPr>
            </w:pPr>
            <w:r>
              <w:rPr>
                <w:rFonts w:hint="default" w:ascii="Times New Roman" w:hAnsi="Times New Roman" w:cs="Times New Roman"/>
                <w:b w:val="0"/>
                <w:bCs w:val="0"/>
                <w:color w:val="000000" w:themeColor="text1"/>
                <w:spacing w:val="-8"/>
                <w:szCs w:val="21"/>
                <w:highlight w:val="none"/>
                <w:u w:val="none"/>
                <w14:textFill>
                  <w14:solidFill>
                    <w14:schemeClr w14:val="tx1"/>
                  </w14:solidFill>
                </w14:textFill>
              </w:rPr>
              <w:t>管理要求</w:t>
            </w:r>
          </w:p>
        </w:tc>
        <w:tc>
          <w:tcPr>
            <w:tcW w:w="7918" w:type="dxa"/>
            <w:gridSpan w:val="4"/>
            <w:noWrap w:val="0"/>
            <w:vAlign w:val="center"/>
          </w:tcPr>
          <w:p w14:paraId="78662ADF">
            <w:pPr>
              <w:adjustRightInd w:val="0"/>
              <w:snapToGrid w:val="0"/>
              <w:jc w:val="center"/>
              <w:rPr>
                <w:rFonts w:hint="default" w:ascii="Times New Roman" w:hAnsi="Times New Roman" w:cs="Times New Roman"/>
                <w:b w:val="0"/>
                <w:bCs w:val="0"/>
                <w:color w:val="000000" w:themeColor="text1"/>
                <w:szCs w:val="21"/>
                <w:highlight w:val="none"/>
                <w:u w:val="none"/>
                <w14:textFill>
                  <w14:solidFill>
                    <w14:schemeClr w14:val="tx1"/>
                  </w14:solidFill>
                </w14:textFill>
              </w:rPr>
            </w:pPr>
            <w:r>
              <w:rPr>
                <w:rFonts w:hint="default" w:ascii="Times New Roman" w:hAnsi="Times New Roman" w:cs="Times New Roman"/>
                <w:b w:val="0"/>
                <w:bCs w:val="0"/>
                <w:color w:val="000000" w:themeColor="text1"/>
                <w:szCs w:val="21"/>
                <w:highlight w:val="none"/>
                <w:u w:val="none"/>
                <w14:textFill>
                  <w14:solidFill>
                    <w14:schemeClr w14:val="tx1"/>
                  </w14:solidFill>
                </w14:textFill>
              </w:rPr>
              <w:t>/</w:t>
            </w:r>
          </w:p>
        </w:tc>
      </w:tr>
    </w:tbl>
    <w:p w14:paraId="71DF812F">
      <w:pPr>
        <w:pStyle w:val="30"/>
        <w:jc w:val="center"/>
        <w:outlineLvl w:val="0"/>
        <w:rPr>
          <w:rFonts w:ascii="黑体" w:hAnsi="黑体" w:eastAsia="黑体"/>
          <w:snapToGrid w:val="0"/>
          <w:color w:val="000000" w:themeColor="text1"/>
          <w:sz w:val="30"/>
          <w:szCs w:val="30"/>
          <w:highlight w:val="none"/>
          <w14:textFill>
            <w14:solidFill>
              <w14:schemeClr w14:val="tx1"/>
            </w14:solidFill>
          </w14:textFill>
        </w:rPr>
      </w:pPr>
      <w:r>
        <w:rPr>
          <w:snapToGrid w:val="0"/>
          <w:color w:val="000000" w:themeColor="text1"/>
          <w:highlight w:val="none"/>
          <w14:textFill>
            <w14:solidFill>
              <w14:schemeClr w14:val="tx1"/>
            </w14:solidFill>
          </w14:textFill>
        </w:rPr>
        <w:br w:type="page"/>
      </w:r>
      <w:r>
        <w:rPr>
          <w:rFonts w:hint="eastAsia" w:ascii="黑体" w:hAnsi="黑体" w:eastAsia="黑体"/>
          <w:snapToGrid w:val="0"/>
          <w:color w:val="000000" w:themeColor="text1"/>
          <w:sz w:val="30"/>
          <w:szCs w:val="30"/>
          <w:highlight w:val="none"/>
          <w14:textFill>
            <w14:solidFill>
              <w14:schemeClr w14:val="tx1"/>
            </w14:solidFill>
          </w14:textFill>
        </w:rPr>
        <w:t>六、结论</w:t>
      </w:r>
    </w:p>
    <w:tbl>
      <w:tblPr>
        <w:tblStyle w:val="34"/>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CBEAD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608B19A0">
            <w:pPr>
              <w:spacing w:before="120" w:beforeLines="50"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综上所</w:t>
            </w:r>
            <w:r>
              <w:rPr>
                <w:rFonts w:hint="eastAsia"/>
                <w:color w:val="000000" w:themeColor="text1"/>
                <w:sz w:val="24"/>
                <w:highlight w:val="none"/>
                <w14:textFill>
                  <w14:solidFill>
                    <w14:schemeClr w14:val="tx1"/>
                  </w14:solidFill>
                </w14:textFill>
              </w:rPr>
              <w:t>述</w:t>
            </w:r>
            <w:r>
              <w:rPr>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eastAsia="zh-CN"/>
                <w14:textFill>
                  <w14:solidFill>
                    <w14:schemeClr w14:val="tx1"/>
                  </w14:solidFill>
                </w14:textFill>
              </w:rPr>
              <w:t>渑池县中医院精神卫生和心理健康防治中心项目</w:t>
            </w:r>
            <w:r>
              <w:rPr>
                <w:rFonts w:hint="default" w:ascii="Times New Roman" w:hAnsi="Times New Roman" w:cs="Times New Roman"/>
                <w:color w:val="000000" w:themeColor="text1"/>
                <w:sz w:val="24"/>
                <w:highlight w:val="none"/>
                <w14:textFill>
                  <w14:solidFill>
                    <w14:schemeClr w14:val="tx1"/>
                  </w14:solidFill>
                </w14:textFill>
              </w:rPr>
              <w:t>符合国家相关产业政策，选址可行。在建设单位认真落实各项环保治理措施后，项目产生的各类污染物均能达标排放，对周围环境影响较小，具有较好的经济效益。从环保角度分析，</w:t>
            </w:r>
            <w:r>
              <w:rPr>
                <w:rFonts w:hint="default" w:ascii="Times New Roman" w:hAnsi="Times New Roman" w:cs="Times New Roman"/>
                <w:color w:val="000000" w:themeColor="text1"/>
                <w:sz w:val="24"/>
                <w:highlight w:val="none"/>
                <w:lang w:eastAsia="zh-CN"/>
                <w14:textFill>
                  <w14:solidFill>
                    <w14:schemeClr w14:val="tx1"/>
                  </w14:solidFill>
                </w14:textFill>
              </w:rPr>
              <w:t>项目</w:t>
            </w:r>
            <w:r>
              <w:rPr>
                <w:rFonts w:hint="default" w:ascii="Times New Roman" w:hAnsi="Times New Roman" w:cs="Times New Roman"/>
                <w:color w:val="000000" w:themeColor="text1"/>
                <w:sz w:val="24"/>
                <w:highlight w:val="none"/>
                <w14:textFill>
                  <w14:solidFill>
                    <w14:schemeClr w14:val="tx1"/>
                  </w14:solidFill>
                </w14:textFill>
              </w:rPr>
              <w:t>建设是可行的。</w:t>
            </w:r>
          </w:p>
          <w:p w14:paraId="43B03D33">
            <w:pPr>
              <w:spacing w:before="120" w:beforeLines="50" w:line="360" w:lineRule="auto"/>
              <w:rPr>
                <w:rFonts w:ascii="宋体" w:cs="宋体"/>
                <w:color w:val="000000" w:themeColor="text1"/>
                <w:sz w:val="24"/>
                <w:highlight w:val="none"/>
                <w14:textFill>
                  <w14:solidFill>
                    <w14:schemeClr w14:val="tx1"/>
                  </w14:solidFill>
                </w14:textFill>
              </w:rPr>
            </w:pPr>
          </w:p>
        </w:tc>
      </w:tr>
    </w:tbl>
    <w:p w14:paraId="57020BAD">
      <w:pPr>
        <w:rPr>
          <w:rFonts w:ascii="宋体"/>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1258C8E">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黑体" w:hAnsi="黑体" w:eastAsia="黑体"/>
          <w:snapToGrid w:val="0"/>
          <w:color w:val="000000" w:themeColor="text1"/>
          <w:sz w:val="32"/>
          <w:szCs w:val="32"/>
          <w:highlight w:val="none"/>
          <w14:textFill>
            <w14:solidFill>
              <w14:schemeClr w14:val="tx1"/>
            </w14:solidFill>
          </w14:textFill>
        </w:rPr>
      </w:pPr>
      <w:r>
        <w:rPr>
          <w:rFonts w:hint="eastAsia" w:ascii="黑体" w:hAnsi="黑体" w:eastAsia="黑体"/>
          <w:snapToGrid w:val="0"/>
          <w:color w:val="000000" w:themeColor="text1"/>
          <w:sz w:val="32"/>
          <w:szCs w:val="32"/>
          <w:highlight w:val="none"/>
          <w14:textFill>
            <w14:solidFill>
              <w14:schemeClr w14:val="tx1"/>
            </w14:solidFill>
          </w14:textFill>
        </w:rPr>
        <w:t>附表</w:t>
      </w:r>
    </w:p>
    <w:p w14:paraId="5DD854D3">
      <w:pPr>
        <w:pStyle w:val="30"/>
        <w:adjustRightInd w:val="0"/>
        <w:snapToGrid w:val="0"/>
        <w:spacing w:before="0" w:beforeAutospacing="0" w:after="0" w:afterAutospacing="0" w:line="240" w:lineRule="auto"/>
        <w:jc w:val="center"/>
        <w:outlineLvl w:val="0"/>
        <w:rPr>
          <w:rFonts w:hint="eastAsia" w:ascii="方正小标宋_GBK" w:hAnsi="黑体" w:eastAsia="方正小标宋_GBK"/>
          <w:snapToGrid w:val="0"/>
          <w:color w:val="000000" w:themeColor="text1"/>
          <w:sz w:val="38"/>
          <w:szCs w:val="38"/>
          <w:highlight w:val="none"/>
          <w14:textFill>
            <w14:solidFill>
              <w14:schemeClr w14:val="tx1"/>
            </w14:solidFill>
          </w14:textFill>
        </w:rPr>
      </w:pPr>
      <w:r>
        <w:rPr>
          <w:rFonts w:hint="eastAsia" w:ascii="方正小标宋_GBK" w:hAnsi="黑体" w:eastAsia="方正小标宋_GBK"/>
          <w:snapToGrid w:val="0"/>
          <w:color w:val="000000" w:themeColor="text1"/>
          <w:sz w:val="38"/>
          <w:szCs w:val="38"/>
          <w:highlight w:val="none"/>
          <w14:textFill>
            <w14:solidFill>
              <w14:schemeClr w14:val="tx1"/>
            </w14:solidFill>
          </w14:textFill>
        </w:rPr>
        <w:t>建设项目污染物排放量汇总表</w:t>
      </w:r>
    </w:p>
    <w:tbl>
      <w:tblPr>
        <w:tblStyle w:val="34"/>
        <w:tblW w:w="1406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2027"/>
        <w:gridCol w:w="1559"/>
        <w:gridCol w:w="1276"/>
        <w:gridCol w:w="1701"/>
        <w:gridCol w:w="1559"/>
        <w:gridCol w:w="1701"/>
        <w:gridCol w:w="1843"/>
        <w:gridCol w:w="1276"/>
      </w:tblGrid>
      <w:tr w14:paraId="217AF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20" w:type="dxa"/>
            <w:tcBorders>
              <w:tl2br w:val="single" w:color="auto" w:sz="4" w:space="0"/>
            </w:tcBorders>
            <w:noWrap w:val="0"/>
            <w:tcMar>
              <w:left w:w="28" w:type="dxa"/>
              <w:right w:w="28" w:type="dxa"/>
            </w:tcMar>
            <w:vAlign w:val="center"/>
          </w:tcPr>
          <w:p w14:paraId="08660072">
            <w:pPr>
              <w:pStyle w:val="180"/>
              <w:spacing w:beforeLines="0" w:afterLines="0" w:line="240" w:lineRule="auto"/>
              <w:jc w:val="center"/>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hint="eastAsia" w:ascii="Times New Roman" w:eastAsia="黑体"/>
                <w:snapToGrid w:val="0"/>
                <w:color w:val="000000" w:themeColor="text1"/>
                <w:spacing w:val="-6"/>
                <w:kern w:val="21"/>
                <w:szCs w:val="21"/>
                <w:highlight w:val="none"/>
                <w:lang w:val="en-US" w:eastAsia="zh-CN"/>
                <w14:textFill>
                  <w14:solidFill>
                    <w14:schemeClr w14:val="tx1"/>
                  </w14:solidFill>
                </w14:textFill>
              </w:rPr>
              <w:t xml:space="preserve">    </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t>项目</w:t>
            </w:r>
          </w:p>
          <w:p w14:paraId="3293FDBF">
            <w:pPr>
              <w:pStyle w:val="180"/>
              <w:spacing w:beforeLines="0" w:afterLines="0" w:line="240" w:lineRule="auto"/>
              <w:jc w:val="left"/>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分类</w:t>
            </w:r>
          </w:p>
        </w:tc>
        <w:tc>
          <w:tcPr>
            <w:tcW w:w="2027" w:type="dxa"/>
            <w:noWrap w:val="0"/>
            <w:tcMar>
              <w:left w:w="28" w:type="dxa"/>
              <w:right w:w="28" w:type="dxa"/>
            </w:tcMar>
            <w:vAlign w:val="center"/>
          </w:tcPr>
          <w:p w14:paraId="392E930B">
            <w:pPr>
              <w:pStyle w:val="180"/>
              <w:spacing w:beforeLines="0" w:afterLines="0" w:line="240" w:lineRule="auto"/>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污染物名称</w:t>
            </w:r>
          </w:p>
        </w:tc>
        <w:tc>
          <w:tcPr>
            <w:tcW w:w="1559" w:type="dxa"/>
            <w:noWrap w:val="0"/>
            <w:tcMar>
              <w:left w:w="28" w:type="dxa"/>
              <w:right w:w="28" w:type="dxa"/>
            </w:tcMar>
            <w:vAlign w:val="center"/>
          </w:tcPr>
          <w:p w14:paraId="22A03262">
            <w:pPr>
              <w:pStyle w:val="180"/>
              <w:spacing w:beforeLines="0" w:afterLines="0" w:line="240" w:lineRule="auto"/>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现有工程</w:t>
            </w:r>
          </w:p>
          <w:p w14:paraId="595A76D1">
            <w:pPr>
              <w:pStyle w:val="180"/>
              <w:spacing w:beforeLines="0" w:afterLines="0" w:line="240" w:lineRule="auto"/>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begin"/>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separate"/>
            </w:r>
            <w:r>
              <w:rPr>
                <w:rFonts w:hint="eastAsia" w:hAnsi="宋体" w:cs="宋体"/>
                <w:color w:val="000000" w:themeColor="text1"/>
                <w:kern w:val="2"/>
                <w:szCs w:val="21"/>
                <w:highlight w:val="none"/>
                <w:lang w:val="en-US" w:eastAsia="zh-CN"/>
                <w14:textFill>
                  <w14:solidFill>
                    <w14:schemeClr w14:val="tx1"/>
                  </w14:solidFill>
                </w14:textFill>
              </w:rPr>
              <w:t>①</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end"/>
            </w:r>
          </w:p>
        </w:tc>
        <w:tc>
          <w:tcPr>
            <w:tcW w:w="1276" w:type="dxa"/>
            <w:noWrap w:val="0"/>
            <w:tcMar>
              <w:left w:w="28" w:type="dxa"/>
              <w:right w:w="28" w:type="dxa"/>
            </w:tcMar>
            <w:vAlign w:val="center"/>
          </w:tcPr>
          <w:p w14:paraId="23703B27">
            <w:pPr>
              <w:pStyle w:val="180"/>
              <w:spacing w:beforeLines="0" w:afterLines="0" w:line="240" w:lineRule="auto"/>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现有工程</w:t>
            </w:r>
          </w:p>
          <w:p w14:paraId="4A784DD1">
            <w:pPr>
              <w:pStyle w:val="180"/>
              <w:spacing w:beforeLines="0" w:afterLines="0" w:line="240" w:lineRule="auto"/>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许可排放量</w:t>
            </w:r>
          </w:p>
          <w:p w14:paraId="04B2C63A">
            <w:pPr>
              <w:pStyle w:val="180"/>
              <w:spacing w:beforeLines="0" w:afterLines="0"/>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begin"/>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separate"/>
            </w:r>
            <w:r>
              <w:rPr>
                <w:rFonts w:hint="eastAsia" w:hAnsi="宋体" w:cs="宋体"/>
                <w:snapToGrid w:val="0"/>
                <w:color w:val="000000" w:themeColor="text1"/>
                <w:spacing w:val="-6"/>
                <w:kern w:val="21"/>
                <w:szCs w:val="21"/>
                <w:highlight w:val="none"/>
                <w:lang w:val="en-US" w:eastAsia="zh-CN"/>
                <w14:textFill>
                  <w14:solidFill>
                    <w14:schemeClr w14:val="tx1"/>
                  </w14:solidFill>
                </w14:textFill>
              </w:rPr>
              <w:t>②</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end"/>
            </w:r>
          </w:p>
        </w:tc>
        <w:tc>
          <w:tcPr>
            <w:tcW w:w="1701" w:type="dxa"/>
            <w:noWrap w:val="0"/>
            <w:tcMar>
              <w:left w:w="28" w:type="dxa"/>
              <w:right w:w="28" w:type="dxa"/>
            </w:tcMar>
            <w:vAlign w:val="center"/>
          </w:tcPr>
          <w:p w14:paraId="3000A1DC">
            <w:pPr>
              <w:pStyle w:val="180"/>
              <w:spacing w:beforeLines="0" w:afterLines="0" w:line="240" w:lineRule="auto"/>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在建工程</w:t>
            </w:r>
          </w:p>
          <w:p w14:paraId="573C0436">
            <w:pPr>
              <w:pStyle w:val="180"/>
              <w:spacing w:beforeLines="0" w:afterLines="0" w:line="240" w:lineRule="auto"/>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begin"/>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separate"/>
            </w:r>
            <w:r>
              <w:rPr>
                <w:rFonts w:hint="eastAsia" w:hAnsi="宋体" w:cs="宋体"/>
                <w:color w:val="000000" w:themeColor="text1"/>
                <w:kern w:val="2"/>
                <w:szCs w:val="21"/>
                <w:highlight w:val="none"/>
                <w:lang w:val="en-US" w:eastAsia="zh-CN"/>
                <w14:textFill>
                  <w14:solidFill>
                    <w14:schemeClr w14:val="tx1"/>
                  </w14:solidFill>
                </w14:textFill>
              </w:rPr>
              <w:t>③</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end"/>
            </w:r>
          </w:p>
        </w:tc>
        <w:tc>
          <w:tcPr>
            <w:tcW w:w="1559" w:type="dxa"/>
            <w:noWrap w:val="0"/>
            <w:tcMar>
              <w:left w:w="28" w:type="dxa"/>
              <w:right w:w="28" w:type="dxa"/>
            </w:tcMar>
            <w:vAlign w:val="center"/>
          </w:tcPr>
          <w:p w14:paraId="0AFA246D">
            <w:pPr>
              <w:pStyle w:val="180"/>
              <w:spacing w:beforeLines="0" w:afterLines="0" w:line="240" w:lineRule="auto"/>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hint="eastAsia" w:ascii="Times New Roman" w:eastAsia="黑体"/>
                <w:snapToGrid w:val="0"/>
                <w:color w:val="000000" w:themeColor="text1"/>
                <w:spacing w:val="-16"/>
                <w:kern w:val="21"/>
                <w:szCs w:val="21"/>
                <w:highlight w:val="none"/>
                <w:lang w:val="en-US" w:eastAsia="zh-CN"/>
                <w14:textFill>
                  <w14:solidFill>
                    <w14:schemeClr w14:val="tx1"/>
                  </w14:solidFill>
                </w14:textFill>
              </w:rPr>
              <w:t>本</w:t>
            </w:r>
            <w:r>
              <w:rPr>
                <w:rFonts w:hint="eastAsia" w:ascii="Times New Roman" w:eastAsia="黑体"/>
                <w:snapToGrid w:val="0"/>
                <w:color w:val="000000" w:themeColor="text1"/>
                <w:spacing w:val="-6"/>
                <w:kern w:val="21"/>
                <w:szCs w:val="21"/>
                <w:highlight w:val="none"/>
                <w:lang w:val="en-US" w:eastAsia="zh-CN"/>
                <w14:textFill>
                  <w14:solidFill>
                    <w14:schemeClr w14:val="tx1"/>
                  </w14:solidFill>
                </w14:textFill>
              </w:rPr>
              <w:t>项目</w:t>
            </w:r>
          </w:p>
          <w:p w14:paraId="79265F5B">
            <w:pPr>
              <w:pStyle w:val="180"/>
              <w:spacing w:beforeLines="0" w:afterLines="0" w:line="240" w:lineRule="auto"/>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begin"/>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separate"/>
            </w:r>
            <w:r>
              <w:rPr>
                <w:rFonts w:hint="eastAsia" w:hAnsi="宋体" w:cs="宋体"/>
                <w:color w:val="000000" w:themeColor="text1"/>
                <w:kern w:val="2"/>
                <w:szCs w:val="21"/>
                <w:highlight w:val="none"/>
                <w:lang w:val="en-US" w:eastAsia="zh-CN"/>
                <w14:textFill>
                  <w14:solidFill>
                    <w14:schemeClr w14:val="tx1"/>
                  </w14:solidFill>
                </w14:textFill>
              </w:rPr>
              <w:t>④</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end"/>
            </w:r>
          </w:p>
        </w:tc>
        <w:tc>
          <w:tcPr>
            <w:tcW w:w="1701" w:type="dxa"/>
            <w:noWrap w:val="0"/>
            <w:tcMar>
              <w:left w:w="28" w:type="dxa"/>
              <w:right w:w="28" w:type="dxa"/>
            </w:tcMar>
            <w:vAlign w:val="center"/>
          </w:tcPr>
          <w:p w14:paraId="703CF557">
            <w:pPr>
              <w:pStyle w:val="180"/>
              <w:spacing w:beforeLines="0" w:afterLines="0" w:line="240" w:lineRule="auto"/>
              <w:rPr>
                <w:rFonts w:ascii="Times New Roman" w:eastAsia="黑体"/>
                <w:snapToGrid w:val="0"/>
                <w:color w:val="000000" w:themeColor="text1"/>
                <w:spacing w:val="-1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16"/>
                <w:kern w:val="21"/>
                <w:szCs w:val="21"/>
                <w:highlight w:val="none"/>
                <w:lang w:val="en-US" w:eastAsia="zh-CN"/>
                <w14:textFill>
                  <w14:solidFill>
                    <w14:schemeClr w14:val="tx1"/>
                  </w14:solidFill>
                </w14:textFill>
              </w:rPr>
              <w:t>以新带老削减量</w:t>
            </w:r>
          </w:p>
          <w:p w14:paraId="35376E89">
            <w:pPr>
              <w:pStyle w:val="180"/>
              <w:spacing w:beforeLines="0" w:afterLines="0" w:line="240" w:lineRule="auto"/>
              <w:rPr>
                <w:rFonts w:ascii="Times New Roman" w:eastAsia="黑体"/>
                <w:snapToGrid w:val="0"/>
                <w:color w:val="000000" w:themeColor="text1"/>
                <w:spacing w:val="-1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16"/>
                <w:kern w:val="21"/>
                <w:szCs w:val="21"/>
                <w:highlight w:val="none"/>
                <w:lang w:val="en-US" w:eastAsia="zh-CN"/>
                <w14:textFill>
                  <w14:solidFill>
                    <w14:schemeClr w14:val="tx1"/>
                  </w14:solidFill>
                </w14:textFill>
              </w:rPr>
              <w:t>（新建项目不填）</w:t>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fldChar w:fldCharType="begin"/>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fldChar w:fldCharType="separate"/>
            </w:r>
            <w:r>
              <w:rPr>
                <w:rFonts w:hint="eastAsia" w:hAnsi="宋体" w:cs="宋体"/>
                <w:color w:val="000000" w:themeColor="text1"/>
                <w:kern w:val="2"/>
                <w:szCs w:val="21"/>
                <w:highlight w:val="none"/>
                <w:lang w:val="en-US" w:eastAsia="zh-CN"/>
                <w14:textFill>
                  <w14:solidFill>
                    <w14:schemeClr w14:val="tx1"/>
                  </w14:solidFill>
                </w14:textFill>
              </w:rPr>
              <w:t>⑤</w:t>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fldChar w:fldCharType="end"/>
            </w:r>
          </w:p>
        </w:tc>
        <w:tc>
          <w:tcPr>
            <w:tcW w:w="1843" w:type="dxa"/>
            <w:noWrap w:val="0"/>
            <w:tcMar>
              <w:left w:w="28" w:type="dxa"/>
              <w:right w:w="28" w:type="dxa"/>
            </w:tcMar>
            <w:vAlign w:val="center"/>
          </w:tcPr>
          <w:p w14:paraId="42B8DE5D">
            <w:pPr>
              <w:pStyle w:val="180"/>
              <w:spacing w:beforeLines="0" w:afterLines="0" w:line="240" w:lineRule="auto"/>
              <w:rPr>
                <w:rFonts w:ascii="Times New Roman" w:eastAsia="黑体"/>
                <w:snapToGrid w:val="0"/>
                <w:color w:val="000000" w:themeColor="text1"/>
                <w:spacing w:val="-16"/>
                <w:kern w:val="21"/>
                <w:szCs w:val="21"/>
                <w:highlight w:val="none"/>
                <w:lang w:val="en-US" w:eastAsia="zh-CN"/>
                <w14:textFill>
                  <w14:solidFill>
                    <w14:schemeClr w14:val="tx1"/>
                  </w14:solidFill>
                </w14:textFill>
              </w:rPr>
            </w:pPr>
            <w:r>
              <w:rPr>
                <w:rFonts w:hint="eastAsia" w:ascii="Times New Roman" w:eastAsia="黑体"/>
                <w:snapToGrid w:val="0"/>
                <w:color w:val="000000" w:themeColor="text1"/>
                <w:spacing w:val="-16"/>
                <w:kern w:val="21"/>
                <w:szCs w:val="21"/>
                <w:highlight w:val="none"/>
                <w:lang w:val="en-US" w:eastAsia="zh-CN"/>
                <w14:textFill>
                  <w14:solidFill>
                    <w14:schemeClr w14:val="tx1"/>
                  </w14:solidFill>
                </w14:textFill>
              </w:rPr>
              <w:t>本项目</w:t>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t>建成后</w:t>
            </w:r>
          </w:p>
          <w:p w14:paraId="2339B410">
            <w:pPr>
              <w:pStyle w:val="180"/>
              <w:spacing w:beforeLines="0" w:afterLines="0" w:line="240" w:lineRule="auto"/>
              <w:rPr>
                <w:rFonts w:ascii="Times New Roman" w:eastAsia="黑体"/>
                <w:snapToGrid w:val="0"/>
                <w:color w:val="000000" w:themeColor="text1"/>
                <w:spacing w:val="-1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16"/>
                <w:kern w:val="21"/>
                <w:szCs w:val="21"/>
                <w:highlight w:val="none"/>
                <w:lang w:val="en-US" w:eastAsia="zh-CN"/>
                <w14:textFill>
                  <w14:solidFill>
                    <w14:schemeClr w14:val="tx1"/>
                  </w14:solidFill>
                </w14:textFill>
              </w:rPr>
              <w:t>全厂排放量（固体废物产生量）</w:t>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fldChar w:fldCharType="begin"/>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fldChar w:fldCharType="separate"/>
            </w:r>
            <w:r>
              <w:rPr>
                <w:rFonts w:hint="eastAsia" w:hAnsi="宋体" w:cs="宋体"/>
                <w:color w:val="000000" w:themeColor="text1"/>
                <w:kern w:val="2"/>
                <w:szCs w:val="21"/>
                <w:highlight w:val="none"/>
                <w:lang w:val="en-US" w:eastAsia="zh-CN"/>
                <w14:textFill>
                  <w14:solidFill>
                    <w14:schemeClr w14:val="tx1"/>
                  </w14:solidFill>
                </w14:textFill>
              </w:rPr>
              <w:t>⑥</w:t>
            </w:r>
            <w:r>
              <w:rPr>
                <w:rFonts w:ascii="Times New Roman" w:eastAsia="黑体"/>
                <w:snapToGrid w:val="0"/>
                <w:color w:val="000000" w:themeColor="text1"/>
                <w:spacing w:val="-16"/>
                <w:kern w:val="21"/>
                <w:szCs w:val="21"/>
                <w:highlight w:val="none"/>
                <w:lang w:val="en-US" w:eastAsia="zh-CN"/>
                <w14:textFill>
                  <w14:solidFill>
                    <w14:schemeClr w14:val="tx1"/>
                  </w14:solidFill>
                </w14:textFill>
              </w:rPr>
              <w:fldChar w:fldCharType="end"/>
            </w:r>
          </w:p>
        </w:tc>
        <w:tc>
          <w:tcPr>
            <w:tcW w:w="1276" w:type="dxa"/>
            <w:noWrap w:val="0"/>
            <w:tcMar>
              <w:left w:w="28" w:type="dxa"/>
              <w:right w:w="28" w:type="dxa"/>
            </w:tcMar>
            <w:vAlign w:val="center"/>
          </w:tcPr>
          <w:p w14:paraId="72B1559E">
            <w:pPr>
              <w:pStyle w:val="180"/>
              <w:spacing w:beforeLines="0" w:afterLines="0" w:line="240" w:lineRule="auto"/>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t>变化量</w:t>
            </w:r>
          </w:p>
          <w:p w14:paraId="754A25DE">
            <w:pPr>
              <w:pStyle w:val="180"/>
              <w:spacing w:beforeLines="0" w:afterLines="0" w:line="240" w:lineRule="auto"/>
              <w:rPr>
                <w:rFonts w:ascii="Times New Roman" w:eastAsia="黑体"/>
                <w:snapToGrid w:val="0"/>
                <w:color w:val="000000" w:themeColor="text1"/>
                <w:spacing w:val="-6"/>
                <w:kern w:val="21"/>
                <w:szCs w:val="21"/>
                <w:highlight w:val="none"/>
                <w:lang w:val="en-US" w:eastAsia="zh-CN"/>
                <w14:textFill>
                  <w14:solidFill>
                    <w14:schemeClr w14:val="tx1"/>
                  </w14:solidFill>
                </w14:textFill>
              </w:rPr>
            </w:pP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begin"/>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separate"/>
            </w:r>
            <w:r>
              <w:rPr>
                <w:rFonts w:hint="eastAsia" w:hAnsi="宋体" w:cs="宋体"/>
                <w:color w:val="000000" w:themeColor="text1"/>
                <w:kern w:val="2"/>
                <w:szCs w:val="21"/>
                <w:highlight w:val="none"/>
                <w:lang w:val="en-US" w:eastAsia="zh-CN"/>
                <w14:textFill>
                  <w14:solidFill>
                    <w14:schemeClr w14:val="tx1"/>
                  </w14:solidFill>
                </w14:textFill>
              </w:rPr>
              <w:t>⑦</w:t>
            </w:r>
            <w:r>
              <w:rPr>
                <w:rFonts w:ascii="Times New Roman" w:eastAsia="黑体"/>
                <w:snapToGrid w:val="0"/>
                <w:color w:val="000000" w:themeColor="text1"/>
                <w:spacing w:val="-6"/>
                <w:kern w:val="21"/>
                <w:szCs w:val="21"/>
                <w:highlight w:val="none"/>
                <w:lang w:val="en-US" w:eastAsia="zh-CN"/>
                <w14:textFill>
                  <w14:solidFill>
                    <w14:schemeClr w14:val="tx1"/>
                  </w14:solidFill>
                </w14:textFill>
              </w:rPr>
              <w:fldChar w:fldCharType="end"/>
            </w:r>
          </w:p>
        </w:tc>
      </w:tr>
      <w:tr w14:paraId="79A01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restart"/>
            <w:noWrap w:val="0"/>
            <w:vAlign w:val="center"/>
          </w:tcPr>
          <w:p w14:paraId="3CB4415E">
            <w:pPr>
              <w:pStyle w:val="180"/>
              <w:spacing w:beforeLines="0" w:afterLines="0" w:line="240" w:lineRule="auto"/>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废气</w:t>
            </w:r>
          </w:p>
        </w:tc>
        <w:tc>
          <w:tcPr>
            <w:tcW w:w="2027" w:type="dxa"/>
            <w:noWrap w:val="0"/>
            <w:vAlign w:val="center"/>
          </w:tcPr>
          <w:p w14:paraId="27CB1B82">
            <w:pPr>
              <w:pStyle w:val="180"/>
              <w:spacing w:beforeLines="0" w:afterLines="0" w:line="240" w:lineRule="auto"/>
              <w:rPr>
                <w:rFonts w:hint="default"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NH</w:t>
            </w:r>
            <w:r>
              <w:rPr>
                <w:rFonts w:hint="eastAsia" w:ascii="Times New Roman"/>
                <w:b w:val="0"/>
                <w:bCs/>
                <w:snapToGrid w:val="0"/>
                <w:color w:val="000000" w:themeColor="text1"/>
                <w:kern w:val="21"/>
                <w:szCs w:val="21"/>
                <w:highlight w:val="none"/>
                <w:u w:val="none"/>
                <w:vertAlign w:val="subscript"/>
                <w:lang w:val="en-US" w:eastAsia="zh-CN"/>
                <w14:textFill>
                  <w14:solidFill>
                    <w14:schemeClr w14:val="tx1"/>
                  </w14:solidFill>
                </w14:textFill>
              </w:rPr>
              <w:t>3</w:t>
            </w:r>
          </w:p>
        </w:tc>
        <w:tc>
          <w:tcPr>
            <w:tcW w:w="1559" w:type="dxa"/>
            <w:noWrap w:val="0"/>
            <w:vAlign w:val="center"/>
          </w:tcPr>
          <w:p w14:paraId="036604E3">
            <w:pPr>
              <w:jc w:val="center"/>
              <w:rPr>
                <w:rFonts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0.0269</w:t>
            </w:r>
            <w:r>
              <w:rPr>
                <w:rFonts w:hint="eastAsia" w:ascii="Times New Roman"/>
                <w:snapToGrid w:val="0"/>
                <w:color w:val="000000" w:themeColor="text1"/>
                <w:kern w:val="21"/>
                <w:szCs w:val="21"/>
                <w:highlight w:val="none"/>
                <w:lang w:val="en-US" w:eastAsia="zh-CN"/>
                <w14:textFill>
                  <w14:solidFill>
                    <w14:schemeClr w14:val="tx1"/>
                  </w14:solidFill>
                </w14:textFill>
              </w:rPr>
              <w:t>t/a</w:t>
            </w:r>
          </w:p>
        </w:tc>
        <w:tc>
          <w:tcPr>
            <w:tcW w:w="1276" w:type="dxa"/>
            <w:noWrap w:val="0"/>
            <w:vAlign w:val="center"/>
          </w:tcPr>
          <w:p w14:paraId="5127D8F2">
            <w:pPr>
              <w:pStyle w:val="180"/>
              <w:spacing w:beforeLines="0" w:afterLines="0" w:line="240" w:lineRule="auto"/>
              <w:rPr>
                <w:rFonts w:ascii="Times New Roman"/>
                <w:b w:val="0"/>
                <w:bCs/>
                <w:snapToGrid w:val="0"/>
                <w:color w:val="000000" w:themeColor="text1"/>
                <w:kern w:val="21"/>
                <w:szCs w:val="21"/>
                <w:highlight w:val="none"/>
                <w:u w:val="none"/>
                <w:lang w:val="en-US" w:eastAsia="zh-CN"/>
                <w14:textFill>
                  <w14:solidFill>
                    <w14:schemeClr w14:val="tx1"/>
                  </w14:solidFill>
                </w14:textFill>
              </w:rPr>
            </w:pPr>
          </w:p>
        </w:tc>
        <w:tc>
          <w:tcPr>
            <w:tcW w:w="1701" w:type="dxa"/>
            <w:noWrap w:val="0"/>
            <w:vAlign w:val="center"/>
          </w:tcPr>
          <w:p w14:paraId="6918709E">
            <w:pPr>
              <w:spacing w:beforeLines="0" w:afterLines="0" w:line="240" w:lineRule="auto"/>
              <w:jc w:val="center"/>
              <w:rPr>
                <w:rFonts w:ascii="Times New Roman" w:hAnsi="Calibri" w:eastAsia="宋体" w:cs="Times New Roman"/>
                <w:b w:val="0"/>
                <w:bCs/>
                <w:snapToGrid w:val="0"/>
                <w:color w:val="000000" w:themeColor="text1"/>
                <w:kern w:val="21"/>
                <w:sz w:val="21"/>
                <w:szCs w:val="21"/>
                <w:highlight w:val="none"/>
                <w:u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0.009t/a</w:t>
            </w:r>
          </w:p>
        </w:tc>
        <w:tc>
          <w:tcPr>
            <w:tcW w:w="1559" w:type="dxa"/>
            <w:noWrap w:val="0"/>
            <w:vAlign w:val="center"/>
          </w:tcPr>
          <w:p w14:paraId="2439795C">
            <w:pPr>
              <w:spacing w:beforeLines="0" w:afterLines="0" w:line="240" w:lineRule="auto"/>
              <w:jc w:val="center"/>
              <w:rPr>
                <w:rFonts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0.0009t/a</w:t>
            </w:r>
          </w:p>
        </w:tc>
        <w:tc>
          <w:tcPr>
            <w:tcW w:w="1701" w:type="dxa"/>
            <w:noWrap w:val="0"/>
            <w:vAlign w:val="center"/>
          </w:tcPr>
          <w:p w14:paraId="151BDB8A">
            <w:pPr>
              <w:spacing w:beforeLines="0" w:afterLines="0" w:line="240" w:lineRule="auto"/>
              <w:jc w:val="center"/>
              <w:rPr>
                <w:rFonts w:hint="default"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22515B33">
            <w:pPr>
              <w:spacing w:beforeLines="0" w:afterLines="0" w:line="240" w:lineRule="auto"/>
              <w:jc w:val="center"/>
              <w:rPr>
                <w:rFonts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0.0368t/a</w:t>
            </w:r>
          </w:p>
        </w:tc>
        <w:tc>
          <w:tcPr>
            <w:tcW w:w="1276" w:type="dxa"/>
            <w:noWrap w:val="0"/>
            <w:vAlign w:val="center"/>
          </w:tcPr>
          <w:p w14:paraId="2DD98A52">
            <w:pPr>
              <w:spacing w:beforeLines="0" w:afterLines="0" w:line="240" w:lineRule="auto"/>
              <w:jc w:val="center"/>
              <w:rPr>
                <w:rFonts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+0.0009t/a</w:t>
            </w:r>
          </w:p>
        </w:tc>
      </w:tr>
      <w:tr w14:paraId="0267B0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continue"/>
            <w:noWrap w:val="0"/>
            <w:vAlign w:val="center"/>
          </w:tcPr>
          <w:p w14:paraId="0A31DD8F">
            <w:pPr>
              <w:pStyle w:val="180"/>
              <w:spacing w:beforeLines="0" w:afterLines="0" w:line="240" w:lineRule="auto"/>
              <w:rPr>
                <w:rFonts w:hint="eastAsia"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0413979D">
            <w:pPr>
              <w:pStyle w:val="180"/>
              <w:spacing w:beforeLines="0" w:afterLines="0" w:line="240" w:lineRule="auto"/>
              <w:rPr>
                <w:rFonts w:hint="default"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H</w:t>
            </w:r>
            <w:r>
              <w:rPr>
                <w:rFonts w:hint="eastAsia" w:ascii="Times New Roman"/>
                <w:b w:val="0"/>
                <w:bCs/>
                <w:snapToGrid w:val="0"/>
                <w:color w:val="000000" w:themeColor="text1"/>
                <w:kern w:val="21"/>
                <w:szCs w:val="21"/>
                <w:highlight w:val="none"/>
                <w:u w:val="none"/>
                <w:vertAlign w:val="subscript"/>
                <w:lang w:val="en-US" w:eastAsia="zh-CN"/>
                <w14:textFill>
                  <w14:solidFill>
                    <w14:schemeClr w14:val="tx1"/>
                  </w14:solidFill>
                </w14:textFill>
              </w:rPr>
              <w:t>2</w:t>
            </w: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S</w:t>
            </w:r>
          </w:p>
        </w:tc>
        <w:tc>
          <w:tcPr>
            <w:tcW w:w="1559" w:type="dxa"/>
            <w:noWrap w:val="0"/>
            <w:vAlign w:val="center"/>
          </w:tcPr>
          <w:p w14:paraId="11CC2F30">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0.001</w:t>
            </w:r>
            <w:r>
              <w:rPr>
                <w:rFonts w:hint="eastAsia" w:ascii="Times New Roman"/>
                <w:snapToGrid w:val="0"/>
                <w:color w:val="000000" w:themeColor="text1"/>
                <w:kern w:val="21"/>
                <w:szCs w:val="21"/>
                <w:highlight w:val="none"/>
                <w:lang w:val="en-US" w:eastAsia="zh-CN"/>
                <w14:textFill>
                  <w14:solidFill>
                    <w14:schemeClr w14:val="tx1"/>
                  </w14:solidFill>
                </w14:textFill>
              </w:rPr>
              <w:t>t/a</w:t>
            </w:r>
          </w:p>
        </w:tc>
        <w:tc>
          <w:tcPr>
            <w:tcW w:w="1276" w:type="dxa"/>
            <w:noWrap w:val="0"/>
            <w:vAlign w:val="center"/>
          </w:tcPr>
          <w:p w14:paraId="3C8CDDA2">
            <w:pPr>
              <w:pStyle w:val="180"/>
              <w:spacing w:beforeLines="0" w:afterLines="0" w:line="240" w:lineRule="auto"/>
              <w:rPr>
                <w:rFonts w:ascii="Times New Roman"/>
                <w:b w:val="0"/>
                <w:bCs/>
                <w:snapToGrid w:val="0"/>
                <w:color w:val="000000" w:themeColor="text1"/>
                <w:kern w:val="21"/>
                <w:szCs w:val="21"/>
                <w:highlight w:val="none"/>
                <w:u w:val="none"/>
                <w:lang w:val="en-US" w:eastAsia="zh-CN"/>
                <w14:textFill>
                  <w14:solidFill>
                    <w14:schemeClr w14:val="tx1"/>
                  </w14:solidFill>
                </w14:textFill>
              </w:rPr>
            </w:pPr>
          </w:p>
        </w:tc>
        <w:tc>
          <w:tcPr>
            <w:tcW w:w="1701" w:type="dxa"/>
            <w:noWrap w:val="0"/>
            <w:vAlign w:val="center"/>
          </w:tcPr>
          <w:p w14:paraId="16F1AC25">
            <w:pPr>
              <w:spacing w:beforeLines="0" w:afterLines="0" w:line="240" w:lineRule="auto"/>
              <w:jc w:val="center"/>
              <w:rPr>
                <w:rFonts w:hint="eastAsia"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0.0012t/a</w:t>
            </w:r>
          </w:p>
        </w:tc>
        <w:tc>
          <w:tcPr>
            <w:tcW w:w="1559" w:type="dxa"/>
            <w:noWrap w:val="0"/>
            <w:vAlign w:val="center"/>
          </w:tcPr>
          <w:p w14:paraId="506F9B02">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3.6</w:t>
            </w:r>
            <w:r>
              <w:rPr>
                <w:rFonts w:hint="default"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6</w:t>
            </w:r>
            <w:r>
              <w:rPr>
                <w:rFonts w:hint="eastAsia" w:ascii="Times New Roman"/>
                <w:snapToGrid w:val="0"/>
                <w:color w:val="000000" w:themeColor="text1"/>
                <w:kern w:val="21"/>
                <w:szCs w:val="21"/>
                <w:highlight w:val="none"/>
                <w:lang w:val="en-US" w:eastAsia="zh-CN"/>
                <w14:textFill>
                  <w14:solidFill>
                    <w14:schemeClr w14:val="tx1"/>
                  </w14:solidFill>
                </w14:textFill>
              </w:rPr>
              <w:t>t/a</w:t>
            </w:r>
          </w:p>
        </w:tc>
        <w:tc>
          <w:tcPr>
            <w:tcW w:w="1701" w:type="dxa"/>
            <w:noWrap w:val="0"/>
            <w:vAlign w:val="center"/>
          </w:tcPr>
          <w:p w14:paraId="043A504E">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2A5AB7E7">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0.0022t/a</w:t>
            </w:r>
          </w:p>
        </w:tc>
        <w:tc>
          <w:tcPr>
            <w:tcW w:w="1276" w:type="dxa"/>
            <w:noWrap w:val="0"/>
            <w:vAlign w:val="center"/>
          </w:tcPr>
          <w:p w14:paraId="0061CA9A">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+3.6</w:t>
            </w:r>
            <w:r>
              <w:rPr>
                <w:rFonts w:hint="default" w:ascii="Times New Roman" w:hAnsi="Times New Roman" w:cs="Times New Roman"/>
                <w:bCs/>
                <w:color w:val="000000" w:themeColor="text1"/>
                <w:kern w:val="2"/>
                <w:sz w:val="21"/>
                <w:szCs w:val="21"/>
                <w:highlight w:val="none"/>
                <w:vertAlign w:val="baseline"/>
                <w:lang w:val="en-US" w:eastAsia="zh-CN" w:bidi="ar-SA"/>
                <w14:textFill>
                  <w14:solidFill>
                    <w14:schemeClr w14:val="tx1"/>
                  </w14:solidFill>
                </w14:textFill>
              </w:rPr>
              <w:t>×10</w:t>
            </w:r>
            <w:r>
              <w:rPr>
                <w:rFonts w:hint="default"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1"/>
                <w:szCs w:val="21"/>
                <w:highlight w:val="none"/>
                <w:vertAlign w:val="superscript"/>
                <w:lang w:val="en-US" w:eastAsia="zh-CN" w:bidi="ar-SA"/>
                <w14:textFill>
                  <w14:solidFill>
                    <w14:schemeClr w14:val="tx1"/>
                  </w14:solidFill>
                </w14:textFill>
              </w:rPr>
              <w:t>6</w:t>
            </w:r>
            <w:r>
              <w:rPr>
                <w:rFonts w:hint="eastAsia" w:ascii="Times New Roman"/>
                <w:snapToGrid w:val="0"/>
                <w:color w:val="000000" w:themeColor="text1"/>
                <w:kern w:val="21"/>
                <w:szCs w:val="21"/>
                <w:highlight w:val="none"/>
                <w:lang w:val="en-US" w:eastAsia="zh-CN"/>
                <w14:textFill>
                  <w14:solidFill>
                    <w14:schemeClr w14:val="tx1"/>
                  </w14:solidFill>
                </w14:textFill>
              </w:rPr>
              <w:t>t/a</w:t>
            </w:r>
          </w:p>
        </w:tc>
      </w:tr>
      <w:tr w14:paraId="784235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continue"/>
            <w:noWrap w:val="0"/>
            <w:vAlign w:val="center"/>
          </w:tcPr>
          <w:p w14:paraId="48A96274">
            <w:pPr>
              <w:pStyle w:val="180"/>
              <w:spacing w:beforeLines="0" w:afterLines="0" w:line="240" w:lineRule="auto"/>
              <w:rPr>
                <w:rFonts w:hint="eastAsia"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54FC63B3">
            <w:pPr>
              <w:pStyle w:val="180"/>
              <w:spacing w:beforeLines="0" w:afterLines="0" w:line="240" w:lineRule="auto"/>
              <w:rPr>
                <w:rFonts w:hint="default"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油烟</w:t>
            </w:r>
          </w:p>
        </w:tc>
        <w:tc>
          <w:tcPr>
            <w:tcW w:w="1559" w:type="dxa"/>
            <w:noWrap w:val="0"/>
            <w:vAlign w:val="center"/>
          </w:tcPr>
          <w:p w14:paraId="4003E9B1">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0.02</w:t>
            </w:r>
            <w:r>
              <w:rPr>
                <w:rFonts w:hint="eastAsia" w:ascii="Times New Roman"/>
                <w:snapToGrid w:val="0"/>
                <w:color w:val="000000" w:themeColor="text1"/>
                <w:kern w:val="21"/>
                <w:szCs w:val="21"/>
                <w:highlight w:val="none"/>
                <w:lang w:val="en-US" w:eastAsia="zh-CN"/>
                <w14:textFill>
                  <w14:solidFill>
                    <w14:schemeClr w14:val="tx1"/>
                  </w14:solidFill>
                </w14:textFill>
              </w:rPr>
              <w:t>t/a</w:t>
            </w:r>
          </w:p>
        </w:tc>
        <w:tc>
          <w:tcPr>
            <w:tcW w:w="1276" w:type="dxa"/>
            <w:noWrap w:val="0"/>
            <w:vAlign w:val="center"/>
          </w:tcPr>
          <w:p w14:paraId="406989E7">
            <w:pPr>
              <w:pStyle w:val="180"/>
              <w:spacing w:beforeLines="0" w:afterLines="0" w:line="240" w:lineRule="auto"/>
              <w:rPr>
                <w:rFonts w:ascii="Times New Roman"/>
                <w:b w:val="0"/>
                <w:bCs/>
                <w:snapToGrid w:val="0"/>
                <w:color w:val="000000" w:themeColor="text1"/>
                <w:kern w:val="21"/>
                <w:szCs w:val="21"/>
                <w:highlight w:val="none"/>
                <w:u w:val="none"/>
                <w:lang w:val="en-US" w:eastAsia="zh-CN"/>
                <w14:textFill>
                  <w14:solidFill>
                    <w14:schemeClr w14:val="tx1"/>
                  </w14:solidFill>
                </w14:textFill>
              </w:rPr>
            </w:pPr>
          </w:p>
        </w:tc>
        <w:tc>
          <w:tcPr>
            <w:tcW w:w="1701" w:type="dxa"/>
            <w:noWrap w:val="0"/>
            <w:vAlign w:val="center"/>
          </w:tcPr>
          <w:p w14:paraId="76138F41">
            <w:pPr>
              <w:spacing w:beforeLines="0" w:afterLines="0" w:line="240" w:lineRule="auto"/>
              <w:jc w:val="center"/>
              <w:rPr>
                <w:rFonts w:hint="eastAsia"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0.0366t/a</w:t>
            </w:r>
          </w:p>
        </w:tc>
        <w:tc>
          <w:tcPr>
            <w:tcW w:w="1559" w:type="dxa"/>
            <w:noWrap w:val="0"/>
            <w:vAlign w:val="center"/>
          </w:tcPr>
          <w:p w14:paraId="3E169525">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701" w:type="dxa"/>
            <w:noWrap w:val="0"/>
            <w:vAlign w:val="center"/>
          </w:tcPr>
          <w:p w14:paraId="400E7C08">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301FC9C2">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0.0566t/a</w:t>
            </w:r>
          </w:p>
        </w:tc>
        <w:tc>
          <w:tcPr>
            <w:tcW w:w="1276" w:type="dxa"/>
            <w:noWrap w:val="0"/>
            <w:vAlign w:val="center"/>
          </w:tcPr>
          <w:p w14:paraId="4EAD55B5">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r>
      <w:tr w14:paraId="50956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continue"/>
            <w:noWrap w:val="0"/>
            <w:vAlign w:val="center"/>
          </w:tcPr>
          <w:p w14:paraId="4CFC8074">
            <w:pPr>
              <w:pStyle w:val="180"/>
              <w:spacing w:beforeLines="0" w:afterLines="0" w:line="240" w:lineRule="auto"/>
              <w:rPr>
                <w:rFonts w:hint="eastAsia"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067B45A4">
            <w:pPr>
              <w:pStyle w:val="180"/>
              <w:spacing w:beforeLines="0" w:afterLines="0" w:line="240" w:lineRule="auto"/>
              <w:rPr>
                <w:rFonts w:hint="default"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CO</w:t>
            </w:r>
          </w:p>
        </w:tc>
        <w:tc>
          <w:tcPr>
            <w:tcW w:w="1559" w:type="dxa"/>
            <w:noWrap w:val="0"/>
            <w:vAlign w:val="center"/>
          </w:tcPr>
          <w:p w14:paraId="792B6D23">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0.581</w:t>
            </w:r>
            <w:r>
              <w:rPr>
                <w:rFonts w:hint="eastAsia" w:ascii="Times New Roman"/>
                <w:snapToGrid w:val="0"/>
                <w:color w:val="000000" w:themeColor="text1"/>
                <w:kern w:val="21"/>
                <w:szCs w:val="21"/>
                <w:highlight w:val="none"/>
                <w:lang w:val="en-US" w:eastAsia="zh-CN"/>
                <w14:textFill>
                  <w14:solidFill>
                    <w14:schemeClr w14:val="tx1"/>
                  </w14:solidFill>
                </w14:textFill>
              </w:rPr>
              <w:t>t/a</w:t>
            </w:r>
          </w:p>
        </w:tc>
        <w:tc>
          <w:tcPr>
            <w:tcW w:w="1276" w:type="dxa"/>
            <w:noWrap w:val="0"/>
            <w:vAlign w:val="center"/>
          </w:tcPr>
          <w:p w14:paraId="65C47F9A">
            <w:pPr>
              <w:pStyle w:val="180"/>
              <w:spacing w:beforeLines="0" w:afterLines="0" w:line="240" w:lineRule="auto"/>
              <w:rPr>
                <w:rFonts w:ascii="Times New Roman"/>
                <w:b w:val="0"/>
                <w:bCs/>
                <w:snapToGrid w:val="0"/>
                <w:color w:val="000000" w:themeColor="text1"/>
                <w:kern w:val="21"/>
                <w:szCs w:val="21"/>
                <w:highlight w:val="none"/>
                <w:u w:val="none"/>
                <w:lang w:val="en-US" w:eastAsia="zh-CN"/>
                <w14:textFill>
                  <w14:solidFill>
                    <w14:schemeClr w14:val="tx1"/>
                  </w14:solidFill>
                </w14:textFill>
              </w:rPr>
            </w:pPr>
          </w:p>
        </w:tc>
        <w:tc>
          <w:tcPr>
            <w:tcW w:w="1701" w:type="dxa"/>
            <w:noWrap w:val="0"/>
            <w:vAlign w:val="center"/>
          </w:tcPr>
          <w:p w14:paraId="2B2641CB">
            <w:pPr>
              <w:spacing w:beforeLines="0" w:afterLines="0" w:line="240" w:lineRule="auto"/>
              <w:jc w:val="center"/>
              <w:rPr>
                <w:rFonts w:hint="default"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1.3179t/a</w:t>
            </w:r>
          </w:p>
        </w:tc>
        <w:tc>
          <w:tcPr>
            <w:tcW w:w="1559" w:type="dxa"/>
            <w:noWrap w:val="0"/>
            <w:vAlign w:val="center"/>
          </w:tcPr>
          <w:p w14:paraId="012A3F83">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701" w:type="dxa"/>
            <w:noWrap w:val="0"/>
            <w:vAlign w:val="center"/>
          </w:tcPr>
          <w:p w14:paraId="7112A8BD">
            <w:pPr>
              <w:spacing w:beforeLines="0" w:afterLines="0" w:line="240" w:lineRule="auto"/>
              <w:jc w:val="center"/>
              <w:rPr>
                <w:rFonts w:hint="default"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3C35CFBD">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1.8989t/a</w:t>
            </w:r>
          </w:p>
        </w:tc>
        <w:tc>
          <w:tcPr>
            <w:tcW w:w="1276" w:type="dxa"/>
            <w:noWrap w:val="0"/>
            <w:vAlign w:val="center"/>
          </w:tcPr>
          <w:p w14:paraId="5587FA5A">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r>
      <w:tr w14:paraId="387F9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continue"/>
            <w:noWrap w:val="0"/>
            <w:vAlign w:val="center"/>
          </w:tcPr>
          <w:p w14:paraId="51870F38">
            <w:pPr>
              <w:pStyle w:val="180"/>
              <w:spacing w:beforeLines="0" w:afterLines="0" w:line="240" w:lineRule="auto"/>
              <w:rPr>
                <w:rFonts w:hint="eastAsia"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78F01BD9">
            <w:pPr>
              <w:pStyle w:val="180"/>
              <w:spacing w:beforeLines="0" w:afterLines="0" w:line="240" w:lineRule="auto"/>
              <w:rPr>
                <w:rFonts w:hint="default"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THC</w:t>
            </w:r>
          </w:p>
        </w:tc>
        <w:tc>
          <w:tcPr>
            <w:tcW w:w="1559" w:type="dxa"/>
            <w:noWrap w:val="0"/>
            <w:vAlign w:val="center"/>
          </w:tcPr>
          <w:p w14:paraId="6A42C4DC">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0.073</w:t>
            </w:r>
            <w:r>
              <w:rPr>
                <w:rFonts w:hint="eastAsia" w:ascii="Times New Roman"/>
                <w:snapToGrid w:val="0"/>
                <w:color w:val="000000" w:themeColor="text1"/>
                <w:kern w:val="21"/>
                <w:szCs w:val="21"/>
                <w:highlight w:val="none"/>
                <w:lang w:val="en-US" w:eastAsia="zh-CN"/>
                <w14:textFill>
                  <w14:solidFill>
                    <w14:schemeClr w14:val="tx1"/>
                  </w14:solidFill>
                </w14:textFill>
              </w:rPr>
              <w:t>t/a</w:t>
            </w:r>
          </w:p>
        </w:tc>
        <w:tc>
          <w:tcPr>
            <w:tcW w:w="1276" w:type="dxa"/>
            <w:noWrap w:val="0"/>
            <w:vAlign w:val="center"/>
          </w:tcPr>
          <w:p w14:paraId="0318CED7">
            <w:pPr>
              <w:pStyle w:val="180"/>
              <w:spacing w:beforeLines="0" w:afterLines="0" w:line="240" w:lineRule="auto"/>
              <w:rPr>
                <w:rFonts w:ascii="Times New Roman"/>
                <w:b w:val="0"/>
                <w:bCs/>
                <w:snapToGrid w:val="0"/>
                <w:color w:val="000000" w:themeColor="text1"/>
                <w:kern w:val="21"/>
                <w:szCs w:val="21"/>
                <w:highlight w:val="none"/>
                <w:u w:val="none"/>
                <w:lang w:val="en-US" w:eastAsia="zh-CN"/>
                <w14:textFill>
                  <w14:solidFill>
                    <w14:schemeClr w14:val="tx1"/>
                  </w14:solidFill>
                </w14:textFill>
              </w:rPr>
            </w:pPr>
          </w:p>
        </w:tc>
        <w:tc>
          <w:tcPr>
            <w:tcW w:w="1701" w:type="dxa"/>
            <w:noWrap w:val="0"/>
            <w:vAlign w:val="center"/>
          </w:tcPr>
          <w:p w14:paraId="0E440079">
            <w:pPr>
              <w:spacing w:beforeLines="0" w:afterLines="0" w:line="240" w:lineRule="auto"/>
              <w:jc w:val="center"/>
              <w:rPr>
                <w:rFonts w:hint="default"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0.1663t/a</w:t>
            </w:r>
          </w:p>
        </w:tc>
        <w:tc>
          <w:tcPr>
            <w:tcW w:w="1559" w:type="dxa"/>
            <w:noWrap w:val="0"/>
            <w:vAlign w:val="center"/>
          </w:tcPr>
          <w:p w14:paraId="1492075C">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701" w:type="dxa"/>
            <w:noWrap w:val="0"/>
            <w:vAlign w:val="center"/>
          </w:tcPr>
          <w:p w14:paraId="07508B01">
            <w:pPr>
              <w:spacing w:beforeLines="0" w:afterLines="0" w:line="240" w:lineRule="auto"/>
              <w:jc w:val="center"/>
              <w:rPr>
                <w:rFonts w:hint="default"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14EE9FAF">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0.2393t/a</w:t>
            </w:r>
          </w:p>
        </w:tc>
        <w:tc>
          <w:tcPr>
            <w:tcW w:w="1276" w:type="dxa"/>
            <w:noWrap w:val="0"/>
            <w:vAlign w:val="center"/>
          </w:tcPr>
          <w:p w14:paraId="70CE223D">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r>
      <w:tr w14:paraId="23F4B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continue"/>
            <w:noWrap w:val="0"/>
            <w:vAlign w:val="center"/>
          </w:tcPr>
          <w:p w14:paraId="0C818C97">
            <w:pPr>
              <w:pStyle w:val="180"/>
              <w:spacing w:beforeLines="0" w:afterLines="0" w:line="240" w:lineRule="auto"/>
              <w:rPr>
                <w:rFonts w:hint="eastAsia"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266F9E66">
            <w:pPr>
              <w:pStyle w:val="180"/>
              <w:spacing w:beforeLines="0" w:afterLines="0" w:line="240" w:lineRule="auto"/>
              <w:rPr>
                <w:rFonts w:hint="default"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NOx</w:t>
            </w:r>
          </w:p>
        </w:tc>
        <w:tc>
          <w:tcPr>
            <w:tcW w:w="1559" w:type="dxa"/>
            <w:noWrap w:val="0"/>
            <w:vAlign w:val="center"/>
          </w:tcPr>
          <w:p w14:paraId="5A9FF1AA">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0.0068</w:t>
            </w:r>
            <w:r>
              <w:rPr>
                <w:rFonts w:hint="eastAsia" w:ascii="Times New Roman"/>
                <w:snapToGrid w:val="0"/>
                <w:color w:val="000000" w:themeColor="text1"/>
                <w:kern w:val="21"/>
                <w:szCs w:val="21"/>
                <w:highlight w:val="none"/>
                <w:lang w:val="en-US" w:eastAsia="zh-CN"/>
                <w14:textFill>
                  <w14:solidFill>
                    <w14:schemeClr w14:val="tx1"/>
                  </w14:solidFill>
                </w14:textFill>
              </w:rPr>
              <w:t>t/a</w:t>
            </w:r>
          </w:p>
        </w:tc>
        <w:tc>
          <w:tcPr>
            <w:tcW w:w="1276" w:type="dxa"/>
            <w:noWrap w:val="0"/>
            <w:vAlign w:val="center"/>
          </w:tcPr>
          <w:p w14:paraId="7F4B06A9">
            <w:pPr>
              <w:pStyle w:val="180"/>
              <w:spacing w:beforeLines="0" w:afterLines="0" w:line="240" w:lineRule="auto"/>
              <w:rPr>
                <w:rFonts w:ascii="Times New Roman"/>
                <w:b w:val="0"/>
                <w:bCs/>
                <w:snapToGrid w:val="0"/>
                <w:color w:val="000000" w:themeColor="text1"/>
                <w:kern w:val="21"/>
                <w:szCs w:val="21"/>
                <w:highlight w:val="none"/>
                <w:u w:val="none"/>
                <w:lang w:val="en-US" w:eastAsia="zh-CN"/>
                <w14:textFill>
                  <w14:solidFill>
                    <w14:schemeClr w14:val="tx1"/>
                  </w14:solidFill>
                </w14:textFill>
              </w:rPr>
            </w:pPr>
          </w:p>
        </w:tc>
        <w:tc>
          <w:tcPr>
            <w:tcW w:w="1701" w:type="dxa"/>
            <w:noWrap w:val="0"/>
            <w:vAlign w:val="center"/>
          </w:tcPr>
          <w:p w14:paraId="779DB177">
            <w:pPr>
              <w:spacing w:beforeLines="0" w:afterLines="0" w:line="240" w:lineRule="auto"/>
              <w:jc w:val="center"/>
              <w:rPr>
                <w:rFonts w:hint="default"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0.3605t/a</w:t>
            </w:r>
          </w:p>
        </w:tc>
        <w:tc>
          <w:tcPr>
            <w:tcW w:w="1559" w:type="dxa"/>
            <w:noWrap w:val="0"/>
            <w:vAlign w:val="center"/>
          </w:tcPr>
          <w:p w14:paraId="1F362569">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701" w:type="dxa"/>
            <w:noWrap w:val="0"/>
            <w:vAlign w:val="center"/>
          </w:tcPr>
          <w:p w14:paraId="7038A653">
            <w:pPr>
              <w:spacing w:beforeLines="0" w:afterLines="0" w:line="240" w:lineRule="auto"/>
              <w:jc w:val="center"/>
              <w:rPr>
                <w:rFonts w:hint="default"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4A01F8B0">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0.3673t/a</w:t>
            </w:r>
          </w:p>
        </w:tc>
        <w:tc>
          <w:tcPr>
            <w:tcW w:w="1276" w:type="dxa"/>
            <w:noWrap w:val="0"/>
            <w:vAlign w:val="center"/>
          </w:tcPr>
          <w:p w14:paraId="228E347D">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r>
      <w:tr w14:paraId="687EE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restart"/>
            <w:noWrap w:val="0"/>
            <w:vAlign w:val="center"/>
          </w:tcPr>
          <w:p w14:paraId="7C0428C2">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r>
              <w:rPr>
                <w:rFonts w:ascii="Times New Roman"/>
                <w:snapToGrid w:val="0"/>
                <w:color w:val="000000" w:themeColor="text1"/>
                <w:kern w:val="21"/>
                <w:szCs w:val="21"/>
                <w:highlight w:val="none"/>
                <w:lang w:val="en-US" w:eastAsia="zh-CN"/>
                <w14:textFill>
                  <w14:solidFill>
                    <w14:schemeClr w14:val="tx1"/>
                  </w14:solidFill>
                </w14:textFill>
              </w:rPr>
              <w:t>废水</w:t>
            </w:r>
          </w:p>
        </w:tc>
        <w:tc>
          <w:tcPr>
            <w:tcW w:w="2027" w:type="dxa"/>
            <w:noWrap w:val="0"/>
            <w:vAlign w:val="center"/>
          </w:tcPr>
          <w:p w14:paraId="4225FDD4">
            <w:pPr>
              <w:pStyle w:val="180"/>
              <w:spacing w:beforeLines="0" w:afterLines="0" w:line="240" w:lineRule="auto"/>
              <w:rPr>
                <w:rFonts w:hint="default" w:ascii="Times New Roman"/>
                <w:snapToGrid w:val="0"/>
                <w:color w:val="000000" w:themeColor="text1"/>
                <w:kern w:val="21"/>
                <w:szCs w:val="21"/>
                <w:highlight w:val="none"/>
                <w:lang w:val="en-US" w:eastAsia="zh-CN"/>
                <w14:textFill>
                  <w14:solidFill>
                    <w14:schemeClr w14:val="tx1"/>
                  </w14:solidFill>
                </w14:textFill>
              </w:rPr>
            </w:pPr>
            <w:r>
              <w:rPr>
                <w:rFonts w:ascii="Times New Roman"/>
                <w:snapToGrid w:val="0"/>
                <w:color w:val="000000" w:themeColor="text1"/>
                <w:kern w:val="21"/>
                <w:szCs w:val="21"/>
                <w:highlight w:val="none"/>
                <w:lang w:val="en-US" w:eastAsia="zh-CN"/>
                <w14:textFill>
                  <w14:solidFill>
                    <w14:schemeClr w14:val="tx1"/>
                  </w14:solidFill>
                </w14:textFill>
              </w:rPr>
              <w:t>COD</w:t>
            </w:r>
          </w:p>
        </w:tc>
        <w:tc>
          <w:tcPr>
            <w:tcW w:w="1559" w:type="dxa"/>
            <w:noWrap w:val="0"/>
            <w:vAlign w:val="center"/>
          </w:tcPr>
          <w:p w14:paraId="1D7B1AC1">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4.1179</w:t>
            </w:r>
            <w:r>
              <w:rPr>
                <w:rFonts w:hint="eastAsia" w:ascii="Times New Roman"/>
                <w:snapToGrid w:val="0"/>
                <w:color w:val="000000" w:themeColor="text1"/>
                <w:kern w:val="21"/>
                <w:szCs w:val="21"/>
                <w:highlight w:val="none"/>
                <w:lang w:val="en-US" w:eastAsia="zh-CN"/>
                <w14:textFill>
                  <w14:solidFill>
                    <w14:schemeClr w14:val="tx1"/>
                  </w14:solidFill>
                </w14:textFill>
              </w:rPr>
              <w:t>t/a</w:t>
            </w:r>
          </w:p>
        </w:tc>
        <w:tc>
          <w:tcPr>
            <w:tcW w:w="1276" w:type="dxa"/>
            <w:noWrap w:val="0"/>
            <w:vAlign w:val="center"/>
          </w:tcPr>
          <w:p w14:paraId="717A88F1">
            <w:pPr>
              <w:pStyle w:val="180"/>
              <w:spacing w:beforeLines="0" w:afterLines="0" w:line="240" w:lineRule="auto"/>
              <w:rPr>
                <w:rFonts w:hint="eastAsia"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68F05F1E">
            <w:pPr>
              <w:spacing w:beforeLines="0" w:afterLines="0" w:line="240" w:lineRule="auto"/>
              <w:jc w:val="center"/>
              <w:rPr>
                <w:rFonts w:hint="eastAsia"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11.0065t/a</w:t>
            </w:r>
          </w:p>
        </w:tc>
        <w:tc>
          <w:tcPr>
            <w:tcW w:w="1559" w:type="dxa"/>
            <w:noWrap w:val="0"/>
            <w:vAlign w:val="center"/>
          </w:tcPr>
          <w:p w14:paraId="5E9A24CE">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0.3558t/a</w:t>
            </w:r>
          </w:p>
        </w:tc>
        <w:tc>
          <w:tcPr>
            <w:tcW w:w="1701" w:type="dxa"/>
            <w:noWrap w:val="0"/>
            <w:vAlign w:val="center"/>
          </w:tcPr>
          <w:p w14:paraId="6F91B635">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456E62EC">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15.4802t/a</w:t>
            </w:r>
          </w:p>
        </w:tc>
        <w:tc>
          <w:tcPr>
            <w:tcW w:w="1276" w:type="dxa"/>
            <w:noWrap w:val="0"/>
            <w:vAlign w:val="center"/>
          </w:tcPr>
          <w:p w14:paraId="1D89DB8B">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+0.3558t/a</w:t>
            </w:r>
          </w:p>
        </w:tc>
      </w:tr>
      <w:tr w14:paraId="20F73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continue"/>
            <w:noWrap w:val="0"/>
            <w:vAlign w:val="center"/>
          </w:tcPr>
          <w:p w14:paraId="1666D594">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762309F6">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BOD</w:t>
            </w:r>
            <w:r>
              <w:rPr>
                <w:rFonts w:hint="eastAsia" w:ascii="Times New Roman"/>
                <w:snapToGrid w:val="0"/>
                <w:color w:val="000000" w:themeColor="text1"/>
                <w:kern w:val="21"/>
                <w:szCs w:val="21"/>
                <w:highlight w:val="none"/>
                <w:vertAlign w:val="subscript"/>
                <w:lang w:val="en-US" w:eastAsia="zh-CN"/>
                <w14:textFill>
                  <w14:solidFill>
                    <w14:schemeClr w14:val="tx1"/>
                  </w14:solidFill>
                </w14:textFill>
              </w:rPr>
              <w:t>5</w:t>
            </w:r>
          </w:p>
        </w:tc>
        <w:tc>
          <w:tcPr>
            <w:tcW w:w="1559" w:type="dxa"/>
            <w:noWrap w:val="0"/>
            <w:vAlign w:val="center"/>
          </w:tcPr>
          <w:p w14:paraId="6ECBBD9F">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0.9628</w:t>
            </w:r>
            <w:r>
              <w:rPr>
                <w:rFonts w:hint="eastAsia" w:ascii="Times New Roman"/>
                <w:snapToGrid w:val="0"/>
                <w:color w:val="000000" w:themeColor="text1"/>
                <w:kern w:val="21"/>
                <w:szCs w:val="21"/>
                <w:highlight w:val="none"/>
                <w:lang w:val="en-US" w:eastAsia="zh-CN"/>
                <w14:textFill>
                  <w14:solidFill>
                    <w14:schemeClr w14:val="tx1"/>
                  </w14:solidFill>
                </w14:textFill>
              </w:rPr>
              <w:t>t/a</w:t>
            </w:r>
          </w:p>
        </w:tc>
        <w:tc>
          <w:tcPr>
            <w:tcW w:w="1276" w:type="dxa"/>
            <w:noWrap w:val="0"/>
            <w:vAlign w:val="center"/>
          </w:tcPr>
          <w:p w14:paraId="47C93AEA">
            <w:pPr>
              <w:pStyle w:val="180"/>
              <w:spacing w:beforeLines="0" w:afterLines="0" w:line="240" w:lineRule="auto"/>
              <w:rPr>
                <w:rFonts w:hint="eastAsia"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49942DDE">
            <w:pPr>
              <w:spacing w:beforeLines="0" w:afterLines="0" w:line="240" w:lineRule="auto"/>
              <w:jc w:val="center"/>
              <w:rPr>
                <w:rFonts w:hint="eastAsia"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5.8244t/a</w:t>
            </w:r>
          </w:p>
        </w:tc>
        <w:tc>
          <w:tcPr>
            <w:tcW w:w="1559" w:type="dxa"/>
            <w:noWrap w:val="0"/>
            <w:vAlign w:val="center"/>
          </w:tcPr>
          <w:p w14:paraId="5A601EBB">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0.1067t/a</w:t>
            </w:r>
          </w:p>
        </w:tc>
        <w:tc>
          <w:tcPr>
            <w:tcW w:w="1701" w:type="dxa"/>
            <w:noWrap w:val="0"/>
            <w:vAlign w:val="center"/>
          </w:tcPr>
          <w:p w14:paraId="4C560A91">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6E7AC894">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6.8939t/a</w:t>
            </w:r>
          </w:p>
        </w:tc>
        <w:tc>
          <w:tcPr>
            <w:tcW w:w="1276" w:type="dxa"/>
            <w:noWrap w:val="0"/>
            <w:vAlign w:val="center"/>
          </w:tcPr>
          <w:p w14:paraId="2BE1DA7D">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+0.1067t/a</w:t>
            </w:r>
          </w:p>
        </w:tc>
      </w:tr>
      <w:tr w14:paraId="13816C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continue"/>
            <w:noWrap w:val="0"/>
            <w:vAlign w:val="center"/>
          </w:tcPr>
          <w:p w14:paraId="44F733D9">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6DCF6974">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NH</w:t>
            </w:r>
            <w:r>
              <w:rPr>
                <w:rFonts w:hint="eastAsia" w:ascii="Times New Roman"/>
                <w:snapToGrid w:val="0"/>
                <w:color w:val="000000" w:themeColor="text1"/>
                <w:kern w:val="21"/>
                <w:szCs w:val="21"/>
                <w:highlight w:val="none"/>
                <w:vertAlign w:val="subscript"/>
                <w:lang w:val="en-US" w:eastAsia="zh-CN"/>
                <w14:textFill>
                  <w14:solidFill>
                    <w14:schemeClr w14:val="tx1"/>
                  </w14:solidFill>
                </w14:textFill>
              </w:rPr>
              <w:t>3</w:t>
            </w:r>
            <w:r>
              <w:rPr>
                <w:rFonts w:hint="eastAsia" w:ascii="Times New Roman"/>
                <w:snapToGrid w:val="0"/>
                <w:color w:val="000000" w:themeColor="text1"/>
                <w:kern w:val="21"/>
                <w:szCs w:val="21"/>
                <w:highlight w:val="none"/>
                <w:lang w:val="en-US" w:eastAsia="zh-CN"/>
                <w14:textFill>
                  <w14:solidFill>
                    <w14:schemeClr w14:val="tx1"/>
                  </w14:solidFill>
                </w14:textFill>
              </w:rPr>
              <w:t>-N</w:t>
            </w:r>
          </w:p>
        </w:tc>
        <w:tc>
          <w:tcPr>
            <w:tcW w:w="1559" w:type="dxa"/>
            <w:noWrap w:val="0"/>
            <w:vAlign w:val="center"/>
          </w:tcPr>
          <w:p w14:paraId="401AD29B">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0.8387</w:t>
            </w:r>
            <w:r>
              <w:rPr>
                <w:rFonts w:hint="eastAsia" w:ascii="Times New Roman"/>
                <w:snapToGrid w:val="0"/>
                <w:color w:val="000000" w:themeColor="text1"/>
                <w:kern w:val="21"/>
                <w:szCs w:val="21"/>
                <w:highlight w:val="none"/>
                <w:lang w:val="en-US" w:eastAsia="zh-CN"/>
                <w14:textFill>
                  <w14:solidFill>
                    <w14:schemeClr w14:val="tx1"/>
                  </w14:solidFill>
                </w14:textFill>
              </w:rPr>
              <w:t>t/a</w:t>
            </w:r>
          </w:p>
        </w:tc>
        <w:tc>
          <w:tcPr>
            <w:tcW w:w="1276" w:type="dxa"/>
            <w:noWrap w:val="0"/>
            <w:vAlign w:val="center"/>
          </w:tcPr>
          <w:p w14:paraId="38BA34DB">
            <w:pPr>
              <w:pStyle w:val="180"/>
              <w:spacing w:beforeLines="0" w:afterLines="0" w:line="240" w:lineRule="auto"/>
              <w:rPr>
                <w:rFonts w:hint="eastAsia"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7616B58C">
            <w:pPr>
              <w:spacing w:beforeLines="0" w:afterLines="0" w:line="240" w:lineRule="auto"/>
              <w:jc w:val="center"/>
              <w:rPr>
                <w:rFonts w:hint="eastAsia"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1.5195t/a</w:t>
            </w:r>
          </w:p>
        </w:tc>
        <w:tc>
          <w:tcPr>
            <w:tcW w:w="1559" w:type="dxa"/>
            <w:noWrap w:val="0"/>
            <w:vAlign w:val="center"/>
          </w:tcPr>
          <w:p w14:paraId="14829B50">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0.0854t/a</w:t>
            </w:r>
          </w:p>
        </w:tc>
        <w:tc>
          <w:tcPr>
            <w:tcW w:w="1701" w:type="dxa"/>
            <w:noWrap w:val="0"/>
            <w:vAlign w:val="center"/>
          </w:tcPr>
          <w:p w14:paraId="379EA666">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7A50939B">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2.4436t/a</w:t>
            </w:r>
          </w:p>
        </w:tc>
        <w:tc>
          <w:tcPr>
            <w:tcW w:w="1276" w:type="dxa"/>
            <w:noWrap w:val="0"/>
            <w:vAlign w:val="center"/>
          </w:tcPr>
          <w:p w14:paraId="6FF25054">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+0.0854t/a</w:t>
            </w:r>
          </w:p>
        </w:tc>
      </w:tr>
      <w:tr w14:paraId="602AE1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continue"/>
            <w:noWrap w:val="0"/>
            <w:vAlign w:val="center"/>
          </w:tcPr>
          <w:p w14:paraId="3B78DD4D">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58CA3004">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SS</w:t>
            </w:r>
          </w:p>
        </w:tc>
        <w:tc>
          <w:tcPr>
            <w:tcW w:w="1559" w:type="dxa"/>
            <w:noWrap w:val="0"/>
            <w:vAlign w:val="center"/>
          </w:tcPr>
          <w:p w14:paraId="47A7631C">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2.4359</w:t>
            </w:r>
            <w:r>
              <w:rPr>
                <w:rFonts w:hint="eastAsia" w:ascii="Times New Roman"/>
                <w:snapToGrid w:val="0"/>
                <w:color w:val="000000" w:themeColor="text1"/>
                <w:kern w:val="21"/>
                <w:szCs w:val="21"/>
                <w:highlight w:val="none"/>
                <w:lang w:val="en-US" w:eastAsia="zh-CN"/>
                <w14:textFill>
                  <w14:solidFill>
                    <w14:schemeClr w14:val="tx1"/>
                  </w14:solidFill>
                </w14:textFill>
              </w:rPr>
              <w:t>t/a</w:t>
            </w:r>
          </w:p>
        </w:tc>
        <w:tc>
          <w:tcPr>
            <w:tcW w:w="1276" w:type="dxa"/>
            <w:noWrap w:val="0"/>
            <w:vAlign w:val="center"/>
          </w:tcPr>
          <w:p w14:paraId="04260E02">
            <w:pPr>
              <w:pStyle w:val="180"/>
              <w:spacing w:beforeLines="0" w:afterLines="0" w:line="240" w:lineRule="auto"/>
              <w:rPr>
                <w:rFonts w:hint="eastAsia"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00F38342">
            <w:pPr>
              <w:spacing w:beforeLines="0" w:afterLines="0" w:line="240" w:lineRule="auto"/>
              <w:jc w:val="center"/>
              <w:rPr>
                <w:rFonts w:hint="eastAsia"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6.6832t/a</w:t>
            </w:r>
          </w:p>
        </w:tc>
        <w:tc>
          <w:tcPr>
            <w:tcW w:w="1559" w:type="dxa"/>
            <w:noWrap w:val="0"/>
            <w:vAlign w:val="center"/>
          </w:tcPr>
          <w:p w14:paraId="477CD0A6">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0.0712t/a</w:t>
            </w:r>
          </w:p>
        </w:tc>
        <w:tc>
          <w:tcPr>
            <w:tcW w:w="1701" w:type="dxa"/>
            <w:noWrap w:val="0"/>
            <w:vAlign w:val="center"/>
          </w:tcPr>
          <w:p w14:paraId="04C54FB9">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38E995AD">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9.1903t/a</w:t>
            </w:r>
          </w:p>
        </w:tc>
        <w:tc>
          <w:tcPr>
            <w:tcW w:w="1276" w:type="dxa"/>
            <w:noWrap w:val="0"/>
            <w:vAlign w:val="center"/>
          </w:tcPr>
          <w:p w14:paraId="0F45D605">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+0.0712t/a</w:t>
            </w:r>
          </w:p>
        </w:tc>
      </w:tr>
      <w:tr w14:paraId="13983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continue"/>
            <w:noWrap w:val="0"/>
            <w:vAlign w:val="center"/>
          </w:tcPr>
          <w:p w14:paraId="544EEFC7">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4726E8F1">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动植物油</w:t>
            </w:r>
          </w:p>
        </w:tc>
        <w:tc>
          <w:tcPr>
            <w:tcW w:w="1559" w:type="dxa"/>
            <w:noWrap w:val="0"/>
            <w:vAlign w:val="center"/>
          </w:tcPr>
          <w:p w14:paraId="22E6074D">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0.0313</w:t>
            </w:r>
            <w:r>
              <w:rPr>
                <w:rFonts w:hint="eastAsia" w:ascii="Times New Roman"/>
                <w:snapToGrid w:val="0"/>
                <w:color w:val="000000" w:themeColor="text1"/>
                <w:kern w:val="21"/>
                <w:szCs w:val="21"/>
                <w:highlight w:val="none"/>
                <w:lang w:val="en-US" w:eastAsia="zh-CN"/>
                <w14:textFill>
                  <w14:solidFill>
                    <w14:schemeClr w14:val="tx1"/>
                  </w14:solidFill>
                </w14:textFill>
              </w:rPr>
              <w:t>t/a</w:t>
            </w:r>
          </w:p>
        </w:tc>
        <w:tc>
          <w:tcPr>
            <w:tcW w:w="1276" w:type="dxa"/>
            <w:noWrap w:val="0"/>
            <w:vAlign w:val="center"/>
          </w:tcPr>
          <w:p w14:paraId="4D3F9AE7">
            <w:pPr>
              <w:pStyle w:val="180"/>
              <w:spacing w:beforeLines="0" w:afterLines="0" w:line="240" w:lineRule="auto"/>
              <w:rPr>
                <w:rFonts w:hint="eastAsia"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316687E1">
            <w:pPr>
              <w:spacing w:beforeLines="0" w:afterLines="0" w:line="240" w:lineRule="auto"/>
              <w:jc w:val="center"/>
              <w:rPr>
                <w:rFonts w:hint="eastAsia"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0.2445t/a</w:t>
            </w:r>
          </w:p>
        </w:tc>
        <w:tc>
          <w:tcPr>
            <w:tcW w:w="1559" w:type="dxa"/>
            <w:noWrap w:val="0"/>
            <w:vAlign w:val="center"/>
          </w:tcPr>
          <w:p w14:paraId="4990A9C3">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0.0043t/a</w:t>
            </w:r>
          </w:p>
        </w:tc>
        <w:tc>
          <w:tcPr>
            <w:tcW w:w="1701" w:type="dxa"/>
            <w:noWrap w:val="0"/>
            <w:vAlign w:val="center"/>
          </w:tcPr>
          <w:p w14:paraId="7F6FF22D">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2DC127CB">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0.2801t/a</w:t>
            </w:r>
          </w:p>
        </w:tc>
        <w:tc>
          <w:tcPr>
            <w:tcW w:w="1276" w:type="dxa"/>
            <w:noWrap w:val="0"/>
            <w:vAlign w:val="center"/>
          </w:tcPr>
          <w:p w14:paraId="035DF5F4">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+0.0043t/a</w:t>
            </w:r>
          </w:p>
        </w:tc>
      </w:tr>
      <w:tr w14:paraId="47930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continue"/>
            <w:noWrap w:val="0"/>
            <w:vAlign w:val="center"/>
          </w:tcPr>
          <w:p w14:paraId="174D72AA">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7C52ABB9">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粪大肠菌群</w:t>
            </w:r>
          </w:p>
        </w:tc>
        <w:tc>
          <w:tcPr>
            <w:tcW w:w="1559" w:type="dxa"/>
            <w:noWrap w:val="0"/>
            <w:vAlign w:val="center"/>
          </w:tcPr>
          <w:p w14:paraId="5A0FB367">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w:t>
            </w:r>
          </w:p>
        </w:tc>
        <w:tc>
          <w:tcPr>
            <w:tcW w:w="1276" w:type="dxa"/>
            <w:noWrap w:val="0"/>
            <w:vAlign w:val="center"/>
          </w:tcPr>
          <w:p w14:paraId="3CA0FA9D">
            <w:pPr>
              <w:pStyle w:val="180"/>
              <w:spacing w:beforeLines="0" w:afterLines="0" w:line="240" w:lineRule="auto"/>
              <w:rPr>
                <w:rFonts w:hint="eastAsia"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34C04B7C">
            <w:pPr>
              <w:spacing w:beforeLines="0" w:afterLines="0" w:line="240" w:lineRule="auto"/>
              <w:jc w:val="center"/>
              <w:rPr>
                <w:rFonts w:hint="eastAsia"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559" w:type="dxa"/>
            <w:noWrap w:val="0"/>
            <w:vAlign w:val="center"/>
          </w:tcPr>
          <w:p w14:paraId="6569985D">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701" w:type="dxa"/>
            <w:noWrap w:val="0"/>
            <w:vAlign w:val="center"/>
          </w:tcPr>
          <w:p w14:paraId="4463024C">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21A9CF6C">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276" w:type="dxa"/>
            <w:noWrap w:val="0"/>
            <w:vAlign w:val="center"/>
          </w:tcPr>
          <w:p w14:paraId="1D9E6227">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r>
      <w:tr w14:paraId="75C05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continue"/>
            <w:noWrap w:val="0"/>
            <w:vAlign w:val="center"/>
          </w:tcPr>
          <w:p w14:paraId="48FA8A6F">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44F4073F">
            <w:pPr>
              <w:pStyle w:val="2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vertAlign w:val="baseline"/>
                <w:lang w:val="en-US" w:eastAsia="zh-CN" w:bidi="ar-SA"/>
                <w14:textFill>
                  <w14:solidFill>
                    <w14:schemeClr w14:val="tx1"/>
                  </w14:solidFill>
                </w14:textFill>
              </w:rPr>
              <w:t>阴离子表面活性剂</w:t>
            </w:r>
          </w:p>
        </w:tc>
        <w:tc>
          <w:tcPr>
            <w:tcW w:w="1559" w:type="dxa"/>
            <w:noWrap w:val="0"/>
            <w:vAlign w:val="center"/>
          </w:tcPr>
          <w:p w14:paraId="523D04CF">
            <w:pPr>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0.116</w:t>
            </w:r>
            <w:r>
              <w:rPr>
                <w:rFonts w:hint="eastAsia" w:ascii="Times New Roman"/>
                <w:snapToGrid w:val="0"/>
                <w:color w:val="000000" w:themeColor="text1"/>
                <w:kern w:val="21"/>
                <w:szCs w:val="21"/>
                <w:highlight w:val="none"/>
                <w:lang w:val="en-US" w:eastAsia="zh-CN"/>
                <w14:textFill>
                  <w14:solidFill>
                    <w14:schemeClr w14:val="tx1"/>
                  </w14:solidFill>
                </w14:textFill>
              </w:rPr>
              <w:t>t/a</w:t>
            </w:r>
          </w:p>
        </w:tc>
        <w:tc>
          <w:tcPr>
            <w:tcW w:w="1276" w:type="dxa"/>
            <w:noWrap w:val="0"/>
            <w:vAlign w:val="center"/>
          </w:tcPr>
          <w:p w14:paraId="20067D30">
            <w:pPr>
              <w:pStyle w:val="180"/>
              <w:spacing w:beforeLines="0" w:afterLines="0" w:line="240" w:lineRule="auto"/>
              <w:rPr>
                <w:rFonts w:hint="eastAsia"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62C23E0D">
            <w:pPr>
              <w:spacing w:beforeLines="0" w:afterLines="0" w:line="240" w:lineRule="auto"/>
              <w:jc w:val="center"/>
              <w:rPr>
                <w:rFonts w:hint="eastAsia"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0.1217t/a</w:t>
            </w:r>
          </w:p>
        </w:tc>
        <w:tc>
          <w:tcPr>
            <w:tcW w:w="1559" w:type="dxa"/>
            <w:noWrap w:val="0"/>
            <w:vAlign w:val="center"/>
          </w:tcPr>
          <w:p w14:paraId="77537551">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0.0142t/a</w:t>
            </w:r>
          </w:p>
        </w:tc>
        <w:tc>
          <w:tcPr>
            <w:tcW w:w="1701" w:type="dxa"/>
            <w:noWrap w:val="0"/>
            <w:vAlign w:val="center"/>
          </w:tcPr>
          <w:p w14:paraId="27D0C4D9">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22043FEA">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0.2519t/a</w:t>
            </w:r>
          </w:p>
        </w:tc>
        <w:tc>
          <w:tcPr>
            <w:tcW w:w="1276" w:type="dxa"/>
            <w:noWrap w:val="0"/>
            <w:vAlign w:val="center"/>
          </w:tcPr>
          <w:p w14:paraId="0B1E04AA">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+0.0142t/a</w:t>
            </w:r>
          </w:p>
        </w:tc>
      </w:tr>
      <w:tr w14:paraId="0EA2C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120" w:type="dxa"/>
            <w:vMerge w:val="restart"/>
            <w:noWrap w:val="0"/>
            <w:vAlign w:val="center"/>
          </w:tcPr>
          <w:p w14:paraId="25F8EDAE">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r>
              <w:rPr>
                <w:rFonts w:ascii="Times New Roman"/>
                <w:snapToGrid w:val="0"/>
                <w:color w:val="000000" w:themeColor="text1"/>
                <w:kern w:val="21"/>
                <w:szCs w:val="21"/>
                <w:highlight w:val="none"/>
                <w:lang w:val="en-US" w:eastAsia="zh-CN"/>
                <w14:textFill>
                  <w14:solidFill>
                    <w14:schemeClr w14:val="tx1"/>
                  </w14:solidFill>
                </w14:textFill>
              </w:rPr>
              <w:t>一般</w:t>
            </w:r>
          </w:p>
          <w:p w14:paraId="6F3B148F">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r>
              <w:rPr>
                <w:rFonts w:ascii="Times New Roman"/>
                <w:snapToGrid w:val="0"/>
                <w:color w:val="000000" w:themeColor="text1"/>
                <w:kern w:val="21"/>
                <w:szCs w:val="21"/>
                <w:highlight w:val="none"/>
                <w:lang w:val="en-US" w:eastAsia="zh-CN"/>
                <w14:textFill>
                  <w14:solidFill>
                    <w14:schemeClr w14:val="tx1"/>
                  </w14:solidFill>
                </w14:textFill>
              </w:rPr>
              <w:t>固体废物</w:t>
            </w:r>
          </w:p>
        </w:tc>
        <w:tc>
          <w:tcPr>
            <w:tcW w:w="2027" w:type="dxa"/>
            <w:noWrap w:val="0"/>
            <w:vAlign w:val="center"/>
          </w:tcPr>
          <w:p w14:paraId="24322C71">
            <w:pPr>
              <w:pStyle w:val="180"/>
              <w:spacing w:beforeLines="0" w:afterLines="0" w:line="240" w:lineRule="auto"/>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中药药渣</w:t>
            </w:r>
          </w:p>
        </w:tc>
        <w:tc>
          <w:tcPr>
            <w:tcW w:w="1559" w:type="dxa"/>
            <w:noWrap w:val="0"/>
            <w:vAlign w:val="center"/>
          </w:tcPr>
          <w:p w14:paraId="7891F73B">
            <w:pPr>
              <w:spacing w:beforeLines="0" w:afterLines="0" w:line="240" w:lineRule="auto"/>
              <w:jc w:val="center"/>
              <w:rPr>
                <w:rFonts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0.5t/a</w:t>
            </w:r>
          </w:p>
        </w:tc>
        <w:tc>
          <w:tcPr>
            <w:tcW w:w="1276" w:type="dxa"/>
            <w:noWrap w:val="0"/>
            <w:vAlign w:val="center"/>
          </w:tcPr>
          <w:p w14:paraId="37B74716">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5268F858">
            <w:pPr>
              <w:spacing w:beforeLines="0" w:afterLines="0" w:line="240" w:lineRule="auto"/>
              <w:jc w:val="center"/>
              <w:rPr>
                <w:rFonts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1.2t/a</w:t>
            </w:r>
          </w:p>
        </w:tc>
        <w:tc>
          <w:tcPr>
            <w:tcW w:w="1559" w:type="dxa"/>
            <w:noWrap w:val="0"/>
            <w:vAlign w:val="center"/>
          </w:tcPr>
          <w:p w14:paraId="055FCA8F">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701" w:type="dxa"/>
            <w:noWrap w:val="0"/>
            <w:vAlign w:val="center"/>
          </w:tcPr>
          <w:p w14:paraId="1A041EF1">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51B853A3">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1.7t/a</w:t>
            </w:r>
          </w:p>
        </w:tc>
        <w:tc>
          <w:tcPr>
            <w:tcW w:w="1276" w:type="dxa"/>
            <w:noWrap w:val="0"/>
            <w:vAlign w:val="center"/>
          </w:tcPr>
          <w:p w14:paraId="565113AD">
            <w:pPr>
              <w:spacing w:beforeLines="0" w:afterLines="0" w:line="240" w:lineRule="auto"/>
              <w:jc w:val="center"/>
              <w:rPr>
                <w:rFonts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r>
      <w:tr w14:paraId="74C094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120" w:type="dxa"/>
            <w:vMerge w:val="continue"/>
            <w:noWrap w:val="0"/>
            <w:vAlign w:val="center"/>
          </w:tcPr>
          <w:p w14:paraId="3954EE62">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7E2CE4C7">
            <w:pPr>
              <w:pStyle w:val="180"/>
              <w:spacing w:beforeLines="0" w:afterLines="0" w:line="240" w:lineRule="auto"/>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废碳分子筛</w:t>
            </w:r>
          </w:p>
        </w:tc>
        <w:tc>
          <w:tcPr>
            <w:tcW w:w="1559" w:type="dxa"/>
            <w:noWrap w:val="0"/>
            <w:vAlign w:val="center"/>
          </w:tcPr>
          <w:p w14:paraId="4F57C9B8">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2个/2a</w:t>
            </w:r>
          </w:p>
        </w:tc>
        <w:tc>
          <w:tcPr>
            <w:tcW w:w="1276" w:type="dxa"/>
            <w:noWrap w:val="0"/>
            <w:vAlign w:val="center"/>
          </w:tcPr>
          <w:p w14:paraId="03828028">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7BC6516A">
            <w:pPr>
              <w:spacing w:beforeLines="0" w:afterLines="0" w:line="240" w:lineRule="auto"/>
              <w:jc w:val="center"/>
              <w:rPr>
                <w:rFonts w:hint="default"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559" w:type="dxa"/>
            <w:noWrap w:val="0"/>
            <w:vAlign w:val="center"/>
          </w:tcPr>
          <w:p w14:paraId="462402E8">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701" w:type="dxa"/>
            <w:noWrap w:val="0"/>
            <w:vAlign w:val="center"/>
          </w:tcPr>
          <w:p w14:paraId="285FCFA0">
            <w:pPr>
              <w:spacing w:beforeLines="0" w:afterLines="0" w:line="240" w:lineRule="auto"/>
              <w:jc w:val="center"/>
              <w:rPr>
                <w:rFonts w:hint="default"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11650E41">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2个/2a</w:t>
            </w:r>
          </w:p>
        </w:tc>
        <w:tc>
          <w:tcPr>
            <w:tcW w:w="1276" w:type="dxa"/>
            <w:noWrap w:val="0"/>
            <w:vAlign w:val="center"/>
          </w:tcPr>
          <w:p w14:paraId="2AB778C0">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r>
      <w:tr w14:paraId="1D22B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120" w:type="dxa"/>
            <w:vMerge w:val="continue"/>
            <w:noWrap w:val="0"/>
            <w:vAlign w:val="center"/>
          </w:tcPr>
          <w:p w14:paraId="2BBADF56">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02B5EC1A">
            <w:pPr>
              <w:pStyle w:val="180"/>
              <w:spacing w:beforeLines="0" w:afterLines="0" w:line="240" w:lineRule="auto"/>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废滤芯</w:t>
            </w:r>
          </w:p>
        </w:tc>
        <w:tc>
          <w:tcPr>
            <w:tcW w:w="1559" w:type="dxa"/>
            <w:noWrap w:val="0"/>
            <w:vAlign w:val="center"/>
          </w:tcPr>
          <w:p w14:paraId="41F82B28">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3个/2a</w:t>
            </w:r>
          </w:p>
        </w:tc>
        <w:tc>
          <w:tcPr>
            <w:tcW w:w="1276" w:type="dxa"/>
            <w:noWrap w:val="0"/>
            <w:vAlign w:val="center"/>
          </w:tcPr>
          <w:p w14:paraId="563B3A5F">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3CE496E3">
            <w:pPr>
              <w:spacing w:beforeLines="0" w:afterLines="0" w:line="240" w:lineRule="auto"/>
              <w:jc w:val="center"/>
              <w:rPr>
                <w:rFonts w:hint="default"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559" w:type="dxa"/>
            <w:noWrap w:val="0"/>
            <w:vAlign w:val="center"/>
          </w:tcPr>
          <w:p w14:paraId="136A143B">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701" w:type="dxa"/>
            <w:noWrap w:val="0"/>
            <w:vAlign w:val="center"/>
          </w:tcPr>
          <w:p w14:paraId="6A7F8B09">
            <w:pPr>
              <w:spacing w:beforeLines="0" w:afterLines="0" w:line="240" w:lineRule="auto"/>
              <w:jc w:val="center"/>
              <w:rPr>
                <w:rFonts w:hint="default"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15EE9086">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3个/2a</w:t>
            </w:r>
          </w:p>
        </w:tc>
        <w:tc>
          <w:tcPr>
            <w:tcW w:w="1276" w:type="dxa"/>
            <w:noWrap w:val="0"/>
            <w:vAlign w:val="center"/>
          </w:tcPr>
          <w:p w14:paraId="2F59B986">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r>
      <w:tr w14:paraId="225C91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120" w:type="dxa"/>
            <w:vMerge w:val="continue"/>
            <w:noWrap w:val="0"/>
            <w:vAlign w:val="center"/>
          </w:tcPr>
          <w:p w14:paraId="2BA38267">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7BB0149F">
            <w:pPr>
              <w:pStyle w:val="180"/>
              <w:spacing w:beforeLines="0" w:afterLines="0" w:line="240" w:lineRule="auto"/>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隔油池油渣</w:t>
            </w:r>
          </w:p>
        </w:tc>
        <w:tc>
          <w:tcPr>
            <w:tcW w:w="1559" w:type="dxa"/>
            <w:noWrap w:val="0"/>
            <w:vAlign w:val="center"/>
          </w:tcPr>
          <w:p w14:paraId="700AE497">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0.22t/a</w:t>
            </w:r>
          </w:p>
        </w:tc>
        <w:tc>
          <w:tcPr>
            <w:tcW w:w="1276" w:type="dxa"/>
            <w:noWrap w:val="0"/>
            <w:vAlign w:val="center"/>
          </w:tcPr>
          <w:p w14:paraId="4AF7E3B3">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32AFAD24">
            <w:pPr>
              <w:spacing w:beforeLines="0" w:afterLines="0" w:line="240" w:lineRule="auto"/>
              <w:jc w:val="center"/>
              <w:rPr>
                <w:rFonts w:hint="eastAsia"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1.36t/a</w:t>
            </w:r>
          </w:p>
        </w:tc>
        <w:tc>
          <w:tcPr>
            <w:tcW w:w="1559" w:type="dxa"/>
            <w:noWrap w:val="0"/>
            <w:vAlign w:val="center"/>
          </w:tcPr>
          <w:p w14:paraId="75DE692C">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701" w:type="dxa"/>
            <w:noWrap w:val="0"/>
            <w:vAlign w:val="center"/>
          </w:tcPr>
          <w:p w14:paraId="18C42429">
            <w:pPr>
              <w:spacing w:beforeLines="0" w:afterLines="0" w:line="240" w:lineRule="auto"/>
              <w:jc w:val="center"/>
              <w:rPr>
                <w:rFonts w:hint="default"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148B702E">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1.58t/a</w:t>
            </w:r>
          </w:p>
        </w:tc>
        <w:tc>
          <w:tcPr>
            <w:tcW w:w="1276" w:type="dxa"/>
            <w:noWrap w:val="0"/>
            <w:vAlign w:val="center"/>
          </w:tcPr>
          <w:p w14:paraId="005C5404">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r>
      <w:tr w14:paraId="43DC5C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120" w:type="dxa"/>
            <w:vMerge w:val="continue"/>
            <w:noWrap w:val="0"/>
            <w:vAlign w:val="center"/>
          </w:tcPr>
          <w:p w14:paraId="24C3A6D5">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7E99126B">
            <w:pPr>
              <w:pStyle w:val="180"/>
              <w:spacing w:beforeLines="0" w:afterLines="0" w:line="240" w:lineRule="auto"/>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生活垃圾</w:t>
            </w:r>
          </w:p>
        </w:tc>
        <w:tc>
          <w:tcPr>
            <w:tcW w:w="1559" w:type="dxa"/>
            <w:noWrap w:val="0"/>
            <w:vAlign w:val="center"/>
          </w:tcPr>
          <w:p w14:paraId="0D15394F">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364.05t/a</w:t>
            </w:r>
          </w:p>
        </w:tc>
        <w:tc>
          <w:tcPr>
            <w:tcW w:w="1276" w:type="dxa"/>
            <w:noWrap w:val="0"/>
            <w:vAlign w:val="center"/>
          </w:tcPr>
          <w:p w14:paraId="0137F3EC">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3A06B06F">
            <w:pPr>
              <w:spacing w:beforeLines="0" w:afterLines="0" w:line="240" w:lineRule="auto"/>
              <w:jc w:val="center"/>
              <w:rPr>
                <w:rFonts w:hint="eastAsia"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633.45t/a</w:t>
            </w:r>
          </w:p>
        </w:tc>
        <w:tc>
          <w:tcPr>
            <w:tcW w:w="1559" w:type="dxa"/>
            <w:noWrap w:val="0"/>
            <w:vAlign w:val="center"/>
          </w:tcPr>
          <w:p w14:paraId="08BB8D17">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60.59t/a</w:t>
            </w:r>
          </w:p>
        </w:tc>
        <w:tc>
          <w:tcPr>
            <w:tcW w:w="1701" w:type="dxa"/>
            <w:noWrap w:val="0"/>
            <w:vAlign w:val="center"/>
          </w:tcPr>
          <w:p w14:paraId="744504C1">
            <w:pPr>
              <w:spacing w:beforeLines="0" w:afterLines="0" w:line="240" w:lineRule="auto"/>
              <w:jc w:val="center"/>
              <w:rPr>
                <w:rFonts w:hint="default" w:ascii="Times New Roman"/>
                <w:b w:val="0"/>
                <w:bCs/>
                <w:snapToGrid w:val="0"/>
                <w:color w:val="000000" w:themeColor="text1"/>
                <w:kern w:val="21"/>
                <w:szCs w:val="21"/>
                <w:highlight w:val="none"/>
                <w:u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2176656E">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1058.09t/a</w:t>
            </w:r>
          </w:p>
        </w:tc>
        <w:tc>
          <w:tcPr>
            <w:tcW w:w="1276" w:type="dxa"/>
            <w:noWrap w:val="0"/>
            <w:vAlign w:val="center"/>
          </w:tcPr>
          <w:p w14:paraId="271FE29E">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+60.59t/a</w:t>
            </w:r>
          </w:p>
        </w:tc>
      </w:tr>
      <w:tr w14:paraId="2293C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restart"/>
            <w:noWrap w:val="0"/>
            <w:vAlign w:val="center"/>
          </w:tcPr>
          <w:p w14:paraId="27641AEA">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r>
              <w:rPr>
                <w:rFonts w:ascii="Times New Roman"/>
                <w:snapToGrid w:val="0"/>
                <w:color w:val="000000" w:themeColor="text1"/>
                <w:kern w:val="21"/>
                <w:szCs w:val="21"/>
                <w:highlight w:val="none"/>
                <w:lang w:val="en-US" w:eastAsia="zh-CN"/>
                <w14:textFill>
                  <w14:solidFill>
                    <w14:schemeClr w14:val="tx1"/>
                  </w14:solidFill>
                </w14:textFill>
              </w:rPr>
              <w:t>危险废物</w:t>
            </w:r>
          </w:p>
        </w:tc>
        <w:tc>
          <w:tcPr>
            <w:tcW w:w="2027" w:type="dxa"/>
            <w:noWrap w:val="0"/>
            <w:vAlign w:val="center"/>
          </w:tcPr>
          <w:p w14:paraId="3ADD04EA">
            <w:pPr>
              <w:pStyle w:val="180"/>
              <w:spacing w:beforeLines="0" w:afterLines="0" w:line="240" w:lineRule="auto"/>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医疗废物</w:t>
            </w:r>
          </w:p>
        </w:tc>
        <w:tc>
          <w:tcPr>
            <w:tcW w:w="1559" w:type="dxa"/>
            <w:noWrap w:val="0"/>
            <w:vAlign w:val="center"/>
          </w:tcPr>
          <w:p w14:paraId="2D94EA76">
            <w:pPr>
              <w:spacing w:beforeLines="0" w:afterLines="0" w:line="240" w:lineRule="auto"/>
              <w:jc w:val="center"/>
              <w:rPr>
                <w:rFonts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35.62t/a</w:t>
            </w:r>
          </w:p>
        </w:tc>
        <w:tc>
          <w:tcPr>
            <w:tcW w:w="1276" w:type="dxa"/>
            <w:noWrap w:val="0"/>
            <w:vAlign w:val="center"/>
          </w:tcPr>
          <w:p w14:paraId="347FBE02">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68601FA9">
            <w:pPr>
              <w:spacing w:beforeLines="0" w:afterLines="0" w:line="240" w:lineRule="auto"/>
              <w:jc w:val="center"/>
              <w:rPr>
                <w:rFonts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56.99t/a</w:t>
            </w:r>
          </w:p>
        </w:tc>
        <w:tc>
          <w:tcPr>
            <w:tcW w:w="1559" w:type="dxa"/>
            <w:noWrap w:val="0"/>
            <w:vAlign w:val="center"/>
          </w:tcPr>
          <w:p w14:paraId="4BAFA90D">
            <w:pPr>
              <w:spacing w:beforeLines="0" w:afterLines="0" w:line="240" w:lineRule="auto"/>
              <w:jc w:val="center"/>
              <w:rPr>
                <w:rFonts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10.69t/a</w:t>
            </w:r>
          </w:p>
        </w:tc>
        <w:tc>
          <w:tcPr>
            <w:tcW w:w="1701" w:type="dxa"/>
            <w:noWrap w:val="0"/>
            <w:vAlign w:val="center"/>
          </w:tcPr>
          <w:p w14:paraId="4C01A569">
            <w:pPr>
              <w:spacing w:beforeLines="0" w:afterLines="0" w:line="240" w:lineRule="auto"/>
              <w:jc w:val="center"/>
              <w:rPr>
                <w:rFonts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0CB369E7">
            <w:pPr>
              <w:spacing w:beforeLines="0" w:afterLines="0" w:line="240" w:lineRule="auto"/>
              <w:jc w:val="center"/>
              <w:rPr>
                <w:rFonts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103.3t/a</w:t>
            </w:r>
          </w:p>
        </w:tc>
        <w:tc>
          <w:tcPr>
            <w:tcW w:w="1276" w:type="dxa"/>
            <w:noWrap w:val="0"/>
            <w:vAlign w:val="center"/>
          </w:tcPr>
          <w:p w14:paraId="0C86BAF9">
            <w:pPr>
              <w:spacing w:beforeLines="0" w:afterLines="0" w:line="240" w:lineRule="auto"/>
              <w:jc w:val="center"/>
              <w:rPr>
                <w:rFonts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+10.69t/a</w:t>
            </w:r>
          </w:p>
        </w:tc>
      </w:tr>
      <w:tr w14:paraId="54C59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continue"/>
            <w:noWrap w:val="0"/>
            <w:vAlign w:val="center"/>
          </w:tcPr>
          <w:p w14:paraId="5FE68000">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5E7DD7F0">
            <w:pPr>
              <w:pStyle w:val="180"/>
              <w:spacing w:beforeLines="0" w:afterLines="0" w:line="240" w:lineRule="auto"/>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废活性炭</w:t>
            </w:r>
          </w:p>
        </w:tc>
        <w:tc>
          <w:tcPr>
            <w:tcW w:w="1559" w:type="dxa"/>
            <w:noWrap w:val="0"/>
            <w:vAlign w:val="center"/>
          </w:tcPr>
          <w:p w14:paraId="38F685F1">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w:t>
            </w:r>
          </w:p>
        </w:tc>
        <w:tc>
          <w:tcPr>
            <w:tcW w:w="1276" w:type="dxa"/>
            <w:noWrap w:val="0"/>
            <w:vAlign w:val="center"/>
          </w:tcPr>
          <w:p w14:paraId="1E06668C">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57C4493D">
            <w:pPr>
              <w:spacing w:beforeLines="0" w:afterLines="0" w:line="240" w:lineRule="auto"/>
              <w:jc w:val="center"/>
              <w:rPr>
                <w:rFonts w:hint="eastAsia"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0.2392t/a</w:t>
            </w:r>
          </w:p>
        </w:tc>
        <w:tc>
          <w:tcPr>
            <w:tcW w:w="1559" w:type="dxa"/>
            <w:noWrap w:val="0"/>
            <w:vAlign w:val="center"/>
          </w:tcPr>
          <w:p w14:paraId="1D50C0ED">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0.0143t/a</w:t>
            </w:r>
          </w:p>
        </w:tc>
        <w:tc>
          <w:tcPr>
            <w:tcW w:w="1701" w:type="dxa"/>
            <w:noWrap w:val="0"/>
            <w:vAlign w:val="center"/>
          </w:tcPr>
          <w:p w14:paraId="4A7FDF78">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7A005B2F">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0.2535t/a</w:t>
            </w:r>
          </w:p>
        </w:tc>
        <w:tc>
          <w:tcPr>
            <w:tcW w:w="1276" w:type="dxa"/>
            <w:noWrap w:val="0"/>
            <w:vAlign w:val="center"/>
          </w:tcPr>
          <w:p w14:paraId="1DFADD7C">
            <w:pPr>
              <w:spacing w:beforeLines="0" w:afterLines="0" w:line="240" w:lineRule="auto"/>
              <w:jc w:val="center"/>
              <w:rPr>
                <w:rFonts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+0.0143t/a</w:t>
            </w:r>
          </w:p>
        </w:tc>
      </w:tr>
      <w:tr w14:paraId="2D8A50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0" w:type="dxa"/>
            <w:vMerge w:val="continue"/>
            <w:noWrap w:val="0"/>
            <w:vAlign w:val="center"/>
          </w:tcPr>
          <w:p w14:paraId="6E1C299E">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2027" w:type="dxa"/>
            <w:noWrap w:val="0"/>
            <w:vAlign w:val="center"/>
          </w:tcPr>
          <w:p w14:paraId="41CC25CD">
            <w:pPr>
              <w:pStyle w:val="180"/>
              <w:spacing w:beforeLines="0" w:afterLines="0" w:line="240" w:lineRule="auto"/>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污泥</w:t>
            </w:r>
          </w:p>
        </w:tc>
        <w:tc>
          <w:tcPr>
            <w:tcW w:w="1559" w:type="dxa"/>
            <w:noWrap w:val="0"/>
            <w:vAlign w:val="center"/>
          </w:tcPr>
          <w:p w14:paraId="6F82A429">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50t/a</w:t>
            </w:r>
          </w:p>
        </w:tc>
        <w:tc>
          <w:tcPr>
            <w:tcW w:w="1276" w:type="dxa"/>
            <w:noWrap w:val="0"/>
            <w:vAlign w:val="center"/>
          </w:tcPr>
          <w:p w14:paraId="77D31319">
            <w:pPr>
              <w:pStyle w:val="180"/>
              <w:spacing w:beforeLines="0" w:afterLines="0" w:line="240" w:lineRule="auto"/>
              <w:rPr>
                <w:rFonts w:ascii="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0A181B0B">
            <w:pPr>
              <w:spacing w:beforeLines="0" w:afterLines="0" w:line="240" w:lineRule="auto"/>
              <w:jc w:val="center"/>
              <w:rPr>
                <w:rFonts w:hint="eastAsia" w:ascii="Times New Roman" w:hAnsi="Calibri"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52.44t/a</w:t>
            </w:r>
          </w:p>
        </w:tc>
        <w:tc>
          <w:tcPr>
            <w:tcW w:w="1559" w:type="dxa"/>
            <w:noWrap w:val="0"/>
            <w:vAlign w:val="center"/>
          </w:tcPr>
          <w:p w14:paraId="61555A40">
            <w:pPr>
              <w:spacing w:beforeLines="0" w:afterLines="0" w:line="240" w:lineRule="auto"/>
              <w:jc w:val="center"/>
              <w:rPr>
                <w:rFonts w:hint="default"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6.13t/a</w:t>
            </w:r>
          </w:p>
        </w:tc>
        <w:tc>
          <w:tcPr>
            <w:tcW w:w="1701" w:type="dxa"/>
            <w:noWrap w:val="0"/>
            <w:vAlign w:val="center"/>
          </w:tcPr>
          <w:p w14:paraId="1ECCB8CC">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b w:val="0"/>
                <w:bCs/>
                <w:snapToGrid w:val="0"/>
                <w:color w:val="000000" w:themeColor="text1"/>
                <w:kern w:val="21"/>
                <w:szCs w:val="21"/>
                <w:highlight w:val="none"/>
                <w:u w:val="none"/>
                <w:lang w:val="en-US" w:eastAsia="zh-CN"/>
                <w14:textFill>
                  <w14:solidFill>
                    <w14:schemeClr w14:val="tx1"/>
                  </w14:solidFill>
                </w14:textFill>
              </w:rPr>
              <w:t>0</w:t>
            </w:r>
          </w:p>
        </w:tc>
        <w:tc>
          <w:tcPr>
            <w:tcW w:w="1843" w:type="dxa"/>
            <w:noWrap w:val="0"/>
            <w:vAlign w:val="center"/>
          </w:tcPr>
          <w:p w14:paraId="7E5CAF0F">
            <w:pPr>
              <w:spacing w:beforeLines="0" w:afterLines="0" w:line="240" w:lineRule="auto"/>
              <w:jc w:val="center"/>
              <w:rPr>
                <w:rFonts w:hint="eastAsia"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108.57t/a</w:t>
            </w:r>
          </w:p>
        </w:tc>
        <w:tc>
          <w:tcPr>
            <w:tcW w:w="1276" w:type="dxa"/>
            <w:noWrap w:val="0"/>
            <w:vAlign w:val="center"/>
          </w:tcPr>
          <w:p w14:paraId="489F7073">
            <w:pPr>
              <w:spacing w:beforeLines="0" w:afterLines="0" w:line="240" w:lineRule="auto"/>
              <w:jc w:val="center"/>
              <w:rPr>
                <w:rFonts w:ascii="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+6.13t/a</w:t>
            </w:r>
          </w:p>
        </w:tc>
      </w:tr>
    </w:tbl>
    <w:p w14:paraId="53219E7A">
      <w:pPr>
        <w:pStyle w:val="180"/>
        <w:spacing w:before="249" w:beforeLines="80" w:after="31"/>
        <w:jc w:val="left"/>
        <w:rPr>
          <w:rFonts w:hAnsi="宋体"/>
          <w:snapToGrid w:val="0"/>
          <w:color w:val="000000" w:themeColor="text1"/>
          <w:spacing w:val="-6"/>
          <w:kern w:val="21"/>
          <w:szCs w:val="21"/>
          <w:highlight w:val="none"/>
          <w14:textFill>
            <w14:solidFill>
              <w14:schemeClr w14:val="tx1"/>
            </w14:solidFill>
          </w14:textFill>
        </w:rPr>
        <w:sectPr>
          <w:headerReference r:id="rId8" w:type="default"/>
          <w:footerReference r:id="rId9" w:type="default"/>
          <w:pgSz w:w="16838" w:h="11906" w:orient="landscape"/>
          <w:pgMar w:top="1417" w:right="1174" w:bottom="1417" w:left="1440" w:header="964" w:footer="1134" w:gutter="0"/>
          <w:pgBorders>
            <w:top w:val="none" w:sz="0" w:space="0"/>
            <w:left w:val="none" w:sz="0" w:space="0"/>
            <w:bottom w:val="none" w:sz="0" w:space="0"/>
            <w:right w:val="none" w:sz="0" w:space="0"/>
          </w:pgBorders>
          <w:pgNumType w:fmt="decimal"/>
          <w:cols w:space="720" w:num="1"/>
          <w:titlePg/>
          <w:docGrid w:type="linesAndChars" w:linePitch="312" w:charSpace="0"/>
        </w:sectPr>
      </w:pPr>
      <w:r>
        <w:rPr>
          <w:rFonts w:hAnsi="宋体"/>
          <w:snapToGrid w:val="0"/>
          <w:color w:val="000000" w:themeColor="text1"/>
          <w:kern w:val="21"/>
          <w:szCs w:val="21"/>
          <w:highlight w:val="none"/>
          <w14:textFill>
            <w14:solidFill>
              <w14:schemeClr w14:val="tx1"/>
            </w14:solidFill>
          </w14:textFill>
        </w:rPr>
        <w:t>注：</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3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③</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4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④</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⑤</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7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⑦</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p>
    <w:p w14:paraId="04C7D331">
      <w:pPr>
        <w:pStyle w:val="180"/>
        <w:keepNext w:val="0"/>
        <w:keepLines w:val="0"/>
        <w:pageBreakBefore w:val="0"/>
        <w:widowControl w:val="0"/>
        <w:kinsoku/>
        <w:wordWrap/>
        <w:overflowPunct/>
        <w:topLinePunct w:val="0"/>
        <w:autoSpaceDE/>
        <w:autoSpaceDN/>
        <w:bidi w:val="0"/>
        <w:adjustRightInd w:val="0"/>
        <w:snapToGrid w:val="0"/>
        <w:spacing w:beforeLines="0" w:afterLines="0" w:line="0" w:lineRule="atLeast"/>
        <w:ind w:firstLine="1625" w:firstLineChars="500"/>
        <w:jc w:val="left"/>
        <w:textAlignment w:val="auto"/>
        <w:rPr>
          <w:b/>
          <w:color w:val="000000" w:themeColor="text1"/>
          <w:sz w:val="32"/>
          <w:szCs w:val="32"/>
          <w:highlight w:val="none"/>
          <w14:textFill>
            <w14:solidFill>
              <w14:schemeClr w14:val="tx1"/>
            </w14:solidFill>
          </w14:textFill>
        </w:rPr>
      </w:pPr>
    </w:p>
    <w:p w14:paraId="0F974EF5">
      <w:pPr>
        <w:pStyle w:val="18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b/>
          <w:color w:val="000000" w:themeColor="text1"/>
          <w:sz w:val="32"/>
          <w:szCs w:val="32"/>
          <w:highlight w:val="none"/>
          <w14:textFill>
            <w14:solidFill>
              <w14:schemeClr w14:val="tx1"/>
            </w14:solidFill>
          </w14:textFill>
        </w:rPr>
      </w:pPr>
    </w:p>
    <w:p w14:paraId="6A368FF2">
      <w:pPr>
        <w:pStyle w:val="18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b/>
          <w:color w:val="000000" w:themeColor="text1"/>
          <w:sz w:val="32"/>
          <w:szCs w:val="32"/>
          <w:highlight w:val="none"/>
          <w14:textFill>
            <w14:solidFill>
              <w14:schemeClr w14:val="tx1"/>
            </w14:solidFill>
          </w14:textFill>
        </w:rPr>
      </w:pPr>
      <w:r>
        <w:rPr>
          <w:color w:val="000000" w:themeColor="text1"/>
          <w:sz w:val="32"/>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2881630</wp:posOffset>
                </wp:positionH>
                <wp:positionV relativeFrom="paragraph">
                  <wp:posOffset>3750945</wp:posOffset>
                </wp:positionV>
                <wp:extent cx="981075" cy="334010"/>
                <wp:effectExtent l="5080" t="4445" r="4445" b="633095"/>
                <wp:wrapNone/>
                <wp:docPr id="1" name="自选图形 104"/>
                <wp:cNvGraphicFramePr/>
                <a:graphic xmlns:a="http://schemas.openxmlformats.org/drawingml/2006/main">
                  <a:graphicData uri="http://schemas.microsoft.com/office/word/2010/wordprocessingShape">
                    <wps:wsp>
                      <wps:cNvSpPr/>
                      <wps:spPr>
                        <a:xfrm>
                          <a:off x="0" y="0"/>
                          <a:ext cx="981075" cy="334010"/>
                        </a:xfrm>
                        <a:prstGeom prst="wedgeRoundRectCallout">
                          <a:avLst>
                            <a:gd name="adj1" fmla="val -40161"/>
                            <a:gd name="adj2" fmla="val 230798"/>
                            <a:gd name="adj3" fmla="val 16667"/>
                          </a:avLst>
                        </a:prstGeom>
                        <a:solidFill>
                          <a:srgbClr val="FFFFFF"/>
                        </a:solidFill>
                        <a:ln w="9525" cap="flat" cmpd="sng">
                          <a:solidFill>
                            <a:srgbClr val="2408F6"/>
                          </a:solidFill>
                          <a:prstDash val="solid"/>
                          <a:miter/>
                          <a:headEnd type="none" w="med" len="med"/>
                          <a:tailEnd type="none" w="med" len="med"/>
                        </a:ln>
                      </wps:spPr>
                      <wps:txbx>
                        <w:txbxContent>
                          <w:p w14:paraId="551E9CC1">
                            <w:pPr>
                              <w:rPr>
                                <w:rFonts w:hint="default" w:eastAsia="宋体"/>
                                <w:b/>
                                <w:bCs/>
                                <w:color w:val="2408F6"/>
                                <w:lang w:val="en-US" w:eastAsia="zh-CN"/>
                              </w:rPr>
                            </w:pPr>
                            <w:r>
                              <w:rPr>
                                <w:rFonts w:hint="eastAsia"/>
                                <w:b/>
                                <w:bCs/>
                                <w:color w:val="2408F6"/>
                                <w:lang w:val="en-US" w:eastAsia="zh-CN"/>
                              </w:rPr>
                              <w:t>项目所在地</w:t>
                            </w:r>
                          </w:p>
                        </w:txbxContent>
                      </wps:txbx>
                      <wps:bodyPr vert="horz" wrap="square" anchor="t" anchorCtr="0" upright="1"/>
                    </wps:wsp>
                  </a:graphicData>
                </a:graphic>
              </wp:anchor>
            </w:drawing>
          </mc:Choice>
          <mc:Fallback>
            <w:pict>
              <v:shape id="自选图形 104" o:spid="_x0000_s1026" o:spt="62" type="#_x0000_t62" style="position:absolute;left:0pt;margin-left:226.9pt;margin-top:295.35pt;height:26.3pt;width:77.25pt;z-index:251660288;mso-width-relative:page;mso-height-relative:page;" fillcolor="#FFFFFF" filled="t" stroked="t" coordsize="21600,21600" o:gfxdata="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YTK9oAAAALAQAADwAAAAAAAAABACAAAAAiAAAAZHJzL2Rvd25yZXYueG1s&#10;UEsBAhQAFAAAAAgAh07iQMyaPONoAgAA6wQAAA4AAAAAAAAAAQAgAAAAKQEAAGRycy9lMm9Eb2Mu&#10;eG1sUEsFBgAAAAAGAAYAWQEAAAMGAAAAAA==&#10;" adj="2125,60652,14400">
                <v:fill on="t" focussize="0,0"/>
                <v:stroke color="#2408F6" joinstyle="miter"/>
                <v:imagedata o:title=""/>
                <o:lock v:ext="edit" aspectratio="f"/>
                <v:textbox>
                  <w:txbxContent>
                    <w:p w14:paraId="551E9CC1">
                      <w:pPr>
                        <w:rPr>
                          <w:rFonts w:hint="default" w:eastAsia="宋体"/>
                          <w:b/>
                          <w:bCs/>
                          <w:color w:val="2408F6"/>
                          <w:lang w:val="en-US" w:eastAsia="zh-CN"/>
                        </w:rPr>
                      </w:pPr>
                      <w:r>
                        <w:rPr>
                          <w:rFonts w:hint="eastAsia"/>
                          <w:b/>
                          <w:bCs/>
                          <w:color w:val="2408F6"/>
                          <w:lang w:val="en-US" w:eastAsia="zh-CN"/>
                        </w:rPr>
                        <w:t>项目所在地</w:t>
                      </w:r>
                    </w:p>
                  </w:txbxContent>
                </v:textbox>
              </v:shape>
            </w:pict>
          </mc:Fallback>
        </mc:AlternateContent>
      </w:r>
      <w:r>
        <w:rPr>
          <w:color w:val="000000" w:themeColor="text1"/>
          <w:sz w:val="32"/>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2886075</wp:posOffset>
                </wp:positionH>
                <wp:positionV relativeFrom="paragraph">
                  <wp:posOffset>4621530</wp:posOffset>
                </wp:positionV>
                <wp:extent cx="144145" cy="144145"/>
                <wp:effectExtent l="13970" t="15875" r="32385" b="30480"/>
                <wp:wrapNone/>
                <wp:docPr id="2" name="自选图形 105"/>
                <wp:cNvGraphicFramePr/>
                <a:graphic xmlns:a="http://schemas.openxmlformats.org/drawingml/2006/main">
                  <a:graphicData uri="http://schemas.microsoft.com/office/word/2010/wordprocessingShape">
                    <wps:wsp>
                      <wps:cNvSpPr/>
                      <wps:spPr>
                        <a:xfrm>
                          <a:off x="0" y="0"/>
                          <a:ext cx="144145" cy="144145"/>
                        </a:xfrm>
                        <a:prstGeom prst="star5">
                          <a:avLst/>
                        </a:prstGeom>
                        <a:solidFill>
                          <a:srgbClr val="2408F6"/>
                        </a:solidFill>
                        <a:ln w="9525" cap="flat" cmpd="sng">
                          <a:solidFill>
                            <a:srgbClr val="2408F6"/>
                          </a:solidFill>
                          <a:prstDash val="solid"/>
                          <a:miter/>
                          <a:headEnd type="none" w="med" len="med"/>
                          <a:tailEnd type="none" w="med" len="med"/>
                        </a:ln>
                      </wps:spPr>
                      <wps:bodyPr vert="horz" wrap="square" anchor="t" anchorCtr="0" upright="1"/>
                    </wps:wsp>
                  </a:graphicData>
                </a:graphic>
              </wp:anchor>
            </w:drawing>
          </mc:Choice>
          <mc:Fallback>
            <w:pict>
              <v:shape id="自选图形 105" o:spid="_x0000_s1026" style="position:absolute;left:0pt;margin-left:227.25pt;margin-top:363.9pt;height:11.35pt;width:11.35pt;z-index:251661312;mso-width-relative:page;mso-height-relative:page;" fillcolor="#2408F6" filled="t" stroked="t" coordsize="144145,144145" o:gfxdata="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7/&#10;733aAAAACwEAAA8AAAAAAAAAAQAgAAAAIgAAAGRycy9kb3ducmV2LnhtbFBLAQIUABQAAAAIAIdO&#10;4kDs0eqOIQIAAFkEAAAOAAAAAAAAAAEAIAAAACkBAABkcnMvZTJvRG9jLnhtbFBLBQYAAAAABgAG&#10;AFkBAAC8BQAAAAA=&#10;" path="m0,55058l55058,55058,72072,0,89086,55058,144144,55058,99601,89086,116615,144144,72072,110116,27529,144144,44543,89086xe">
                <v:path o:connectlocs="72072,0;0,55058;27529,144144;116615,144144;144144,55058" o:connectangles="247,164,82,82,0"/>
                <v:fill on="t" focussize="0,0"/>
                <v:stroke color="#2408F6" joinstyle="miter"/>
                <v:imagedata o:title=""/>
                <o:lock v:ext="edit" aspectratio="f"/>
              </v:shape>
            </w:pict>
          </mc:Fallback>
        </mc:AlternateContent>
      </w:r>
      <w:r>
        <w:rPr>
          <w:color w:val="000000" w:themeColor="text1"/>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154305</wp:posOffset>
            </wp:positionH>
            <wp:positionV relativeFrom="paragraph">
              <wp:posOffset>120650</wp:posOffset>
            </wp:positionV>
            <wp:extent cx="1038225" cy="723900"/>
            <wp:effectExtent l="0" t="0" r="9525"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1"/>
                    <a:stretch>
                      <a:fillRect/>
                    </a:stretch>
                  </pic:blipFill>
                  <pic:spPr>
                    <a:xfrm>
                      <a:off x="0" y="0"/>
                      <a:ext cx="1038225" cy="723900"/>
                    </a:xfrm>
                    <a:prstGeom prst="rect">
                      <a:avLst/>
                    </a:prstGeom>
                    <a:noFill/>
                    <a:ln>
                      <a:noFill/>
                    </a:ln>
                  </pic:spPr>
                </pic:pic>
              </a:graphicData>
            </a:graphic>
          </wp:anchor>
        </w:drawing>
      </w:r>
      <w:r>
        <w:rPr>
          <w:b/>
          <w:color w:val="000000" w:themeColor="text1"/>
          <w:sz w:val="32"/>
          <w:szCs w:val="32"/>
          <w:highlight w:val="none"/>
          <w14:textFill>
            <w14:solidFill>
              <w14:schemeClr w14:val="tx1"/>
            </w14:solidFill>
          </w14:textFill>
        </w:rPr>
        <w:drawing>
          <wp:inline distT="0" distB="0" distL="114300" distR="114300">
            <wp:extent cx="6042660" cy="7331710"/>
            <wp:effectExtent l="19050" t="19050" r="34290" b="21590"/>
            <wp:docPr id="48" name="图片 11" descr="F:\卫东新\环评资料\图件\渑池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descr="F:\卫东新\环评资料\图件\渑池地图.jpg"/>
                    <pic:cNvPicPr>
                      <a:picLocks noChangeAspect="1"/>
                    </pic:cNvPicPr>
                  </pic:nvPicPr>
                  <pic:blipFill>
                    <a:blip r:embed="rId42"/>
                    <a:stretch>
                      <a:fillRect/>
                    </a:stretch>
                  </pic:blipFill>
                  <pic:spPr>
                    <a:xfrm>
                      <a:off x="0" y="0"/>
                      <a:ext cx="6042660" cy="7331710"/>
                    </a:xfrm>
                    <a:prstGeom prst="rect">
                      <a:avLst/>
                    </a:prstGeom>
                    <a:noFill/>
                    <a:ln w="19050" cap="flat" cmpd="sng">
                      <a:solidFill>
                        <a:srgbClr val="000000"/>
                      </a:solidFill>
                      <a:prstDash val="solid"/>
                      <a:miter/>
                      <a:headEnd type="none" w="med" len="med"/>
                      <a:tailEnd type="none" w="med" len="med"/>
                    </a:ln>
                  </pic:spPr>
                </pic:pic>
              </a:graphicData>
            </a:graphic>
          </wp:inline>
        </w:drawing>
      </w:r>
    </w:p>
    <w:p w14:paraId="5E995D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color w:val="000000" w:themeColor="text1"/>
          <w:sz w:val="28"/>
          <w:szCs w:val="28"/>
          <w:highlight w:val="none"/>
          <w:lang w:val="en-US" w:eastAsia="zh-CN"/>
          <w14:textFill>
            <w14:solidFill>
              <w14:schemeClr w14:val="tx1"/>
            </w14:solidFill>
          </w14:textFill>
        </w:rPr>
        <w:sectPr>
          <w:footerReference r:id="rId11" w:type="first"/>
          <w:footerReference r:id="rId10" w:type="default"/>
          <w:pgSz w:w="11906" w:h="16838"/>
          <w:pgMar w:top="1174" w:right="1020" w:bottom="1440" w:left="1191" w:header="964" w:footer="794" w:gutter="0"/>
          <w:pgBorders>
            <w:top w:val="none" w:sz="0" w:space="0"/>
            <w:left w:val="none" w:sz="0" w:space="0"/>
            <w:bottom w:val="none" w:sz="0" w:space="0"/>
            <w:right w:val="none" w:sz="0" w:space="0"/>
          </w:pgBorders>
          <w:pgNumType w:fmt="decimal"/>
          <w:cols w:space="720" w:num="1"/>
          <w:titlePg/>
          <w:rtlGutter w:val="0"/>
          <w:docGrid w:type="linesAndChars" w:linePitch="312" w:charSpace="1115"/>
        </w:sectPr>
      </w:pPr>
      <w:r>
        <w:rPr>
          <w:rFonts w:hint="default" w:ascii="Times New Roman" w:hAnsi="Times New Roman" w:eastAsia="黑体" w:cs="Times New Roman"/>
          <w:color w:val="000000" w:themeColor="text1"/>
          <w:sz w:val="28"/>
          <w:szCs w:val="28"/>
          <w:highlight w:val="none"/>
          <w:lang w:val="en-US" w:eastAsia="zh-CN"/>
          <w14:textFill>
            <w14:solidFill>
              <w14:schemeClr w14:val="tx1"/>
            </w14:solidFill>
          </w14:textFill>
        </w:rPr>
        <w:t>附图1  项目地</w:t>
      </w:r>
      <w:r>
        <w:rPr>
          <w:rFonts w:hint="eastAsia" w:ascii="黑体" w:hAnsi="黑体" w:eastAsia="黑体" w:cs="黑体"/>
          <w:color w:val="000000" w:themeColor="text1"/>
          <w:sz w:val="28"/>
          <w:szCs w:val="28"/>
          <w:highlight w:val="none"/>
          <w:lang w:val="en-US" w:eastAsia="zh-CN"/>
          <w14:textFill>
            <w14:solidFill>
              <w14:schemeClr w14:val="tx1"/>
            </w14:solidFill>
          </w14:textFill>
        </w:rPr>
        <w:t>理位置图</w:t>
      </w:r>
    </w:p>
    <w:p w14:paraId="3681EC05">
      <w:pPr>
        <w:pStyle w:val="180"/>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color w:val="000000" w:themeColor="text1"/>
          <w:highlight w:val="none"/>
          <w14:textFill>
            <w14:solidFill>
              <w14:schemeClr w14:val="tx1"/>
            </w14:solidFill>
          </w14:textFill>
        </w:rPr>
      </w:pPr>
      <w:r>
        <w:rPr>
          <w:sz w:val="21"/>
        </w:rPr>
        <mc:AlternateContent>
          <mc:Choice Requires="wps">
            <w:drawing>
              <wp:anchor distT="0" distB="0" distL="114300" distR="114300" simplePos="0" relativeHeight="251685888" behindDoc="0" locked="0" layoutInCell="1" allowOverlap="1">
                <wp:simplePos x="0" y="0"/>
                <wp:positionH relativeFrom="column">
                  <wp:posOffset>2395855</wp:posOffset>
                </wp:positionH>
                <wp:positionV relativeFrom="paragraph">
                  <wp:posOffset>3764915</wp:posOffset>
                </wp:positionV>
                <wp:extent cx="568325" cy="361950"/>
                <wp:effectExtent l="0" t="0" r="0" b="0"/>
                <wp:wrapNone/>
                <wp:docPr id="145" name="矩形 12"/>
                <wp:cNvGraphicFramePr/>
                <a:graphic xmlns:a="http://schemas.openxmlformats.org/drawingml/2006/main">
                  <a:graphicData uri="http://schemas.microsoft.com/office/word/2010/wordprocessingShape">
                    <wps:wsp>
                      <wps:cNvSpPr/>
                      <wps:spPr>
                        <a:xfrm>
                          <a:off x="0" y="0"/>
                          <a:ext cx="568325" cy="361950"/>
                        </a:xfrm>
                        <a:prstGeom prst="rect">
                          <a:avLst/>
                        </a:prstGeom>
                        <a:noFill/>
                        <a:ln w="25400">
                          <a:noFill/>
                        </a:ln>
                      </wps:spPr>
                      <wps:txbx>
                        <w:txbxContent>
                          <w:p w14:paraId="70F1E447">
                            <w:pPr>
                              <w:rPr>
                                <w:rFonts w:hint="default" w:ascii="Times New Roman" w:hAnsi="Times New Roman" w:eastAsia="宋体" w:cs="Times New Roman"/>
                                <w:b/>
                                <w:bCs/>
                                <w:color w:val="E31FE5"/>
                                <w:highlight w:val="yellow"/>
                                <w:lang w:val="en-US" w:eastAsia="zh-CN"/>
                              </w:rPr>
                            </w:pPr>
                            <w:r>
                              <w:rPr>
                                <w:rFonts w:hint="eastAsia" w:ascii="Times New Roman" w:hAnsi="Times New Roman" w:eastAsia="宋体" w:cs="Times New Roman"/>
                                <w:b/>
                                <w:bCs/>
                                <w:color w:val="E31FE5"/>
                                <w:highlight w:val="yellow"/>
                                <w:lang w:val="en-US" w:eastAsia="zh-CN"/>
                              </w:rPr>
                              <w:t>后窑</w:t>
                            </w:r>
                          </w:p>
                        </w:txbxContent>
                      </wps:txbx>
                      <wps:bodyPr vert="horz" wrap="square" anchor="ctr" anchorCtr="0" upright="1"/>
                    </wps:wsp>
                  </a:graphicData>
                </a:graphic>
              </wp:anchor>
            </w:drawing>
          </mc:Choice>
          <mc:Fallback>
            <w:pict>
              <v:rect id="矩形 12" o:spid="_x0000_s1026" o:spt="1" style="position:absolute;left:0pt;margin-left:188.65pt;margin-top:296.45pt;height:28.5pt;width:44.75pt;z-index:251685888;v-text-anchor:middle;mso-width-relative:page;mso-height-relative:page;" filled="f" stroked="f" coordsize="21600,21600" o:gfxdata="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QdepI2wAAAAsBAAAPAAAAAAAAAAEAIAAAACIA&#10;AABkcnMvZG93bnJldi54bWxQSwECFAAUAAAACACHTuJAWBCP5M0BAACCAwAADgAAAAAAAAABACAA&#10;AAAqAQAAZHJzL2Uyb0RvYy54bWxQSwUGAAAAAAYABgBZAQAAaQUAAAAA&#10;">
                <v:fill on="f" focussize="0,0"/>
                <v:stroke on="f" weight="2pt"/>
                <v:imagedata o:title=""/>
                <o:lock v:ext="edit" aspectratio="f"/>
                <v:textbox>
                  <w:txbxContent>
                    <w:p w14:paraId="70F1E447">
                      <w:pPr>
                        <w:rPr>
                          <w:rFonts w:hint="default" w:ascii="Times New Roman" w:hAnsi="Times New Roman" w:eastAsia="宋体" w:cs="Times New Roman"/>
                          <w:b/>
                          <w:bCs/>
                          <w:color w:val="E31FE5"/>
                          <w:highlight w:val="yellow"/>
                          <w:lang w:val="en-US" w:eastAsia="zh-CN"/>
                        </w:rPr>
                      </w:pPr>
                      <w:r>
                        <w:rPr>
                          <w:rFonts w:hint="eastAsia" w:ascii="Times New Roman" w:hAnsi="Times New Roman" w:eastAsia="宋体" w:cs="Times New Roman"/>
                          <w:b/>
                          <w:bCs/>
                          <w:color w:val="E31FE5"/>
                          <w:highlight w:val="yellow"/>
                          <w:lang w:val="en-US" w:eastAsia="zh-CN"/>
                        </w:rPr>
                        <w:t>后窑</w:t>
                      </w:r>
                    </w:p>
                  </w:txbxContent>
                </v:textbox>
              </v:rect>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1825625</wp:posOffset>
                </wp:positionH>
                <wp:positionV relativeFrom="paragraph">
                  <wp:posOffset>830580</wp:posOffset>
                </wp:positionV>
                <wp:extent cx="1069340" cy="361950"/>
                <wp:effectExtent l="0" t="0" r="0" b="0"/>
                <wp:wrapNone/>
                <wp:docPr id="144" name="矩形 12"/>
                <wp:cNvGraphicFramePr/>
                <a:graphic xmlns:a="http://schemas.openxmlformats.org/drawingml/2006/main">
                  <a:graphicData uri="http://schemas.microsoft.com/office/word/2010/wordprocessingShape">
                    <wps:wsp>
                      <wps:cNvSpPr/>
                      <wps:spPr>
                        <a:xfrm>
                          <a:off x="0" y="0"/>
                          <a:ext cx="1069340" cy="361950"/>
                        </a:xfrm>
                        <a:prstGeom prst="rect">
                          <a:avLst/>
                        </a:prstGeom>
                        <a:noFill/>
                        <a:ln w="25400">
                          <a:noFill/>
                        </a:ln>
                      </wps:spPr>
                      <wps:txbx>
                        <w:txbxContent>
                          <w:p w14:paraId="226CED33">
                            <w:pPr>
                              <w:rPr>
                                <w:rFonts w:hint="default" w:ascii="Times New Roman" w:hAnsi="Times New Roman" w:cs="Times New Roman"/>
                                <w:b/>
                                <w:bCs/>
                                <w:color w:val="E31FE5"/>
                                <w:highlight w:val="yellow"/>
                                <w:lang w:val="en-US" w:eastAsia="zh-CN"/>
                              </w:rPr>
                            </w:pPr>
                            <w:r>
                              <w:rPr>
                                <w:rFonts w:hint="eastAsia" w:ascii="Times New Roman" w:hAnsi="Times New Roman" w:cs="Times New Roman"/>
                                <w:b/>
                                <w:bCs/>
                                <w:color w:val="E31FE5"/>
                                <w:highlight w:val="yellow"/>
                                <w:lang w:val="en-US" w:eastAsia="zh-CN"/>
                              </w:rPr>
                              <w:t>乔岭村</w:t>
                            </w:r>
                          </w:p>
                        </w:txbxContent>
                      </wps:txbx>
                      <wps:bodyPr vert="horz" wrap="square" anchor="ctr" anchorCtr="0" upright="1"/>
                    </wps:wsp>
                  </a:graphicData>
                </a:graphic>
              </wp:anchor>
            </w:drawing>
          </mc:Choice>
          <mc:Fallback>
            <w:pict>
              <v:rect id="矩形 12" o:spid="_x0000_s1026" o:spt="1" style="position:absolute;left:0pt;margin-left:143.75pt;margin-top:65.4pt;height:28.5pt;width:84.2pt;z-index:251684864;v-text-anchor:middle;mso-width-relative:page;mso-height-relative:page;" filled="f" stroked="f" coordsize="21600,21600" o:gfxdata="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pBkfLZAAAACwEAAA8AAAAAAAAAAQAgAAAAIgAA&#10;AGRycy9kb3ducmV2LnhtbFBLAQIUABQAAAAIAIdO4kATU2AwzgEAAIMDAAAOAAAAAAAAAAEAIAAA&#10;ACgBAABkcnMvZTJvRG9jLnhtbFBLBQYAAAAABgAGAFkBAABoBQAAAAA=&#10;">
                <v:fill on="f" focussize="0,0"/>
                <v:stroke on="f" weight="2pt"/>
                <v:imagedata o:title=""/>
                <o:lock v:ext="edit" aspectratio="f"/>
                <v:textbox>
                  <w:txbxContent>
                    <w:p w14:paraId="226CED33">
                      <w:pPr>
                        <w:rPr>
                          <w:rFonts w:hint="default" w:ascii="Times New Roman" w:hAnsi="Times New Roman" w:cs="Times New Roman"/>
                          <w:b/>
                          <w:bCs/>
                          <w:color w:val="E31FE5"/>
                          <w:highlight w:val="yellow"/>
                          <w:lang w:val="en-US" w:eastAsia="zh-CN"/>
                        </w:rPr>
                      </w:pPr>
                      <w:r>
                        <w:rPr>
                          <w:rFonts w:hint="eastAsia" w:ascii="Times New Roman" w:hAnsi="Times New Roman" w:cs="Times New Roman"/>
                          <w:b/>
                          <w:bCs/>
                          <w:color w:val="E31FE5"/>
                          <w:highlight w:val="yellow"/>
                          <w:lang w:val="en-US" w:eastAsia="zh-CN"/>
                        </w:rPr>
                        <w:t>乔岭村</w:t>
                      </w:r>
                    </w:p>
                  </w:txbxContent>
                </v:textbox>
              </v:rect>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4544695</wp:posOffset>
                </wp:positionH>
                <wp:positionV relativeFrom="paragraph">
                  <wp:posOffset>4871085</wp:posOffset>
                </wp:positionV>
                <wp:extent cx="568325" cy="361950"/>
                <wp:effectExtent l="0" t="0" r="0" b="0"/>
                <wp:wrapNone/>
                <wp:docPr id="143" name="矩形 12"/>
                <wp:cNvGraphicFramePr/>
                <a:graphic xmlns:a="http://schemas.openxmlformats.org/drawingml/2006/main">
                  <a:graphicData uri="http://schemas.microsoft.com/office/word/2010/wordprocessingShape">
                    <wps:wsp>
                      <wps:cNvSpPr/>
                      <wps:spPr>
                        <a:xfrm>
                          <a:off x="0" y="0"/>
                          <a:ext cx="568325" cy="361950"/>
                        </a:xfrm>
                        <a:prstGeom prst="rect">
                          <a:avLst/>
                        </a:prstGeom>
                        <a:noFill/>
                        <a:ln w="25400">
                          <a:noFill/>
                        </a:ln>
                      </wps:spPr>
                      <wps:txbx>
                        <w:txbxContent>
                          <w:p w14:paraId="3402F4C5">
                            <w:pPr>
                              <w:rPr>
                                <w:rFonts w:hint="default" w:ascii="Times New Roman" w:hAnsi="Times New Roman" w:eastAsia="宋体" w:cs="Times New Roman"/>
                                <w:b/>
                                <w:bCs/>
                                <w:color w:val="E31FE5"/>
                                <w:highlight w:val="yellow"/>
                                <w:lang w:val="en-US" w:eastAsia="zh-CN"/>
                              </w:rPr>
                            </w:pPr>
                            <w:r>
                              <w:rPr>
                                <w:rFonts w:hint="eastAsia" w:ascii="Times New Roman" w:hAnsi="Times New Roman" w:eastAsia="宋体" w:cs="Times New Roman"/>
                                <w:b/>
                                <w:bCs/>
                                <w:color w:val="E31FE5"/>
                                <w:highlight w:val="yellow"/>
                                <w:lang w:val="en-US" w:eastAsia="zh-CN"/>
                              </w:rPr>
                              <w:t>张家</w:t>
                            </w:r>
                          </w:p>
                        </w:txbxContent>
                      </wps:txbx>
                      <wps:bodyPr vert="horz" wrap="square" anchor="ctr" anchorCtr="0" upright="1"/>
                    </wps:wsp>
                  </a:graphicData>
                </a:graphic>
              </wp:anchor>
            </w:drawing>
          </mc:Choice>
          <mc:Fallback>
            <w:pict>
              <v:rect id="矩形 12" o:spid="_x0000_s1026" o:spt="1" style="position:absolute;left:0pt;margin-left:357.85pt;margin-top:383.55pt;height:28.5pt;width:44.75pt;z-index:251683840;v-text-anchor:middle;mso-width-relative:page;mso-height-relative:page;" filled="f" stroked="f" coordsize="21600,21600" o:gfxdata="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GPOivZAAAACwEAAA8AAAAAAAAAAQAgAAAAIgAA&#10;AGRycy9kb3ducmV2LnhtbFBLAQIUABQAAAAIAIdO4kAbWEuLzgEAAIIDAAAOAAAAAAAAAAEAIAAA&#10;ACgBAABkcnMvZTJvRG9jLnhtbFBLBQYAAAAABgAGAFkBAABoBQAAAAA=&#10;">
                <v:fill on="f" focussize="0,0"/>
                <v:stroke on="f" weight="2pt"/>
                <v:imagedata o:title=""/>
                <o:lock v:ext="edit" aspectratio="f"/>
                <v:textbox>
                  <w:txbxContent>
                    <w:p w14:paraId="3402F4C5">
                      <w:pPr>
                        <w:rPr>
                          <w:rFonts w:hint="default" w:ascii="Times New Roman" w:hAnsi="Times New Roman" w:eastAsia="宋体" w:cs="Times New Roman"/>
                          <w:b/>
                          <w:bCs/>
                          <w:color w:val="E31FE5"/>
                          <w:highlight w:val="yellow"/>
                          <w:lang w:val="en-US" w:eastAsia="zh-CN"/>
                        </w:rPr>
                      </w:pPr>
                      <w:r>
                        <w:rPr>
                          <w:rFonts w:hint="eastAsia" w:ascii="Times New Roman" w:hAnsi="Times New Roman" w:eastAsia="宋体" w:cs="Times New Roman"/>
                          <w:b/>
                          <w:bCs/>
                          <w:color w:val="E31FE5"/>
                          <w:highlight w:val="yellow"/>
                          <w:lang w:val="en-US" w:eastAsia="zh-CN"/>
                        </w:rPr>
                        <w:t>张家</w:t>
                      </w:r>
                    </w:p>
                  </w:txbxContent>
                </v:textbox>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831850</wp:posOffset>
                </wp:positionH>
                <wp:positionV relativeFrom="paragraph">
                  <wp:posOffset>2527935</wp:posOffset>
                </wp:positionV>
                <wp:extent cx="1069340" cy="361950"/>
                <wp:effectExtent l="0" t="0" r="0" b="0"/>
                <wp:wrapNone/>
                <wp:docPr id="142" name="矩形 12"/>
                <wp:cNvGraphicFramePr/>
                <a:graphic xmlns:a="http://schemas.openxmlformats.org/drawingml/2006/main">
                  <a:graphicData uri="http://schemas.microsoft.com/office/word/2010/wordprocessingShape">
                    <wps:wsp>
                      <wps:cNvSpPr/>
                      <wps:spPr>
                        <a:xfrm>
                          <a:off x="0" y="0"/>
                          <a:ext cx="1069340" cy="361950"/>
                        </a:xfrm>
                        <a:prstGeom prst="rect">
                          <a:avLst/>
                        </a:prstGeom>
                        <a:noFill/>
                        <a:ln w="25400">
                          <a:noFill/>
                        </a:ln>
                      </wps:spPr>
                      <wps:txbx>
                        <w:txbxContent>
                          <w:p w14:paraId="6328F0CF">
                            <w:pPr>
                              <w:rPr>
                                <w:rFonts w:hint="eastAsia" w:ascii="Times New Roman" w:hAnsi="Times New Roman" w:cs="Times New Roman"/>
                                <w:b/>
                                <w:bCs/>
                                <w:color w:val="E31FE5"/>
                                <w:highlight w:val="yellow"/>
                                <w:lang w:val="en-US" w:eastAsia="zh-CN"/>
                              </w:rPr>
                            </w:pPr>
                            <w:r>
                              <w:rPr>
                                <w:rFonts w:hint="eastAsia" w:ascii="Times New Roman" w:hAnsi="Times New Roman" w:cs="Times New Roman"/>
                                <w:b/>
                                <w:bCs/>
                                <w:color w:val="E31FE5"/>
                                <w:highlight w:val="yellow"/>
                                <w:lang w:val="en-US" w:eastAsia="zh-CN"/>
                              </w:rPr>
                              <w:t>韶泉社区</w:t>
                            </w:r>
                          </w:p>
                        </w:txbxContent>
                      </wps:txbx>
                      <wps:bodyPr vert="horz" wrap="square" anchor="ctr" anchorCtr="0" upright="1"/>
                    </wps:wsp>
                  </a:graphicData>
                </a:graphic>
              </wp:anchor>
            </w:drawing>
          </mc:Choice>
          <mc:Fallback>
            <w:pict>
              <v:rect id="矩形 12" o:spid="_x0000_s1026" o:spt="1" style="position:absolute;left:0pt;margin-left:65.5pt;margin-top:199.05pt;height:28.5pt;width:84.2pt;z-index:251682816;v-text-anchor:middle;mso-width-relative:page;mso-height-relative:page;" filled="f" stroked="f" coordsize="21600,21600" o:gfxdata="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8u9Q+2gAAAAsBAAAPAAAAAAAAAAEAIAAAACIA&#10;AABkcnMvZG93bnJldi54bWxQSwECFAAUAAAACACHTuJAcYfa384BAACDAwAADgAAAAAAAAABACAA&#10;AAApAQAAZHJzL2Uyb0RvYy54bWxQSwUGAAAAAAYABgBZAQAAaQUAAAAA&#10;">
                <v:fill on="f" focussize="0,0"/>
                <v:stroke on="f" weight="2pt"/>
                <v:imagedata o:title=""/>
                <o:lock v:ext="edit" aspectratio="f"/>
                <v:textbox>
                  <w:txbxContent>
                    <w:p w14:paraId="6328F0CF">
                      <w:pPr>
                        <w:rPr>
                          <w:rFonts w:hint="eastAsia" w:ascii="Times New Roman" w:hAnsi="Times New Roman" w:cs="Times New Roman"/>
                          <w:b/>
                          <w:bCs/>
                          <w:color w:val="E31FE5"/>
                          <w:highlight w:val="yellow"/>
                          <w:lang w:val="en-US" w:eastAsia="zh-CN"/>
                        </w:rPr>
                      </w:pPr>
                      <w:r>
                        <w:rPr>
                          <w:rFonts w:hint="eastAsia" w:ascii="Times New Roman" w:hAnsi="Times New Roman" w:cs="Times New Roman"/>
                          <w:b/>
                          <w:bCs/>
                          <w:color w:val="E31FE5"/>
                          <w:highlight w:val="yellow"/>
                          <w:lang w:val="en-US" w:eastAsia="zh-CN"/>
                        </w:rPr>
                        <w:t>韶泉社区</w:t>
                      </w:r>
                    </w:p>
                  </w:txbxContent>
                </v:textbox>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2549525</wp:posOffset>
                </wp:positionH>
                <wp:positionV relativeFrom="paragraph">
                  <wp:posOffset>3063875</wp:posOffset>
                </wp:positionV>
                <wp:extent cx="1069340" cy="361950"/>
                <wp:effectExtent l="0" t="0" r="0" b="0"/>
                <wp:wrapNone/>
                <wp:docPr id="141" name="矩形 12"/>
                <wp:cNvGraphicFramePr/>
                <a:graphic xmlns:a="http://schemas.openxmlformats.org/drawingml/2006/main">
                  <a:graphicData uri="http://schemas.microsoft.com/office/word/2010/wordprocessingShape">
                    <wps:wsp>
                      <wps:cNvSpPr/>
                      <wps:spPr>
                        <a:xfrm>
                          <a:off x="0" y="0"/>
                          <a:ext cx="1069340" cy="361950"/>
                        </a:xfrm>
                        <a:prstGeom prst="rect">
                          <a:avLst/>
                        </a:prstGeom>
                        <a:noFill/>
                        <a:ln w="25400">
                          <a:noFill/>
                        </a:ln>
                      </wps:spPr>
                      <wps:txbx>
                        <w:txbxContent>
                          <w:p w14:paraId="5D3BDBCE">
                            <w:pPr>
                              <w:rPr>
                                <w:rFonts w:hint="eastAsia" w:ascii="Times New Roman" w:hAnsi="Times New Roman" w:cs="Times New Roman"/>
                                <w:b/>
                                <w:bCs/>
                                <w:color w:val="E31FE5"/>
                                <w:highlight w:val="yellow"/>
                                <w:lang w:val="en-US" w:eastAsia="zh-CN"/>
                              </w:rPr>
                            </w:pPr>
                            <w:r>
                              <w:rPr>
                                <w:rFonts w:hint="eastAsia" w:ascii="Times New Roman" w:hAnsi="Times New Roman" w:cs="Times New Roman"/>
                                <w:b/>
                                <w:bCs/>
                                <w:color w:val="E31FE5"/>
                                <w:highlight w:val="yellow"/>
                                <w:lang w:val="en-US" w:eastAsia="zh-CN"/>
                              </w:rPr>
                              <w:t>翰林实验学校</w:t>
                            </w:r>
                          </w:p>
                        </w:txbxContent>
                      </wps:txbx>
                      <wps:bodyPr vert="horz" wrap="square" anchor="ctr" anchorCtr="0" upright="1"/>
                    </wps:wsp>
                  </a:graphicData>
                </a:graphic>
              </wp:anchor>
            </w:drawing>
          </mc:Choice>
          <mc:Fallback>
            <w:pict>
              <v:rect id="矩形 12" o:spid="_x0000_s1026" o:spt="1" style="position:absolute;left:0pt;margin-left:200.75pt;margin-top:241.25pt;height:28.5pt;width:84.2pt;z-index:251681792;v-text-anchor:middle;mso-width-relative:page;mso-height-relative:page;" filled="f" stroked="f" coordsize="21600,21600" o:gfxdata="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NCwJdgAAAALAQAADwAAAAAAAAABACAAAAAiAAAA&#10;ZHJzL2Rvd25yZXYueG1sUEsBAhQAFAAAAAgAh07iQEDtB6jOAQAAgwMAAA4AAAAAAAAAAQAgAAAA&#10;JwEAAGRycy9lMm9Eb2MueG1sUEsFBgAAAAAGAAYAWQEAAGcFAAAAAA==&#10;">
                <v:fill on="f" focussize="0,0"/>
                <v:stroke on="f" weight="2pt"/>
                <v:imagedata o:title=""/>
                <o:lock v:ext="edit" aspectratio="f"/>
                <v:textbox>
                  <w:txbxContent>
                    <w:p w14:paraId="5D3BDBCE">
                      <w:pPr>
                        <w:rPr>
                          <w:rFonts w:hint="eastAsia" w:ascii="Times New Roman" w:hAnsi="Times New Roman" w:cs="Times New Roman"/>
                          <w:b/>
                          <w:bCs/>
                          <w:color w:val="E31FE5"/>
                          <w:highlight w:val="yellow"/>
                          <w:lang w:val="en-US" w:eastAsia="zh-CN"/>
                        </w:rPr>
                      </w:pPr>
                      <w:r>
                        <w:rPr>
                          <w:rFonts w:hint="eastAsia" w:ascii="Times New Roman" w:hAnsi="Times New Roman" w:cs="Times New Roman"/>
                          <w:b/>
                          <w:bCs/>
                          <w:color w:val="E31FE5"/>
                          <w:highlight w:val="yellow"/>
                          <w:lang w:val="en-US" w:eastAsia="zh-CN"/>
                        </w:rPr>
                        <w:t>翰林实验学校</w:t>
                      </w:r>
                    </w:p>
                  </w:txbxContent>
                </v:textbox>
              </v:rect>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3885565</wp:posOffset>
                </wp:positionH>
                <wp:positionV relativeFrom="paragraph">
                  <wp:posOffset>4305300</wp:posOffset>
                </wp:positionV>
                <wp:extent cx="2021840" cy="1395730"/>
                <wp:effectExtent l="12700" t="12700" r="22860" b="20320"/>
                <wp:wrapNone/>
                <wp:docPr id="140" name="任意多边形 140"/>
                <wp:cNvGraphicFramePr/>
                <a:graphic xmlns:a="http://schemas.openxmlformats.org/drawingml/2006/main">
                  <a:graphicData uri="http://schemas.microsoft.com/office/word/2010/wordprocessingShape">
                    <wps:wsp>
                      <wps:cNvSpPr/>
                      <wps:spPr>
                        <a:xfrm>
                          <a:off x="4799965" y="5061585"/>
                          <a:ext cx="2021840" cy="1395730"/>
                        </a:xfrm>
                        <a:custGeom>
                          <a:avLst/>
                          <a:gdLst>
                            <a:gd name="connisteX0" fmla="*/ 1088390 w 2021840"/>
                            <a:gd name="connsiteY0" fmla="*/ 0 h 1395730"/>
                            <a:gd name="connisteX1" fmla="*/ 1489710 w 2021840"/>
                            <a:gd name="connsiteY1" fmla="*/ 41275 h 1395730"/>
                            <a:gd name="connisteX2" fmla="*/ 1461770 w 2021840"/>
                            <a:gd name="connsiteY2" fmla="*/ 116205 h 1395730"/>
                            <a:gd name="connisteX3" fmla="*/ 1671955 w 2021840"/>
                            <a:gd name="connsiteY3" fmla="*/ 144780 h 1395730"/>
                            <a:gd name="connisteX4" fmla="*/ 1587500 w 2021840"/>
                            <a:gd name="connsiteY4" fmla="*/ 751205 h 1395730"/>
                            <a:gd name="connisteX5" fmla="*/ 2021840 w 2021840"/>
                            <a:gd name="connsiteY5" fmla="*/ 793750 h 1395730"/>
                            <a:gd name="connisteX6" fmla="*/ 1984375 w 2021840"/>
                            <a:gd name="connsiteY6" fmla="*/ 1256030 h 1395730"/>
                            <a:gd name="connisteX7" fmla="*/ 1541145 w 2021840"/>
                            <a:gd name="connsiteY7" fmla="*/ 1223645 h 1395730"/>
                            <a:gd name="connisteX8" fmla="*/ 1456690 w 2021840"/>
                            <a:gd name="connsiteY8" fmla="*/ 1363345 h 1395730"/>
                            <a:gd name="connisteX9" fmla="*/ 1405890 w 2021840"/>
                            <a:gd name="connsiteY9" fmla="*/ 1376680 h 1395730"/>
                            <a:gd name="connisteX10" fmla="*/ 37465 w 2021840"/>
                            <a:gd name="connsiteY10" fmla="*/ 1395730 h 1395730"/>
                            <a:gd name="connisteX11" fmla="*/ 0 w 2021840"/>
                            <a:gd name="connsiteY11" fmla="*/ 737870 h 1395730"/>
                            <a:gd name="connisteX12" fmla="*/ 93345 w 2021840"/>
                            <a:gd name="connsiteY12" fmla="*/ 368300 h 1395730"/>
                            <a:gd name="connisteX13" fmla="*/ 579120 w 2021840"/>
                            <a:gd name="connsiteY13" fmla="*/ 298450 h 1395730"/>
                            <a:gd name="connisteX14" fmla="*/ 668020 w 2021840"/>
                            <a:gd name="connsiteY14" fmla="*/ 313055 h 1395730"/>
                            <a:gd name="connisteX15" fmla="*/ 676910 w 2021840"/>
                            <a:gd name="connsiteY15" fmla="*/ 228600 h 1395730"/>
                            <a:gd name="connisteX16" fmla="*/ 1013460 w 2021840"/>
                            <a:gd name="connsiteY16" fmla="*/ 274955 h 1395730"/>
                            <a:gd name="connisteX17" fmla="*/ 1088390 w 2021840"/>
                            <a:gd name="connsiteY17" fmla="*/ 0 h 13957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Lst>
                          <a:rect l="l" t="t" r="r" b="b"/>
                          <a:pathLst>
                            <a:path w="2021840" h="1395730">
                              <a:moveTo>
                                <a:pt x="1088390" y="0"/>
                              </a:moveTo>
                              <a:lnTo>
                                <a:pt x="1489710" y="41275"/>
                              </a:lnTo>
                              <a:lnTo>
                                <a:pt x="1461770" y="116205"/>
                              </a:lnTo>
                              <a:lnTo>
                                <a:pt x="1671955" y="144780"/>
                              </a:lnTo>
                              <a:lnTo>
                                <a:pt x="1587500" y="751205"/>
                              </a:lnTo>
                              <a:lnTo>
                                <a:pt x="2021840" y="793750"/>
                              </a:lnTo>
                              <a:lnTo>
                                <a:pt x="1984375" y="1256030"/>
                              </a:lnTo>
                              <a:lnTo>
                                <a:pt x="1541145" y="1223645"/>
                              </a:lnTo>
                              <a:lnTo>
                                <a:pt x="1456690" y="1363345"/>
                              </a:lnTo>
                              <a:lnTo>
                                <a:pt x="1405890" y="1376680"/>
                              </a:lnTo>
                              <a:lnTo>
                                <a:pt x="37465" y="1395730"/>
                              </a:lnTo>
                              <a:lnTo>
                                <a:pt x="0" y="737870"/>
                              </a:lnTo>
                              <a:lnTo>
                                <a:pt x="93345" y="368300"/>
                              </a:lnTo>
                              <a:lnTo>
                                <a:pt x="579120" y="298450"/>
                              </a:lnTo>
                              <a:lnTo>
                                <a:pt x="668020" y="313055"/>
                              </a:lnTo>
                              <a:lnTo>
                                <a:pt x="676910" y="228600"/>
                              </a:lnTo>
                              <a:lnTo>
                                <a:pt x="1013460" y="274955"/>
                              </a:lnTo>
                              <a:lnTo>
                                <a:pt x="1088390" y="0"/>
                              </a:lnTo>
                              <a:close/>
                            </a:path>
                          </a:pathLst>
                        </a:custGeom>
                        <a:solidFill>
                          <a:srgbClr val="E31FE5">
                            <a:alpha val="20000"/>
                          </a:srgbClr>
                        </a:solidFill>
                        <a:ln w="12700">
                          <a:solidFill>
                            <a:srgbClr val="E31FE5"/>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05.95pt;margin-top:339pt;height:109.9pt;width:159.2pt;z-index:251680768;mso-width-relative:page;mso-height-relative:page;" fillcolor="#E31FE5" filled="t" stroked="t" coordsize="2021840,1395730" o:gfxdata="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" path="m1088390,0l1489710,41275,1461770,116205,1671955,144780,1587500,751205,2021840,793750,1984375,1256030,1541145,1223645,1456690,1363345,1405890,1376680,37465,1395730,0,737870,93345,368300,579120,298450,668020,313055,676910,228600,1013460,274955,1088390,0xe">
                <v:path o:connectlocs="1088390,0;1489710,41275;1461770,116205;1671955,144780;1587500,751205;2021840,793750;1984375,1256030;1541145,1223645;1456690,1363345;1405890,1376680;37465,1395730;0,737870;93345,368300;579120,298450;668020,313055;676910,228600;1013460,274955;1088390,0" o:connectangles="0,0,0,0,0,0,0,0,0,0,0,0,0,0,0,0,0,0"/>
                <v:fill on="t" opacity="13107f" focussize="0,0"/>
                <v:stroke weight="1pt" color="#E31FE5 [2404]" joinstyle="round"/>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2162810</wp:posOffset>
                </wp:positionH>
                <wp:positionV relativeFrom="paragraph">
                  <wp:posOffset>3548380</wp:posOffset>
                </wp:positionV>
                <wp:extent cx="1279525" cy="868045"/>
                <wp:effectExtent l="6350" t="6350" r="9525" b="20955"/>
                <wp:wrapNone/>
                <wp:docPr id="139" name="任意多边形 139"/>
                <wp:cNvGraphicFramePr/>
                <a:graphic xmlns:a="http://schemas.openxmlformats.org/drawingml/2006/main">
                  <a:graphicData uri="http://schemas.microsoft.com/office/word/2010/wordprocessingShape">
                    <wps:wsp>
                      <wps:cNvSpPr/>
                      <wps:spPr>
                        <a:xfrm>
                          <a:off x="3077210" y="4304665"/>
                          <a:ext cx="1279525" cy="868045"/>
                        </a:xfrm>
                        <a:custGeom>
                          <a:avLst/>
                          <a:gdLst>
                            <a:gd name="connisteX0" fmla="*/ 238125 w 1279525"/>
                            <a:gd name="connsiteY0" fmla="*/ 0 h 868045"/>
                            <a:gd name="connisteX1" fmla="*/ 1279525 w 1279525"/>
                            <a:gd name="connsiteY1" fmla="*/ 223520 h 868045"/>
                            <a:gd name="connisteX2" fmla="*/ 1237615 w 1279525"/>
                            <a:gd name="connsiteY2" fmla="*/ 364490 h 868045"/>
                            <a:gd name="connisteX3" fmla="*/ 1064895 w 1279525"/>
                            <a:gd name="connsiteY3" fmla="*/ 331470 h 868045"/>
                            <a:gd name="connisteX4" fmla="*/ 1017905 w 1279525"/>
                            <a:gd name="connsiteY4" fmla="*/ 453390 h 868045"/>
                            <a:gd name="connisteX5" fmla="*/ 924560 w 1279525"/>
                            <a:gd name="connsiteY5" fmla="*/ 461645 h 868045"/>
                            <a:gd name="connisteX6" fmla="*/ 896620 w 1279525"/>
                            <a:gd name="connsiteY6" fmla="*/ 555625 h 868045"/>
                            <a:gd name="connisteX7" fmla="*/ 831215 w 1279525"/>
                            <a:gd name="connsiteY7" fmla="*/ 555625 h 868045"/>
                            <a:gd name="connisteX8" fmla="*/ 756285 w 1279525"/>
                            <a:gd name="connsiteY8" fmla="*/ 658495 h 868045"/>
                            <a:gd name="connisteX9" fmla="*/ 616585 w 1279525"/>
                            <a:gd name="connsiteY9" fmla="*/ 629920 h 868045"/>
                            <a:gd name="connisteX10" fmla="*/ 541655 w 1279525"/>
                            <a:gd name="connsiteY10" fmla="*/ 868045 h 868045"/>
                            <a:gd name="connisteX11" fmla="*/ 0 w 1279525"/>
                            <a:gd name="connsiteY11" fmla="*/ 737870 h 868045"/>
                            <a:gd name="connisteX12" fmla="*/ 238125 w 1279525"/>
                            <a:gd name="connsiteY12" fmla="*/ 0 h 86804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Lst>
                          <a:rect l="l" t="t" r="r" b="b"/>
                          <a:pathLst>
                            <a:path w="1279525" h="868045">
                              <a:moveTo>
                                <a:pt x="238125" y="0"/>
                              </a:moveTo>
                              <a:lnTo>
                                <a:pt x="1279525" y="223520"/>
                              </a:lnTo>
                              <a:lnTo>
                                <a:pt x="1237615" y="364490"/>
                              </a:lnTo>
                              <a:lnTo>
                                <a:pt x="1064895" y="331470"/>
                              </a:lnTo>
                              <a:lnTo>
                                <a:pt x="1017905" y="453390"/>
                              </a:lnTo>
                              <a:lnTo>
                                <a:pt x="924560" y="461645"/>
                              </a:lnTo>
                              <a:lnTo>
                                <a:pt x="896620" y="555625"/>
                              </a:lnTo>
                              <a:lnTo>
                                <a:pt x="831215" y="555625"/>
                              </a:lnTo>
                              <a:lnTo>
                                <a:pt x="756285" y="658495"/>
                              </a:lnTo>
                              <a:lnTo>
                                <a:pt x="616585" y="629920"/>
                              </a:lnTo>
                              <a:lnTo>
                                <a:pt x="541655" y="868045"/>
                              </a:lnTo>
                              <a:lnTo>
                                <a:pt x="0" y="737870"/>
                              </a:lnTo>
                              <a:lnTo>
                                <a:pt x="238125" y="0"/>
                              </a:lnTo>
                              <a:close/>
                            </a:path>
                          </a:pathLst>
                        </a:custGeom>
                        <a:solidFill>
                          <a:srgbClr val="E31FE5">
                            <a:alpha val="20000"/>
                          </a:srgbClr>
                        </a:solidFill>
                        <a:ln w="12700">
                          <a:solidFill>
                            <a:srgbClr val="E31FE5"/>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70.3pt;margin-top:279.4pt;height:68.35pt;width:100.75pt;z-index:251679744;mso-width-relative:page;mso-height-relative:page;" fillcolor="#E31FE5" filled="t" stroked="t" coordsize="1279525,868045" o:gfxdata="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" path="m238125,0l1279525,223520,1237615,364490,1064895,331470,1017905,453390,924560,461645,896620,555625,831215,555625,756285,658495,616585,629920,541655,868045,0,737870,238125,0xe">
                <v:path o:connectlocs="238125,0;1279525,223520;1237615,364490;1064895,331470;1017905,453390;924560,461645;896620,555625;831215,555625;756285,658495;616585,629920;541655,868045;0,737870;238125,0" o:connectangles="0,0,0,0,0,0,0,0,0,0,0,0,0"/>
                <v:fill on="t" opacity="13107f" focussize="0,0"/>
                <v:stroke weight="1pt" color="#E31FE5 [2404]" joinstyle="round"/>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2386965</wp:posOffset>
                </wp:positionH>
                <wp:positionV relativeFrom="paragraph">
                  <wp:posOffset>2787650</wp:posOffset>
                </wp:positionV>
                <wp:extent cx="1433195" cy="826770"/>
                <wp:effectExtent l="6350" t="6350" r="8255" b="24130"/>
                <wp:wrapNone/>
                <wp:docPr id="138" name="任意多边形 138"/>
                <wp:cNvGraphicFramePr/>
                <a:graphic xmlns:a="http://schemas.openxmlformats.org/drawingml/2006/main">
                  <a:graphicData uri="http://schemas.microsoft.com/office/word/2010/wordprocessingShape">
                    <wps:wsp>
                      <wps:cNvSpPr/>
                      <wps:spPr>
                        <a:xfrm>
                          <a:off x="3301365" y="3543935"/>
                          <a:ext cx="1433195" cy="826770"/>
                        </a:xfrm>
                        <a:custGeom>
                          <a:avLst/>
                          <a:gdLst>
                            <a:gd name="connisteX0" fmla="*/ 210185 w 1433195"/>
                            <a:gd name="connsiteY0" fmla="*/ 0 h 826770"/>
                            <a:gd name="connisteX1" fmla="*/ 1111250 w 1433195"/>
                            <a:gd name="connsiteY1" fmla="*/ 149225 h 826770"/>
                            <a:gd name="connisteX2" fmla="*/ 1251585 w 1433195"/>
                            <a:gd name="connsiteY2" fmla="*/ 355600 h 826770"/>
                            <a:gd name="connisteX3" fmla="*/ 1433195 w 1433195"/>
                            <a:gd name="connsiteY3" fmla="*/ 406400 h 826770"/>
                            <a:gd name="connisteX4" fmla="*/ 1279525 w 1433195"/>
                            <a:gd name="connsiteY4" fmla="*/ 826770 h 826770"/>
                            <a:gd name="connisteX5" fmla="*/ 737870 w 1433195"/>
                            <a:gd name="connsiteY5" fmla="*/ 728980 h 826770"/>
                            <a:gd name="connisteX6" fmla="*/ 704850 w 1433195"/>
                            <a:gd name="connsiteY6" fmla="*/ 812800 h 826770"/>
                            <a:gd name="connisteX7" fmla="*/ 0 w 1433195"/>
                            <a:gd name="connsiteY7" fmla="*/ 663575 h 826770"/>
                            <a:gd name="connisteX8" fmla="*/ 210185 w 1433195"/>
                            <a:gd name="connsiteY8" fmla="*/ 0 h 82677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433195" h="826770">
                              <a:moveTo>
                                <a:pt x="210185" y="0"/>
                              </a:moveTo>
                              <a:lnTo>
                                <a:pt x="1111250" y="149225"/>
                              </a:lnTo>
                              <a:lnTo>
                                <a:pt x="1251585" y="355600"/>
                              </a:lnTo>
                              <a:lnTo>
                                <a:pt x="1433195" y="406400"/>
                              </a:lnTo>
                              <a:lnTo>
                                <a:pt x="1279525" y="826770"/>
                              </a:lnTo>
                              <a:lnTo>
                                <a:pt x="737870" y="728980"/>
                              </a:lnTo>
                              <a:lnTo>
                                <a:pt x="704850" y="812800"/>
                              </a:lnTo>
                              <a:lnTo>
                                <a:pt x="0" y="663575"/>
                              </a:lnTo>
                              <a:lnTo>
                                <a:pt x="210185" y="0"/>
                              </a:lnTo>
                              <a:close/>
                            </a:path>
                          </a:pathLst>
                        </a:custGeom>
                        <a:solidFill>
                          <a:srgbClr val="E31FE5">
                            <a:alpha val="20000"/>
                          </a:srgbClr>
                        </a:solidFill>
                        <a:ln w="12700">
                          <a:solidFill>
                            <a:srgbClr val="E31FE5"/>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87.95pt;margin-top:219.5pt;height:65.1pt;width:112.85pt;z-index:251678720;mso-width-relative:page;mso-height-relative:page;" fillcolor="#E31FE5" filled="t" stroked="t" coordsize="1433195,826770" o:gfxdata="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Ek4i6zbAAAACwEAAA8AAAAAAAAAAQAgAAAAIgAAAGRycy9kb3ducmV2LnhtbFBLAQIUABQA&#10;AAAIAIdO4kBVjMNrtQMAANoLAAAOAAAAAAAAAAEAIAAAACoBAABkcnMvZTJvRG9jLnhtbFBLBQYA&#10;AAAABgAGAFkBAABRBwAAAAA=&#10;" path="m210185,0l1111250,149225,1251585,355600,1433195,406400,1279525,826770,737870,728980,704850,812800,0,663575,210185,0xe">
                <v:path o:connectlocs="210185,0;1111250,149225;1251585,355600;1433195,406400;1279525,826770;737870,728980;704850,812800;0,663575;210185,0" o:connectangles="0,0,0,0,0,0,0,0,0"/>
                <v:fill on="t" opacity="13107f" focussize="0,0"/>
                <v:stroke weight="1pt" color="#E31FE5 [2404]" joinstyle="round"/>
                <v:imagedata o:title=""/>
                <o:lock v:ext="edit" aspectratio="f"/>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211455</wp:posOffset>
                </wp:positionH>
                <wp:positionV relativeFrom="paragraph">
                  <wp:posOffset>1720850</wp:posOffset>
                </wp:positionV>
                <wp:extent cx="2273300" cy="1652905"/>
                <wp:effectExtent l="6350" t="6350" r="6350" b="17145"/>
                <wp:wrapNone/>
                <wp:docPr id="137" name="任意多边形 137"/>
                <wp:cNvGraphicFramePr/>
                <a:graphic xmlns:a="http://schemas.openxmlformats.org/drawingml/2006/main">
                  <a:graphicData uri="http://schemas.microsoft.com/office/word/2010/wordprocessingShape">
                    <wps:wsp>
                      <wps:cNvSpPr/>
                      <wps:spPr>
                        <a:xfrm>
                          <a:off x="1125855" y="2477135"/>
                          <a:ext cx="2273300" cy="1652905"/>
                        </a:xfrm>
                        <a:custGeom>
                          <a:avLst/>
                          <a:gdLst>
                            <a:gd name="connisteX0" fmla="*/ 447675 w 2273300"/>
                            <a:gd name="connsiteY0" fmla="*/ 0 h 1652905"/>
                            <a:gd name="connisteX1" fmla="*/ 1414145 w 2273300"/>
                            <a:gd name="connsiteY1" fmla="*/ 144780 h 1652905"/>
                            <a:gd name="connisteX2" fmla="*/ 1246505 w 2273300"/>
                            <a:gd name="connsiteY2" fmla="*/ 779780 h 1652905"/>
                            <a:gd name="connisteX3" fmla="*/ 2273300 w 2273300"/>
                            <a:gd name="connsiteY3" fmla="*/ 1031875 h 1652905"/>
                            <a:gd name="connisteX4" fmla="*/ 2068195 w 2273300"/>
                            <a:gd name="connsiteY4" fmla="*/ 1652905 h 1652905"/>
                            <a:gd name="connisteX5" fmla="*/ 0 w 2273300"/>
                            <a:gd name="connsiteY5" fmla="*/ 1195705 h 1652905"/>
                            <a:gd name="connisteX6" fmla="*/ 447675 w 2273300"/>
                            <a:gd name="connsiteY6" fmla="*/ 0 h 16529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2273300" h="1652905">
                              <a:moveTo>
                                <a:pt x="447675" y="0"/>
                              </a:moveTo>
                              <a:lnTo>
                                <a:pt x="1414145" y="144780"/>
                              </a:lnTo>
                              <a:lnTo>
                                <a:pt x="1246505" y="779780"/>
                              </a:lnTo>
                              <a:lnTo>
                                <a:pt x="2273300" y="1031875"/>
                              </a:lnTo>
                              <a:lnTo>
                                <a:pt x="2068195" y="1652905"/>
                              </a:lnTo>
                              <a:lnTo>
                                <a:pt x="0" y="1195705"/>
                              </a:lnTo>
                              <a:lnTo>
                                <a:pt x="447675" y="0"/>
                              </a:lnTo>
                              <a:close/>
                            </a:path>
                          </a:pathLst>
                        </a:custGeom>
                        <a:solidFill>
                          <a:srgbClr val="E31FE5">
                            <a:alpha val="20000"/>
                          </a:srgbClr>
                        </a:solidFill>
                        <a:ln w="12700">
                          <a:solidFill>
                            <a:srgbClr val="E31FE5"/>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6.65pt;margin-top:135.5pt;height:130.15pt;width:179pt;z-index:251677696;mso-width-relative:page;mso-height-relative:page;" fillcolor="#E31FE5" filled="t" stroked="t" coordsize="2273300,1652905" o:gfxdata="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X/DxjNgA&#10;AAAKAQAADwAAAAAAAAABACAAAAAiAAAAZHJzL2Rvd25yZXYueG1sUEsBAhQAFAAAAAgAh07iQOiO&#10;m3Z1AwAARQoAAA4AAAAAAAAAAQAgAAAAJwEAAGRycy9lMm9Eb2MueG1sUEsFBgAAAAAGAAYAWQEA&#10;AA4HAAAAAA==&#10;" path="m447675,0l1414145,144780,1246505,779780,2273300,1031875,2068195,1652905,0,1195705,447675,0xe">
                <v:path o:connectlocs="447675,0;1414145,144780;1246505,779780;2273300,1031875;2068195,1652905;0,1195705;447675,0" o:connectangles="0,0,0,0,0,0,0"/>
                <v:fill on="t" opacity="13107f" focussize="0,0"/>
                <v:stroke weight="1pt" color="#E31FE5 [2404]" joinstyle="round"/>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827405</wp:posOffset>
                </wp:positionH>
                <wp:positionV relativeFrom="paragraph">
                  <wp:posOffset>1905</wp:posOffset>
                </wp:positionV>
                <wp:extent cx="2778125" cy="1873250"/>
                <wp:effectExtent l="6350" t="6350" r="15875" b="6350"/>
                <wp:wrapNone/>
                <wp:docPr id="135" name="任意多边形 135"/>
                <wp:cNvGraphicFramePr/>
                <a:graphic xmlns:a="http://schemas.openxmlformats.org/drawingml/2006/main">
                  <a:graphicData uri="http://schemas.microsoft.com/office/word/2010/wordprocessingShape">
                    <wps:wsp>
                      <wps:cNvSpPr/>
                      <wps:spPr>
                        <a:xfrm>
                          <a:off x="1741805" y="758190"/>
                          <a:ext cx="2778125" cy="1873250"/>
                        </a:xfrm>
                        <a:custGeom>
                          <a:avLst/>
                          <a:gdLst>
                            <a:gd name="connisteX0" fmla="*/ 2162175 w 2778125"/>
                            <a:gd name="connsiteY0" fmla="*/ 0 h 1873250"/>
                            <a:gd name="connisteX1" fmla="*/ 2362835 w 2778125"/>
                            <a:gd name="connsiteY1" fmla="*/ 388620 h 1873250"/>
                            <a:gd name="connisteX2" fmla="*/ 2315845 w 2778125"/>
                            <a:gd name="connsiteY2" fmla="*/ 668020 h 1873250"/>
                            <a:gd name="connisteX3" fmla="*/ 2143125 w 2778125"/>
                            <a:gd name="connsiteY3" fmla="*/ 648970 h 1873250"/>
                            <a:gd name="connisteX4" fmla="*/ 2054225 w 2778125"/>
                            <a:gd name="connsiteY4" fmla="*/ 737870 h 1873250"/>
                            <a:gd name="connisteX5" fmla="*/ 1844675 w 2778125"/>
                            <a:gd name="connsiteY5" fmla="*/ 701040 h 1873250"/>
                            <a:gd name="connisteX6" fmla="*/ 1746250 w 2778125"/>
                            <a:gd name="connsiteY6" fmla="*/ 925195 h 1873250"/>
                            <a:gd name="connisteX7" fmla="*/ 2017395 w 2778125"/>
                            <a:gd name="connsiteY7" fmla="*/ 975995 h 1873250"/>
                            <a:gd name="connisteX8" fmla="*/ 1946910 w 2778125"/>
                            <a:gd name="connsiteY8" fmla="*/ 1355090 h 1873250"/>
                            <a:gd name="connisteX9" fmla="*/ 2778125 w 2778125"/>
                            <a:gd name="connsiteY9" fmla="*/ 1442720 h 1873250"/>
                            <a:gd name="connisteX10" fmla="*/ 2633345 w 2778125"/>
                            <a:gd name="connsiteY10" fmla="*/ 1873250 h 1873250"/>
                            <a:gd name="connisteX11" fmla="*/ 1835150 w 2778125"/>
                            <a:gd name="connsiteY11" fmla="*/ 1784350 h 1873250"/>
                            <a:gd name="connisteX12" fmla="*/ 1788160 w 2778125"/>
                            <a:gd name="connsiteY12" fmla="*/ 1835150 h 1873250"/>
                            <a:gd name="connisteX13" fmla="*/ 546100 w 2778125"/>
                            <a:gd name="connsiteY13" fmla="*/ 1569720 h 1873250"/>
                            <a:gd name="connisteX14" fmla="*/ 630555 w 2778125"/>
                            <a:gd name="connsiteY14" fmla="*/ 1031875 h 1873250"/>
                            <a:gd name="connisteX15" fmla="*/ 490220 w 2778125"/>
                            <a:gd name="connsiteY15" fmla="*/ 985520 h 1873250"/>
                            <a:gd name="connisteX16" fmla="*/ 415925 w 2778125"/>
                            <a:gd name="connsiteY16" fmla="*/ 1158875 h 1873250"/>
                            <a:gd name="connisteX17" fmla="*/ 289560 w 2778125"/>
                            <a:gd name="connsiteY17" fmla="*/ 1130300 h 1873250"/>
                            <a:gd name="connisteX18" fmla="*/ 289560 w 2778125"/>
                            <a:gd name="connsiteY18" fmla="*/ 990600 h 1873250"/>
                            <a:gd name="connisteX19" fmla="*/ 0 w 2778125"/>
                            <a:gd name="connsiteY19" fmla="*/ 958215 h 1873250"/>
                            <a:gd name="connisteX20" fmla="*/ 102870 w 2778125"/>
                            <a:gd name="connsiteY20" fmla="*/ 673100 h 1873250"/>
                            <a:gd name="connisteX21" fmla="*/ 410845 w 2778125"/>
                            <a:gd name="connsiteY21" fmla="*/ 701040 h 1873250"/>
                            <a:gd name="connisteX22" fmla="*/ 499745 w 2778125"/>
                            <a:gd name="connsiteY22" fmla="*/ 523875 h 1873250"/>
                            <a:gd name="connisteX23" fmla="*/ 1134745 w 2778125"/>
                            <a:gd name="connsiteY23" fmla="*/ 612140 h 1873250"/>
                            <a:gd name="connisteX24" fmla="*/ 1303020 w 2778125"/>
                            <a:gd name="connsiteY24" fmla="*/ 19050 h 1873250"/>
                            <a:gd name="connisteX25" fmla="*/ 2162175 w 2778125"/>
                            <a:gd name="connsiteY25" fmla="*/ 0 h 18732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Lst>
                          <a:rect l="l" t="t" r="r" b="b"/>
                          <a:pathLst>
                            <a:path w="2778125" h="1873250">
                              <a:moveTo>
                                <a:pt x="2162175" y="0"/>
                              </a:moveTo>
                              <a:lnTo>
                                <a:pt x="2362835" y="388620"/>
                              </a:lnTo>
                              <a:lnTo>
                                <a:pt x="2315845" y="668020"/>
                              </a:lnTo>
                              <a:lnTo>
                                <a:pt x="2143125" y="648970"/>
                              </a:lnTo>
                              <a:lnTo>
                                <a:pt x="2054225" y="737870"/>
                              </a:lnTo>
                              <a:lnTo>
                                <a:pt x="1844675" y="701040"/>
                              </a:lnTo>
                              <a:lnTo>
                                <a:pt x="1746250" y="925195"/>
                              </a:lnTo>
                              <a:lnTo>
                                <a:pt x="2017395" y="975995"/>
                              </a:lnTo>
                              <a:lnTo>
                                <a:pt x="1946910" y="1355090"/>
                              </a:lnTo>
                              <a:lnTo>
                                <a:pt x="2778125" y="1442720"/>
                              </a:lnTo>
                              <a:lnTo>
                                <a:pt x="2633345" y="1873250"/>
                              </a:lnTo>
                              <a:lnTo>
                                <a:pt x="1835150" y="1784350"/>
                              </a:lnTo>
                              <a:lnTo>
                                <a:pt x="1788160" y="1835150"/>
                              </a:lnTo>
                              <a:lnTo>
                                <a:pt x="546100" y="1569720"/>
                              </a:lnTo>
                              <a:lnTo>
                                <a:pt x="630555" y="1031875"/>
                              </a:lnTo>
                              <a:lnTo>
                                <a:pt x="490220" y="985520"/>
                              </a:lnTo>
                              <a:lnTo>
                                <a:pt x="415925" y="1158875"/>
                              </a:lnTo>
                              <a:lnTo>
                                <a:pt x="289560" y="1130300"/>
                              </a:lnTo>
                              <a:lnTo>
                                <a:pt x="289560" y="990600"/>
                              </a:lnTo>
                              <a:lnTo>
                                <a:pt x="0" y="958215"/>
                              </a:lnTo>
                              <a:lnTo>
                                <a:pt x="102870" y="673100"/>
                              </a:lnTo>
                              <a:lnTo>
                                <a:pt x="410845" y="701040"/>
                              </a:lnTo>
                              <a:lnTo>
                                <a:pt x="499745" y="523875"/>
                              </a:lnTo>
                              <a:lnTo>
                                <a:pt x="1134745" y="612140"/>
                              </a:lnTo>
                              <a:lnTo>
                                <a:pt x="1303020" y="19050"/>
                              </a:lnTo>
                              <a:lnTo>
                                <a:pt x="2162175" y="0"/>
                              </a:lnTo>
                              <a:close/>
                            </a:path>
                          </a:pathLst>
                        </a:custGeom>
                        <a:solidFill>
                          <a:srgbClr val="E31FE5">
                            <a:alpha val="20000"/>
                          </a:srgbClr>
                        </a:solidFill>
                        <a:ln w="12700">
                          <a:solidFill>
                            <a:srgbClr val="E31FE5"/>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65.15pt;margin-top:0.15pt;height:147.5pt;width:218.75pt;z-index:251676672;mso-width-relative:page;mso-height-relative:page;" fillcolor="#E31FE5" filled="t" stroked="t" coordsize="2778125,1873250" o:gfxdata="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IbHEOrWAAAACAEAAA8AAAAAAAAA&#10;AQAgAAAAIgAAAGRycy9kb3ducmV2LnhtbFBLAQIUABQAAAAIAIdO4kBMr3CO3AUAAE8aAAAOAAAA&#10;AAAAAAEAIAAAACUBAABkcnMvZTJvRG9jLnhtbFBLBQYAAAAABgAGAFkBAABzCQAAAAA=&#10;" path="m2162175,0l2362835,388620,2315845,668020,2143125,648970,2054225,737870,1844675,701040,1746250,925195,2017395,975995,1946910,1355090,2778125,1442720,2633345,1873250,1835150,1784350,1788160,1835150,546100,1569720,630555,1031875,490220,985520,415925,1158875,289560,1130300,289560,990600,0,958215,102870,673100,410845,701040,499745,523875,1134745,612140,1303020,19050,2162175,0xe">
                <v:path o:connectlocs="2162175,0;2362835,388620;2315845,668020;2143125,648970;2054225,737870;1844675,701040;1746250,925195;2017395,975995;1946910,1355090;2778125,1442720;2633345,1873250;1835150,1784350;1788160,1835150;546100,1569720;630555,1031875;490220,985520;415925,1158875;289560,1130300;289560,990600;0,958215;102870,673100;410845,701040;499745,523875;1134745,612140;1303020,19050;2162175,0" o:connectangles="0,0,0,0,0,0,0,0,0,0,0,0,0,0,0,0,0,0,0,0,0,0,0,0,0,0"/>
                <v:fill on="t" opacity="13107f" focussize="0,0"/>
                <v:stroke weight="1pt" color="#E31FE5 [2404]" joinstyle="round"/>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4711065</wp:posOffset>
                </wp:positionH>
                <wp:positionV relativeFrom="paragraph">
                  <wp:posOffset>2794000</wp:posOffset>
                </wp:positionV>
                <wp:extent cx="2087880" cy="601980"/>
                <wp:effectExtent l="1905" t="6350" r="5715" b="20320"/>
                <wp:wrapNone/>
                <wp:docPr id="94" name="直接箭头连接符 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2087880" cy="601980"/>
                        </a:xfrm>
                        <a:prstGeom prst="straightConnector1">
                          <a:avLst/>
                        </a:prstGeom>
                        <a:ln w="12700">
                          <a:solidFill>
                            <a:srgbClr val="FFFF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70.95pt;margin-top:220pt;height:47.4pt;width:164.4pt;z-index:251670528;mso-width-relative:page;mso-height-relative:page;" filled="f" stroked="t" coordsize="21600,21600" o:gfxdata="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zWfE9wAAAAMAQAADwAAAAAAAAABACAAAAAiAAAAZHJzL2Rvd25yZXYueG1s&#10;UEsBAhQAFAAAAAgAh07iQEOzA4AtAgAAKwQAAA4AAAAAAAAAAQAgAAAAKwEAAGRycy9lMm9Eb2Mu&#10;eG1sUEsFBgAAAAAGAAYAWQEAAMoFAAAAAA==&#10;">
                <v:fill on="f" focussize="0,0"/>
                <v:stroke weight="1pt" color="#FFFF00 [3204]" joinstyle="round" endarrow="block"/>
                <v:imagedata o:title=""/>
                <o:lock v:ext="edit" aspectratio="t"/>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5358765</wp:posOffset>
                </wp:positionH>
                <wp:positionV relativeFrom="paragraph">
                  <wp:posOffset>2758440</wp:posOffset>
                </wp:positionV>
                <wp:extent cx="610870" cy="361950"/>
                <wp:effectExtent l="0" t="0" r="0" b="0"/>
                <wp:wrapNone/>
                <wp:docPr id="96" name="矩形 12"/>
                <wp:cNvGraphicFramePr/>
                <a:graphic xmlns:a="http://schemas.openxmlformats.org/drawingml/2006/main">
                  <a:graphicData uri="http://schemas.microsoft.com/office/word/2010/wordprocessingShape">
                    <wps:wsp>
                      <wps:cNvSpPr/>
                      <wps:spPr>
                        <a:xfrm>
                          <a:off x="0" y="0"/>
                          <a:ext cx="610870" cy="361950"/>
                        </a:xfrm>
                        <a:prstGeom prst="rect">
                          <a:avLst/>
                        </a:prstGeom>
                        <a:noFill/>
                        <a:ln w="25400">
                          <a:noFill/>
                        </a:ln>
                      </wps:spPr>
                      <wps:txbx>
                        <w:txbxContent>
                          <w:p w14:paraId="610EAB6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bCs/>
                                <w:color w:val="FFFF00"/>
                                <w:highlight w:val="none"/>
                                <w:lang w:val="en-US" w:eastAsia="zh-CN"/>
                              </w:rPr>
                            </w:pPr>
                            <w:r>
                              <w:rPr>
                                <w:rFonts w:hint="eastAsia" w:ascii="Times New Roman" w:hAnsi="Times New Roman" w:cs="Times New Roman"/>
                                <w:b/>
                                <w:bCs/>
                                <w:color w:val="FFFF00"/>
                                <w:highlight w:val="none"/>
                                <w:lang w:val="en-US" w:eastAsia="zh-CN"/>
                              </w:rPr>
                              <w:t>500m</w:t>
                            </w:r>
                          </w:p>
                        </w:txbxContent>
                      </wps:txbx>
                      <wps:bodyPr vert="horz" wrap="square" anchor="ctr" anchorCtr="0" upright="1"/>
                    </wps:wsp>
                  </a:graphicData>
                </a:graphic>
              </wp:anchor>
            </w:drawing>
          </mc:Choice>
          <mc:Fallback>
            <w:pict>
              <v:rect id="矩形 12" o:spid="_x0000_s1026" o:spt="1" style="position:absolute;left:0pt;margin-left:421.95pt;margin-top:217.2pt;height:28.5pt;width:48.1pt;z-index:251672576;v-text-anchor:middle;mso-width-relative:page;mso-height-relative:page;" filled="f" stroked="f" coordsize="21600,21600" o:gfxdata="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qc6JdkAAAALAQAADwAAAAAAAAABACAAAAAiAAAA&#10;ZHJzL2Rvd25yZXYueG1sUEsBAhQAFAAAAAgAh07iQBUatfrNAQAAgQMAAA4AAAAAAAAAAQAgAAAA&#10;KAEAAGRycy9lMm9Eb2MueG1sUEsFBgAAAAAGAAYAWQEAAGcFAAAAAA==&#10;">
                <v:fill on="f" focussize="0,0"/>
                <v:stroke on="f" weight="2pt"/>
                <v:imagedata o:title=""/>
                <o:lock v:ext="edit" aspectratio="f"/>
                <v:textbox>
                  <w:txbxContent>
                    <w:p w14:paraId="610EAB6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bCs/>
                          <w:color w:val="FFFF00"/>
                          <w:highlight w:val="none"/>
                          <w:lang w:val="en-US" w:eastAsia="zh-CN"/>
                        </w:rPr>
                      </w:pPr>
                      <w:r>
                        <w:rPr>
                          <w:rFonts w:hint="eastAsia" w:ascii="Times New Roman" w:hAnsi="Times New Roman" w:cs="Times New Roman"/>
                          <w:b/>
                          <w:bCs/>
                          <w:color w:val="FFFF00"/>
                          <w:highlight w:val="none"/>
                          <w:lang w:val="en-US" w:eastAsia="zh-CN"/>
                        </w:rPr>
                        <w:t>500m</w:t>
                      </w:r>
                    </w:p>
                  </w:txbxContent>
                </v:textbox>
              </v:rect>
            </w:pict>
          </mc:Fallback>
        </mc:AlternateContent>
      </w:r>
      <w:r>
        <w:rPr>
          <w:sz w:val="24"/>
        </w:rPr>
        <mc:AlternateContent>
          <mc:Choice Requires="wpg">
            <w:drawing>
              <wp:anchor distT="0" distB="0" distL="114300" distR="114300" simplePos="0" relativeHeight="251675648" behindDoc="0" locked="0" layoutInCell="1" allowOverlap="1">
                <wp:simplePos x="0" y="0"/>
                <wp:positionH relativeFrom="column">
                  <wp:posOffset>7378065</wp:posOffset>
                </wp:positionH>
                <wp:positionV relativeFrom="paragraph">
                  <wp:posOffset>5042535</wp:posOffset>
                </wp:positionV>
                <wp:extent cx="1267460" cy="317500"/>
                <wp:effectExtent l="0" t="0" r="0" b="3175"/>
                <wp:wrapNone/>
                <wp:docPr id="134" name="组合 134"/>
                <wp:cNvGraphicFramePr/>
                <a:graphic xmlns:a="http://schemas.openxmlformats.org/drawingml/2006/main">
                  <a:graphicData uri="http://schemas.microsoft.com/office/word/2010/wordprocessingGroup">
                    <wpg:wgp>
                      <wpg:cNvGrpSpPr/>
                      <wpg:grpSpPr>
                        <a:xfrm>
                          <a:off x="0" y="0"/>
                          <a:ext cx="1267460" cy="317500"/>
                          <a:chOff x="13342" y="1335063"/>
                          <a:chExt cx="1996" cy="500"/>
                        </a:xfrm>
                      </wpg:grpSpPr>
                      <wps:wsp>
                        <wps:cNvPr id="129" name="直接连接符 129"/>
                        <wps:cNvCnPr/>
                        <wps:spPr>
                          <a:xfrm>
                            <a:off x="13931" y="1335551"/>
                            <a:ext cx="703" cy="1"/>
                          </a:xfrm>
                          <a:prstGeom prst="line">
                            <a:avLst/>
                          </a:prstGeom>
                          <a:ln w="19050" cap="flat" cmpd="sng">
                            <a:solidFill>
                              <a:srgbClr val="FFFF00"/>
                            </a:solidFill>
                            <a:prstDash val="solid"/>
                            <a:headEnd type="none" w="med" len="med"/>
                            <a:tailEnd type="none" w="med" len="med"/>
                          </a:ln>
                        </wps:spPr>
                        <wps:bodyPr upright="1"/>
                      </wps:wsp>
                      <wps:wsp>
                        <wps:cNvPr id="130" name="直接连接符 130"/>
                        <wps:cNvCnPr/>
                        <wps:spPr>
                          <a:xfrm>
                            <a:off x="13943" y="1335450"/>
                            <a:ext cx="1" cy="109"/>
                          </a:xfrm>
                          <a:prstGeom prst="line">
                            <a:avLst/>
                          </a:prstGeom>
                          <a:ln w="19050" cap="flat" cmpd="sng">
                            <a:solidFill>
                              <a:srgbClr val="FFFF00"/>
                            </a:solidFill>
                            <a:prstDash val="solid"/>
                            <a:headEnd type="none" w="med" len="med"/>
                            <a:tailEnd type="none" w="med" len="med"/>
                          </a:ln>
                        </wps:spPr>
                        <wps:bodyPr upright="1"/>
                      </wps:wsp>
                      <wps:wsp>
                        <wps:cNvPr id="131" name="直接连接符 131"/>
                        <wps:cNvCnPr/>
                        <wps:spPr>
                          <a:xfrm>
                            <a:off x="14628" y="1335455"/>
                            <a:ext cx="1" cy="109"/>
                          </a:xfrm>
                          <a:prstGeom prst="line">
                            <a:avLst/>
                          </a:prstGeom>
                          <a:ln w="19050" cap="flat" cmpd="sng">
                            <a:solidFill>
                              <a:srgbClr val="FFFF00"/>
                            </a:solidFill>
                            <a:prstDash val="solid"/>
                            <a:headEnd type="none" w="med" len="med"/>
                            <a:tailEnd type="none" w="med" len="med"/>
                          </a:ln>
                        </wps:spPr>
                        <wps:bodyPr upright="1"/>
                      </wps:wsp>
                      <wps:wsp>
                        <wps:cNvPr id="132" name="文本框 132"/>
                        <wps:cNvSpPr txBox="1"/>
                        <wps:spPr>
                          <a:xfrm>
                            <a:off x="13342" y="1335063"/>
                            <a:ext cx="1997" cy="431"/>
                          </a:xfrm>
                          <a:prstGeom prst="rect">
                            <a:avLst/>
                          </a:prstGeom>
                          <a:noFill/>
                          <a:ln w="6350">
                            <a:noFill/>
                          </a:ln>
                        </wps:spPr>
                        <wps:txbx>
                          <w:txbxContent>
                            <w:p w14:paraId="49D25523">
                              <w:pPr>
                                <w:ind w:firstLine="422" w:firstLineChars="200"/>
                                <w:rPr>
                                  <w:rFonts w:hint="default" w:ascii="Times New Roman" w:hAnsi="Times New Roman" w:cs="Times New Roman"/>
                                  <w:b/>
                                  <w:bCs/>
                                  <w:color w:val="FFFF00"/>
                                  <w:szCs w:val="21"/>
                                </w:rPr>
                              </w:pPr>
                              <w:r>
                                <w:rPr>
                                  <w:rFonts w:hint="default" w:ascii="Times New Roman" w:hAnsi="Times New Roman" w:cs="Times New Roman"/>
                                  <w:b/>
                                  <w:bCs/>
                                  <w:color w:val="FFFF00"/>
                                  <w:szCs w:val="21"/>
                                </w:rPr>
                                <w:t xml:space="preserve">0 </w:t>
                              </w:r>
                              <w:r>
                                <w:rPr>
                                  <w:rFonts w:hint="eastAsia" w:ascii="Times New Roman" w:hAnsi="Times New Roman" w:cs="Times New Roman"/>
                                  <w:b/>
                                  <w:bCs/>
                                  <w:color w:val="FFFF00"/>
                                  <w:szCs w:val="21"/>
                                  <w:lang w:val="en-US" w:eastAsia="zh-CN"/>
                                </w:rPr>
                                <w:t xml:space="preserve">  </w:t>
                              </w:r>
                              <w:r>
                                <w:rPr>
                                  <w:rFonts w:hint="default" w:ascii="Times New Roman" w:hAnsi="Times New Roman" w:cs="Times New Roman"/>
                                  <w:b/>
                                  <w:bCs/>
                                  <w:color w:val="FFFF00"/>
                                  <w:szCs w:val="21"/>
                                </w:rPr>
                                <w:t xml:space="preserve"> </w:t>
                              </w:r>
                              <w:r>
                                <w:rPr>
                                  <w:rFonts w:hint="eastAsia" w:ascii="Times New Roman" w:hAnsi="Times New Roman" w:cs="Times New Roman"/>
                                  <w:b/>
                                  <w:bCs/>
                                  <w:color w:val="FFFF00"/>
                                  <w:szCs w:val="21"/>
                                  <w:lang w:val="en-US" w:eastAsia="zh-CN"/>
                                </w:rPr>
                                <w:t>10</w:t>
                              </w:r>
                              <w:r>
                                <w:rPr>
                                  <w:rFonts w:hint="default" w:ascii="Times New Roman" w:hAnsi="Times New Roman" w:cs="Times New Roman"/>
                                  <w:b/>
                                  <w:bCs/>
                                  <w:color w:val="FFFF00"/>
                                  <w:szCs w:val="21"/>
                                </w:rPr>
                                <w:t>0m</w:t>
                              </w:r>
                            </w:p>
                          </w:txbxContent>
                        </wps:txbx>
                        <wps:bodyPr upright="1"/>
                      </wps:wsp>
                    </wpg:wgp>
                  </a:graphicData>
                </a:graphic>
              </wp:anchor>
            </w:drawing>
          </mc:Choice>
          <mc:Fallback>
            <w:pict>
              <v:group id="_x0000_s1026" o:spid="_x0000_s1026" o:spt="203" style="position:absolute;left:0pt;margin-left:580.95pt;margin-top:397.05pt;height:25pt;width:99.8pt;z-index:251675648;mso-width-relative:page;mso-height-relative:page;" coordorigin="13342,1335063" coordsize="1996,500" o:gfxdata="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CWkZ4k2wAAAA0BAAAPAAAAAAAAAAEAIAAAACIA&#10;AABkcnMvZG93bnJldi54bWxQSwECFAAUAAAACACHTuJA52LdUyMDAADJCgAADgAAAAAAAAABACAA&#10;AAAqAQAAZHJzL2Uyb0RvYy54bWxQSwUGAAAAAAYABgBZAQAAvwYAAAAA&#10;">
                <o:lock v:ext="edit" aspectratio="f"/>
                <v:line id="_x0000_s1026" o:spid="_x0000_s1026" o:spt="20" style="position:absolute;left:13931;top:1335551;height:1;width:703;" filled="f" stroked="t" coordsize="21600,21600" o:gfxdata="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AHYm8AAAA&#10;3AAAAA8AAAAAAAAAAQAgAAAAIgAAAGRycy9kb3ducmV2LnhtbFBLAQIUABQAAAAIAIdO4kAzLwWe&#10;OwAAADkAAAAQAAAAAAAAAAEAIAAAAAsBAABkcnMvc2hhcGV4bWwueG1sUEsFBgAAAAAGAAYAWwEA&#10;ALUDAAAAAA==&#10;">
                  <v:fill on="f" focussize="0,0"/>
                  <v:stroke weight="1.5pt" color="#FFFF00" joinstyle="round"/>
                  <v:imagedata o:title=""/>
                  <o:lock v:ext="edit" aspectratio="f"/>
                </v:line>
                <v:line id="_x0000_s1026" o:spid="_x0000_s1026" o:spt="20" style="position:absolute;left:13943;top:1335450;height:109;width:1;" filled="f" stroked="t" coordsize="21600,21600" o:gfxdata="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4yLJ&#10;wAAAANwAAAAPAAAAAAAAAAEAIAAAACIAAABkcnMvZG93bnJldi54bWxQSwECFAAUAAAACACHTuJA&#10;My8FnjsAAAA5AAAAEAAAAAAAAAABACAAAAAPAQAAZHJzL3NoYXBleG1sLnhtbFBLBQYAAAAABgAG&#10;AFsBAAC5AwAAAAA=&#10;">
                  <v:fill on="f" focussize="0,0"/>
                  <v:stroke weight="1.5pt" color="#FFFF00" joinstyle="round"/>
                  <v:imagedata o:title=""/>
                  <o:lock v:ext="edit" aspectratio="f"/>
                </v:line>
                <v:line id="_x0000_s1026" o:spid="_x0000_s1026" o:spt="20" style="position:absolute;left:14628;top:1335455;height:109;width:1;" filled="f" stroked="t" coordsize="21600,21600" o:gfxdata="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vh1K8AAAA&#10;3AAAAA8AAAAAAAAAAQAgAAAAIgAAAGRycy9kb3ducmV2LnhtbFBLAQIUABQAAAAIAIdO4kAzLwWe&#10;OwAAADkAAAAQAAAAAAAAAAEAIAAAAAsBAABkcnMvc2hhcGV4bWwueG1sUEsFBgAAAAAGAAYAWwEA&#10;ALUDAAAAAA==&#10;">
                  <v:fill on="f" focussize="0,0"/>
                  <v:stroke weight="1.5pt" color="#FFFF00" joinstyle="round"/>
                  <v:imagedata o:title=""/>
                  <o:lock v:ext="edit" aspectratio="f"/>
                </v:line>
                <v:shape id="_x0000_s1026" o:spid="_x0000_s1026" o:spt="202" type="#_x0000_t202" style="position:absolute;left:13342;top:1335063;height:431;width:1997;" filled="f" stroked="f" coordsize="21600,21600" o:gfxdata="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4/N+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9D25523">
                        <w:pPr>
                          <w:ind w:firstLine="422" w:firstLineChars="200"/>
                          <w:rPr>
                            <w:rFonts w:hint="default" w:ascii="Times New Roman" w:hAnsi="Times New Roman" w:cs="Times New Roman"/>
                            <w:b/>
                            <w:bCs/>
                            <w:color w:val="FFFF00"/>
                            <w:szCs w:val="21"/>
                          </w:rPr>
                        </w:pPr>
                        <w:r>
                          <w:rPr>
                            <w:rFonts w:hint="default" w:ascii="Times New Roman" w:hAnsi="Times New Roman" w:cs="Times New Roman"/>
                            <w:b/>
                            <w:bCs/>
                            <w:color w:val="FFFF00"/>
                            <w:szCs w:val="21"/>
                          </w:rPr>
                          <w:t xml:space="preserve">0 </w:t>
                        </w:r>
                        <w:r>
                          <w:rPr>
                            <w:rFonts w:hint="eastAsia" w:ascii="Times New Roman" w:hAnsi="Times New Roman" w:cs="Times New Roman"/>
                            <w:b/>
                            <w:bCs/>
                            <w:color w:val="FFFF00"/>
                            <w:szCs w:val="21"/>
                            <w:lang w:val="en-US" w:eastAsia="zh-CN"/>
                          </w:rPr>
                          <w:t xml:space="preserve">  </w:t>
                        </w:r>
                        <w:r>
                          <w:rPr>
                            <w:rFonts w:hint="default" w:ascii="Times New Roman" w:hAnsi="Times New Roman" w:cs="Times New Roman"/>
                            <w:b/>
                            <w:bCs/>
                            <w:color w:val="FFFF00"/>
                            <w:szCs w:val="21"/>
                          </w:rPr>
                          <w:t xml:space="preserve"> </w:t>
                        </w:r>
                        <w:r>
                          <w:rPr>
                            <w:rFonts w:hint="eastAsia" w:ascii="Times New Roman" w:hAnsi="Times New Roman" w:cs="Times New Roman"/>
                            <w:b/>
                            <w:bCs/>
                            <w:color w:val="FFFF00"/>
                            <w:szCs w:val="21"/>
                            <w:lang w:val="en-US" w:eastAsia="zh-CN"/>
                          </w:rPr>
                          <w:t>10</w:t>
                        </w:r>
                        <w:r>
                          <w:rPr>
                            <w:rFonts w:hint="default" w:ascii="Times New Roman" w:hAnsi="Times New Roman" w:cs="Times New Roman"/>
                            <w:b/>
                            <w:bCs/>
                            <w:color w:val="FFFF00"/>
                            <w:szCs w:val="21"/>
                          </w:rPr>
                          <w:t>0m</w:t>
                        </w:r>
                      </w:p>
                    </w:txbxContent>
                  </v:textbox>
                </v:shape>
              </v:group>
            </w:pict>
          </mc:Fallback>
        </mc:AlternateContent>
      </w:r>
      <w:r>
        <w:drawing>
          <wp:anchor distT="0" distB="0" distL="114300" distR="114300" simplePos="0" relativeHeight="251673600" behindDoc="0" locked="0" layoutInCell="1" allowOverlap="1">
            <wp:simplePos x="0" y="0"/>
            <wp:positionH relativeFrom="column">
              <wp:posOffset>7826375</wp:posOffset>
            </wp:positionH>
            <wp:positionV relativeFrom="paragraph">
              <wp:posOffset>19685</wp:posOffset>
            </wp:positionV>
            <wp:extent cx="1038225" cy="723900"/>
            <wp:effectExtent l="0" t="0" r="9525" b="0"/>
            <wp:wrapNone/>
            <wp:docPr id="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pic:cNvPicPr>
                      <a:picLocks noChangeAspect="1"/>
                    </pic:cNvPicPr>
                  </pic:nvPicPr>
                  <pic:blipFill>
                    <a:blip r:embed="rId41"/>
                    <a:stretch>
                      <a:fillRect/>
                    </a:stretch>
                  </pic:blipFill>
                  <pic:spPr>
                    <a:xfrm>
                      <a:off x="0" y="0"/>
                      <a:ext cx="1038225" cy="723900"/>
                    </a:xfrm>
                    <a:prstGeom prst="rect">
                      <a:avLst/>
                    </a:prstGeom>
                    <a:noFill/>
                    <a:ln>
                      <a:noFill/>
                    </a:ln>
                  </pic:spPr>
                </pic:pic>
              </a:graphicData>
            </a:graphic>
          </wp:anchor>
        </w:drawing>
      </w:r>
      <w:r>
        <w:rPr>
          <w:sz w:val="21"/>
        </w:rPr>
        <mc:AlternateContent>
          <mc:Choice Requires="wps">
            <w:drawing>
              <wp:anchor distT="0" distB="0" distL="114300" distR="114300" simplePos="0" relativeHeight="251671552" behindDoc="0" locked="0" layoutInCell="1" allowOverlap="1">
                <wp:simplePos x="0" y="0"/>
                <wp:positionH relativeFrom="column">
                  <wp:posOffset>4358640</wp:posOffset>
                </wp:positionH>
                <wp:positionV relativeFrom="paragraph">
                  <wp:posOffset>1927225</wp:posOffset>
                </wp:positionV>
                <wp:extent cx="610870" cy="361950"/>
                <wp:effectExtent l="0" t="0" r="0" b="0"/>
                <wp:wrapNone/>
                <wp:docPr id="95" name="矩形 12"/>
                <wp:cNvGraphicFramePr/>
                <a:graphic xmlns:a="http://schemas.openxmlformats.org/drawingml/2006/main">
                  <a:graphicData uri="http://schemas.microsoft.com/office/word/2010/wordprocessingShape">
                    <wps:wsp>
                      <wps:cNvSpPr/>
                      <wps:spPr>
                        <a:xfrm>
                          <a:off x="0" y="0"/>
                          <a:ext cx="610870" cy="361950"/>
                        </a:xfrm>
                        <a:prstGeom prst="rect">
                          <a:avLst/>
                        </a:prstGeom>
                        <a:noFill/>
                        <a:ln w="25400">
                          <a:noFill/>
                        </a:ln>
                      </wps:spPr>
                      <wps:txbx>
                        <w:txbxContent>
                          <w:p w14:paraId="2775301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bCs/>
                                <w:color w:val="0CF242"/>
                                <w:highlight w:val="none"/>
                                <w:lang w:val="en-US" w:eastAsia="zh-CN"/>
                              </w:rPr>
                            </w:pPr>
                            <w:r>
                              <w:rPr>
                                <w:rFonts w:hint="eastAsia" w:ascii="Times New Roman" w:hAnsi="Times New Roman" w:cs="Times New Roman"/>
                                <w:b/>
                                <w:bCs/>
                                <w:color w:val="0CF242"/>
                                <w:highlight w:val="none"/>
                                <w:lang w:val="en-US" w:eastAsia="zh-CN"/>
                              </w:rPr>
                              <w:t>50m</w:t>
                            </w:r>
                          </w:p>
                        </w:txbxContent>
                      </wps:txbx>
                      <wps:bodyPr vert="horz" wrap="square" anchor="ctr" anchorCtr="0" upright="1"/>
                    </wps:wsp>
                  </a:graphicData>
                </a:graphic>
              </wp:anchor>
            </w:drawing>
          </mc:Choice>
          <mc:Fallback>
            <w:pict>
              <v:rect id="矩形 12" o:spid="_x0000_s1026" o:spt="1" style="position:absolute;left:0pt;margin-left:343.2pt;margin-top:151.75pt;height:28.5pt;width:48.1pt;z-index:251671552;v-text-anchor:middle;mso-width-relative:page;mso-height-relative:page;" filled="f" stroked="f" coordsize="21600,21600" o:gfxdata="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4c0avaAAAACwEAAA8AAAAAAAAAAQAgAAAAIgAA&#10;AGRycy9kb3ducmV2LnhtbFBLAQIUABQAAAAIAIdO4kAUve8gzQEAAIEDAAAOAAAAAAAAAAEAIAAA&#10;ACkBAABkcnMvZTJvRG9jLnhtbFBLBQYAAAAABgAGAFkBAABoBQAAAAA=&#10;">
                <v:fill on="f" focussize="0,0"/>
                <v:stroke on="f" weight="2pt"/>
                <v:imagedata o:title=""/>
                <o:lock v:ext="edit" aspectratio="f"/>
                <v:textbox>
                  <w:txbxContent>
                    <w:p w14:paraId="2775301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bCs/>
                          <w:color w:val="0CF242"/>
                          <w:highlight w:val="none"/>
                          <w:lang w:val="en-US" w:eastAsia="zh-CN"/>
                        </w:rPr>
                      </w:pPr>
                      <w:r>
                        <w:rPr>
                          <w:rFonts w:hint="eastAsia" w:ascii="Times New Roman" w:hAnsi="Times New Roman" w:cs="Times New Roman"/>
                          <w:b/>
                          <w:bCs/>
                          <w:color w:val="0CF242"/>
                          <w:highlight w:val="none"/>
                          <w:lang w:val="en-US" w:eastAsia="zh-CN"/>
                        </w:rPr>
                        <w:t>50m</w:t>
                      </w:r>
                    </w:p>
                  </w:txbxContent>
                </v:textbox>
              </v: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4562475</wp:posOffset>
                </wp:positionH>
                <wp:positionV relativeFrom="paragraph">
                  <wp:posOffset>2252345</wp:posOffset>
                </wp:positionV>
                <wp:extent cx="46990" cy="218440"/>
                <wp:effectExtent l="6350" t="0" r="22860" b="10160"/>
                <wp:wrapNone/>
                <wp:docPr id="93" name="直接箭头连接符 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5307965" y="2826385"/>
                          <a:ext cx="46990" cy="218440"/>
                        </a:xfrm>
                        <a:prstGeom prst="straightConnector1">
                          <a:avLst/>
                        </a:prstGeom>
                        <a:ln w="12700">
                          <a:solidFill>
                            <a:srgbClr val="00FF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59.25pt;margin-top:177.35pt;height:17.2pt;width:3.7pt;z-index:251669504;mso-width-relative:page;mso-height-relative:page;" filled="f" stroked="t" coordsize="21600,21600" o:gfxdata="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CbTVNoAAAALAQAADwAAAAAAAAABACAAAAAi&#10;AAAAZHJzL2Rvd25yZXYueG1sUEsBAhQAFAAAAAgAh07iQCB/9EZBAgAAPwQAAA4AAAAAAAAAAQAg&#10;AAAAKQEAAGRycy9lMm9Eb2MueG1sUEsFBgAAAAAGAAYAWQEAANwFAAAAAA==&#10;">
                <v:fill on="f" focussize="0,0"/>
                <v:stroke weight="1pt" color="#00FF00 [3204]" joinstyle="round" endarrow="block"/>
                <v:imagedata o:title=""/>
                <o:lock v:ext="edit" aspectratio="t"/>
              </v:shape>
            </w:pict>
          </mc:Fallback>
        </mc:AlternateContent>
      </w:r>
      <w:r>
        <w:drawing>
          <wp:inline distT="0" distB="0" distL="114300" distR="114300">
            <wp:extent cx="8728710" cy="5671820"/>
            <wp:effectExtent l="19050" t="19050" r="34290" b="24130"/>
            <wp:docPr id="9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
                    <pic:cNvPicPr>
                      <a:picLocks noChangeAspect="1"/>
                    </pic:cNvPicPr>
                  </pic:nvPicPr>
                  <pic:blipFill>
                    <a:blip r:embed="rId43"/>
                    <a:srcRect l="3850" r="5162"/>
                    <a:stretch>
                      <a:fillRect/>
                    </a:stretch>
                  </pic:blipFill>
                  <pic:spPr>
                    <a:xfrm>
                      <a:off x="0" y="0"/>
                      <a:ext cx="8728710" cy="5671820"/>
                    </a:xfrm>
                    <a:prstGeom prst="rect">
                      <a:avLst/>
                    </a:prstGeom>
                    <a:noFill/>
                    <a:ln w="19050" cmpd="sng">
                      <a:solidFill>
                        <a:schemeClr val="tx1"/>
                      </a:solidFill>
                      <a:prstDash val="solid"/>
                    </a:ln>
                  </pic:spPr>
                </pic:pic>
              </a:graphicData>
            </a:graphic>
          </wp:inline>
        </w:drawing>
      </w:r>
    </w:p>
    <w:p w14:paraId="0DF050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000000" w:themeColor="text1"/>
          <w:sz w:val="28"/>
          <w:szCs w:val="28"/>
          <w:highlight w:val="none"/>
          <w:lang w:val="en-US" w:eastAsia="zh-CN"/>
          <w14:textFill>
            <w14:solidFill>
              <w14:schemeClr w14:val="tx1"/>
            </w14:solidFill>
          </w14:textFill>
        </w:rPr>
      </w:pPr>
      <w:r>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t>附图2   项</w:t>
      </w:r>
      <w:r>
        <w:rPr>
          <w:rFonts w:hint="eastAsia" w:ascii="黑体" w:hAnsi="黑体" w:eastAsia="黑体" w:cs="黑体"/>
          <w:color w:val="000000" w:themeColor="text1"/>
          <w:sz w:val="28"/>
          <w:szCs w:val="28"/>
          <w:highlight w:val="none"/>
          <w:lang w:val="en-US" w:eastAsia="zh-CN"/>
          <w14:textFill>
            <w14:solidFill>
              <w14:schemeClr w14:val="tx1"/>
            </w14:solidFill>
          </w14:textFill>
        </w:rPr>
        <w:t>目周围概况图</w:t>
      </w:r>
    </w:p>
    <w:p w14:paraId="72CDF7AC">
      <w:pPr>
        <w:pStyle w:val="2"/>
        <w:rPr>
          <w:rFonts w:hint="eastAsia"/>
          <w:lang w:val="en-US" w:eastAsia="zh-CN"/>
        </w:rPr>
      </w:pPr>
      <w:r>
        <w:rPr>
          <w:rFonts w:hint="eastAsia"/>
          <w:lang w:val="en-US" w:eastAsia="zh-CN"/>
        </w:rPr>
        <w:drawing>
          <wp:inline distT="0" distB="0" distL="114300" distR="114300">
            <wp:extent cx="8096885" cy="5725795"/>
            <wp:effectExtent l="0" t="0" r="18415" b="8255"/>
            <wp:docPr id="40" name="图片 40" descr="附图三  总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附图三  总平面布置图"/>
                    <pic:cNvPicPr>
                      <a:picLocks noChangeAspect="1"/>
                    </pic:cNvPicPr>
                  </pic:nvPicPr>
                  <pic:blipFill>
                    <a:blip r:embed="rId44"/>
                    <a:stretch>
                      <a:fillRect/>
                    </a:stretch>
                  </pic:blipFill>
                  <pic:spPr>
                    <a:xfrm>
                      <a:off x="0" y="0"/>
                      <a:ext cx="8096885" cy="5725795"/>
                    </a:xfrm>
                    <a:prstGeom prst="rect">
                      <a:avLst/>
                    </a:prstGeom>
                  </pic:spPr>
                </pic:pic>
              </a:graphicData>
            </a:graphic>
          </wp:inline>
        </w:drawing>
      </w:r>
      <w:r>
        <w:rPr>
          <w:color w:val="auto"/>
          <w:sz w:val="24"/>
        </w:rPr>
        <mc:AlternateContent>
          <mc:Choice Requires="wpg">
            <w:drawing>
              <wp:anchor distT="0" distB="0" distL="114300" distR="114300" simplePos="0" relativeHeight="251674624" behindDoc="0" locked="0" layoutInCell="1" allowOverlap="1">
                <wp:simplePos x="0" y="0"/>
                <wp:positionH relativeFrom="column">
                  <wp:posOffset>4901565</wp:posOffset>
                </wp:positionH>
                <wp:positionV relativeFrom="paragraph">
                  <wp:posOffset>7593330</wp:posOffset>
                </wp:positionV>
                <wp:extent cx="1268095" cy="318135"/>
                <wp:effectExtent l="0" t="0" r="0" b="2540"/>
                <wp:wrapNone/>
                <wp:docPr id="113" name="组合 113"/>
                <wp:cNvGraphicFramePr/>
                <a:graphic xmlns:a="http://schemas.openxmlformats.org/drawingml/2006/main">
                  <a:graphicData uri="http://schemas.microsoft.com/office/word/2010/wordprocessingGroup">
                    <wpg:wgp>
                      <wpg:cNvGrpSpPr/>
                      <wpg:grpSpPr>
                        <a:xfrm>
                          <a:off x="0" y="0"/>
                          <a:ext cx="1268095" cy="318135"/>
                          <a:chOff x="12702" y="1261300"/>
                          <a:chExt cx="1997" cy="501"/>
                        </a:xfrm>
                      </wpg:grpSpPr>
                      <wps:wsp>
                        <wps:cNvPr id="109" name="直接连接符 109"/>
                        <wps:cNvCnPr/>
                        <wps:spPr>
                          <a:xfrm>
                            <a:off x="13291" y="1261788"/>
                            <a:ext cx="663" cy="1"/>
                          </a:xfrm>
                          <a:prstGeom prst="line">
                            <a:avLst/>
                          </a:prstGeom>
                          <a:ln w="19050" cap="flat" cmpd="sng">
                            <a:solidFill>
                              <a:srgbClr val="FFFF00"/>
                            </a:solidFill>
                            <a:prstDash val="solid"/>
                            <a:headEnd type="none" w="med" len="med"/>
                            <a:tailEnd type="none" w="med" len="med"/>
                          </a:ln>
                        </wps:spPr>
                        <wps:bodyPr upright="1"/>
                      </wps:wsp>
                      <wps:wsp>
                        <wps:cNvPr id="110" name="直接连接符 110"/>
                        <wps:cNvCnPr/>
                        <wps:spPr>
                          <a:xfrm>
                            <a:off x="13303" y="1261687"/>
                            <a:ext cx="1" cy="109"/>
                          </a:xfrm>
                          <a:prstGeom prst="line">
                            <a:avLst/>
                          </a:prstGeom>
                          <a:ln w="19050" cap="flat" cmpd="sng">
                            <a:solidFill>
                              <a:srgbClr val="FFFF00"/>
                            </a:solidFill>
                            <a:prstDash val="solid"/>
                            <a:headEnd type="none" w="med" len="med"/>
                            <a:tailEnd type="none" w="med" len="med"/>
                          </a:ln>
                        </wps:spPr>
                        <wps:bodyPr upright="1"/>
                      </wps:wsp>
                      <wps:wsp>
                        <wps:cNvPr id="111" name="直接连接符 111"/>
                        <wps:cNvCnPr/>
                        <wps:spPr>
                          <a:xfrm>
                            <a:off x="13968" y="1261692"/>
                            <a:ext cx="1" cy="109"/>
                          </a:xfrm>
                          <a:prstGeom prst="line">
                            <a:avLst/>
                          </a:prstGeom>
                          <a:ln w="19050" cap="flat" cmpd="sng">
                            <a:solidFill>
                              <a:srgbClr val="FFFF00"/>
                            </a:solidFill>
                            <a:prstDash val="solid"/>
                            <a:headEnd type="none" w="med" len="med"/>
                            <a:tailEnd type="none" w="med" len="med"/>
                          </a:ln>
                        </wps:spPr>
                        <wps:bodyPr upright="1"/>
                      </wps:wsp>
                      <wps:wsp>
                        <wps:cNvPr id="112" name="文本框 112"/>
                        <wps:cNvSpPr txBox="1"/>
                        <wps:spPr>
                          <a:xfrm>
                            <a:off x="12702" y="1261300"/>
                            <a:ext cx="1997" cy="431"/>
                          </a:xfrm>
                          <a:prstGeom prst="rect">
                            <a:avLst/>
                          </a:prstGeom>
                          <a:noFill/>
                          <a:ln w="6350">
                            <a:noFill/>
                          </a:ln>
                        </wps:spPr>
                        <wps:txbx>
                          <w:txbxContent>
                            <w:p w14:paraId="69252C8D">
                              <w:pPr>
                                <w:ind w:firstLine="422" w:firstLineChars="200"/>
                                <w:rPr>
                                  <w:rFonts w:hint="default" w:ascii="Times New Roman" w:hAnsi="Times New Roman" w:cs="Times New Roman"/>
                                  <w:b/>
                                  <w:bCs/>
                                  <w:color w:val="FFFF00"/>
                                  <w:szCs w:val="21"/>
                                </w:rPr>
                              </w:pPr>
                              <w:r>
                                <w:rPr>
                                  <w:rFonts w:hint="default" w:ascii="Times New Roman" w:hAnsi="Times New Roman" w:cs="Times New Roman"/>
                                  <w:b/>
                                  <w:bCs/>
                                  <w:color w:val="FFFF00"/>
                                  <w:szCs w:val="21"/>
                                </w:rPr>
                                <w:t xml:space="preserve">0   </w:t>
                              </w:r>
                              <w:r>
                                <w:rPr>
                                  <w:rFonts w:hint="eastAsia" w:ascii="Times New Roman" w:hAnsi="Times New Roman" w:cs="Times New Roman"/>
                                  <w:b/>
                                  <w:bCs/>
                                  <w:color w:val="FFFF00"/>
                                  <w:szCs w:val="21"/>
                                  <w:lang w:val="en-US" w:eastAsia="zh-CN"/>
                                </w:rPr>
                                <w:t xml:space="preserve"> 5</w:t>
                              </w:r>
                              <w:r>
                                <w:rPr>
                                  <w:rFonts w:hint="default" w:ascii="Times New Roman" w:hAnsi="Times New Roman" w:cs="Times New Roman"/>
                                  <w:b/>
                                  <w:bCs/>
                                  <w:color w:val="FFFF00"/>
                                  <w:szCs w:val="21"/>
                                </w:rPr>
                                <w:t>0m</w:t>
                              </w:r>
                            </w:p>
                          </w:txbxContent>
                        </wps:txbx>
                        <wps:bodyPr upright="1"/>
                      </wps:wsp>
                    </wpg:wgp>
                  </a:graphicData>
                </a:graphic>
              </wp:anchor>
            </w:drawing>
          </mc:Choice>
          <mc:Fallback>
            <w:pict>
              <v:group id="_x0000_s1026" o:spid="_x0000_s1026" o:spt="203" style="position:absolute;left:0pt;margin-left:385.95pt;margin-top:597.9pt;height:25.05pt;width:99.85pt;z-index:251674624;mso-width-relative:page;mso-height-relative:page;" coordorigin="12702,1261300" coordsize="1997,501" o:gfxdata="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kYAd1twAAAANAQAADwAAAAAAAAABACAAAAAiAAAAZHJz&#10;L2Rvd25yZXYueG1sUEsBAhQAFAAAAAgAh07iQD+RJ38dAwAAyQoAAA4AAAAAAAAAAQAgAAAAKwEA&#10;AGRycy9lMm9Eb2MueG1sUEsFBgAAAAAGAAYAWQEAALoGAAAAAA==&#10;">
                <o:lock v:ext="edit" aspectratio="f"/>
                <v:line id="_x0000_s1026" o:spid="_x0000_s1026" o:spt="20" style="position:absolute;left:13291;top:1261788;height:1;width:663;" filled="f" stroked="t" coordsize="21600,21600" o:gfxdata="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1Qem8AAAA&#10;3AAAAA8AAAAAAAAAAQAgAAAAIgAAAGRycy9kb3ducmV2LnhtbFBLAQIUABQAAAAIAIdO4kAzLwWe&#10;OwAAADkAAAAQAAAAAAAAAAEAIAAAAAsBAABkcnMvc2hhcGV4bWwueG1sUEsFBgAAAAAGAAYAWwEA&#10;ALUDAAAAAA==&#10;">
                  <v:fill on="f" focussize="0,0"/>
                  <v:stroke weight="1.5pt" color="#FFFF00" joinstyle="round"/>
                  <v:imagedata o:title=""/>
                  <o:lock v:ext="edit" aspectratio="f"/>
                </v:line>
                <v:line id="_x0000_s1026" o:spid="_x0000_s1026" o:spt="20" style="position:absolute;left:13303;top:1261687;height:109;width:1;" filled="f" stroked="t" coordsize="21600,21600" o:gfxdata="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Wfqm/&#10;AAAA3AAAAA8AAAAAAAAAAQAgAAAAIgAAAGRycy9kb3ducmV2LnhtbFBLAQIUABQAAAAIAIdO4kAz&#10;LwWeOwAAADkAAAAQAAAAAAAAAAEAIAAAAA4BAABkcnMvc2hhcGV4bWwueG1sUEsFBgAAAAAGAAYA&#10;WwEAALgDAAAAAA==&#10;">
                  <v:fill on="f" focussize="0,0"/>
                  <v:stroke weight="1.5pt" color="#FFFF00" joinstyle="round"/>
                  <v:imagedata o:title=""/>
                  <o:lock v:ext="edit" aspectratio="f"/>
                </v:line>
                <v:line id="_x0000_s1026" o:spid="_x0000_s1026" o:spt="20" style="position:absolute;left:13968;top:1261692;height:109;width:1;" filled="f" stroked="t" coordsize="21600,21600" o:gfxdata="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a2zK8AAAA&#10;3AAAAA8AAAAAAAAAAQAgAAAAIgAAAGRycy9kb3ducmV2LnhtbFBLAQIUABQAAAAIAIdO4kAzLwWe&#10;OwAAADkAAAAQAAAAAAAAAAEAIAAAAAsBAABkcnMvc2hhcGV4bWwueG1sUEsFBgAAAAAGAAYAWwEA&#10;ALUDAAAAAA==&#10;">
                  <v:fill on="f" focussize="0,0"/>
                  <v:stroke weight="1.5pt" color="#FFFF00" joinstyle="round"/>
                  <v:imagedata o:title=""/>
                  <o:lock v:ext="edit" aspectratio="f"/>
                </v:line>
                <v:shape id="_x0000_s1026" o:spid="_x0000_s1026" o:spt="202" type="#_x0000_t202" style="position:absolute;left:12702;top:1261300;height:431;width:1997;" filled="f" stroked="f" coordsize="21600,21600" o:gfxdata="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2gv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69252C8D">
                        <w:pPr>
                          <w:ind w:firstLine="422" w:firstLineChars="200"/>
                          <w:rPr>
                            <w:rFonts w:hint="default" w:ascii="Times New Roman" w:hAnsi="Times New Roman" w:cs="Times New Roman"/>
                            <w:b/>
                            <w:bCs/>
                            <w:color w:val="FFFF00"/>
                            <w:szCs w:val="21"/>
                          </w:rPr>
                        </w:pPr>
                        <w:r>
                          <w:rPr>
                            <w:rFonts w:hint="default" w:ascii="Times New Roman" w:hAnsi="Times New Roman" w:cs="Times New Roman"/>
                            <w:b/>
                            <w:bCs/>
                            <w:color w:val="FFFF00"/>
                            <w:szCs w:val="21"/>
                          </w:rPr>
                          <w:t xml:space="preserve">0   </w:t>
                        </w:r>
                        <w:r>
                          <w:rPr>
                            <w:rFonts w:hint="eastAsia" w:ascii="Times New Roman" w:hAnsi="Times New Roman" w:cs="Times New Roman"/>
                            <w:b/>
                            <w:bCs/>
                            <w:color w:val="FFFF00"/>
                            <w:szCs w:val="21"/>
                            <w:lang w:val="en-US" w:eastAsia="zh-CN"/>
                          </w:rPr>
                          <w:t xml:space="preserve"> 5</w:t>
                        </w:r>
                        <w:r>
                          <w:rPr>
                            <w:rFonts w:hint="default" w:ascii="Times New Roman" w:hAnsi="Times New Roman" w:cs="Times New Roman"/>
                            <w:b/>
                            <w:bCs/>
                            <w:color w:val="FFFF00"/>
                            <w:szCs w:val="21"/>
                          </w:rPr>
                          <w:t>0m</w:t>
                        </w:r>
                      </w:p>
                    </w:txbxContent>
                  </v:textbox>
                </v:shape>
              </v:group>
            </w:pict>
          </mc:Fallback>
        </mc:AlternateContent>
      </w:r>
    </w:p>
    <w:p w14:paraId="3DDDFC3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sectPr>
          <w:pgSz w:w="16838" w:h="11906" w:orient="landscape"/>
          <w:pgMar w:top="1191" w:right="1174" w:bottom="1020" w:left="1440" w:header="964" w:footer="794" w:gutter="0"/>
          <w:pgBorders>
            <w:top w:val="none" w:sz="0" w:space="0"/>
            <w:left w:val="none" w:sz="0" w:space="0"/>
            <w:bottom w:val="none" w:sz="0" w:space="0"/>
            <w:right w:val="none" w:sz="0" w:space="0"/>
          </w:pgBorders>
          <w:pgNumType w:fmt="decimal"/>
          <w:cols w:space="720" w:num="1"/>
          <w:titlePg/>
          <w:rtlGutter w:val="0"/>
          <w:docGrid w:type="linesAndChars" w:linePitch="312" w:charSpace="1024"/>
        </w:sectPr>
      </w:pPr>
      <w:r>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t>附图3    项目总平面布置图</w:t>
      </w:r>
    </w:p>
    <w:p w14:paraId="50652F9C">
      <w:pPr>
        <w:pStyle w:val="2"/>
        <w:rPr>
          <w:rFonts w:hint="default"/>
          <w:lang w:val="en-US" w:eastAsia="zh-CN"/>
        </w:rPr>
      </w:pPr>
      <w:r>
        <w:rPr>
          <w:rFonts w:hint="default"/>
          <w:lang w:val="en-US" w:eastAsia="zh-CN"/>
        </w:rPr>
        <w:drawing>
          <wp:inline distT="0" distB="0" distL="114300" distR="114300">
            <wp:extent cx="8582660" cy="5264785"/>
            <wp:effectExtent l="0" t="0" r="0" b="0"/>
            <wp:docPr id="57" name="图片 57" descr="渑池县中医院精神病房楼建筑平面图 - 副本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渑池县中医院精神病房楼建筑平面图 - 副本_页面_1"/>
                    <pic:cNvPicPr>
                      <a:picLocks noChangeAspect="1"/>
                    </pic:cNvPicPr>
                  </pic:nvPicPr>
                  <pic:blipFill>
                    <a:blip r:embed="rId45">
                      <a:clrChange>
                        <a:clrFrom>
                          <a:srgbClr val="FFFFFF">
                            <a:alpha val="100000"/>
                          </a:srgbClr>
                        </a:clrFrom>
                        <a:clrTo>
                          <a:srgbClr val="FFFFFF">
                            <a:alpha val="100000"/>
                            <a:alpha val="0"/>
                          </a:srgbClr>
                        </a:clrTo>
                      </a:clrChange>
                    </a:blip>
                    <a:srcRect l="7754" t="21060" r="21558" b="21121"/>
                    <a:stretch>
                      <a:fillRect/>
                    </a:stretch>
                  </pic:blipFill>
                  <pic:spPr>
                    <a:xfrm>
                      <a:off x="0" y="0"/>
                      <a:ext cx="8582660" cy="5264785"/>
                    </a:xfrm>
                    <a:prstGeom prst="rect">
                      <a:avLst/>
                    </a:prstGeom>
                  </pic:spPr>
                </pic:pic>
              </a:graphicData>
            </a:graphic>
          </wp:inline>
        </w:drawing>
      </w:r>
    </w:p>
    <w:p w14:paraId="18988723">
      <w:pPr>
        <w:jc w:val="center"/>
        <w:rPr>
          <w:rFonts w:hint="default"/>
          <w:lang w:val="en-US" w:eastAsia="zh-CN"/>
        </w:rPr>
      </w:pPr>
      <w:r>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t>附图3-1    地下1F平面布置图</w:t>
      </w:r>
    </w:p>
    <w:p w14:paraId="621B3FD7">
      <w:pPr>
        <w:rPr>
          <w:rFonts w:hint="default"/>
          <w:lang w:val="en-US" w:eastAsia="zh-CN"/>
        </w:rPr>
        <w:sectPr>
          <w:pgSz w:w="16838" w:h="11906" w:orient="landscape"/>
          <w:pgMar w:top="1191" w:right="1174" w:bottom="1020" w:left="1440" w:header="964" w:footer="794" w:gutter="0"/>
          <w:pgBorders>
            <w:top w:val="none" w:sz="0" w:space="0"/>
            <w:left w:val="none" w:sz="0" w:space="0"/>
            <w:bottom w:val="none" w:sz="0" w:space="0"/>
            <w:right w:val="none" w:sz="0" w:space="0"/>
          </w:pgBorders>
          <w:pgNumType w:fmt="decimal"/>
          <w:cols w:space="720" w:num="1"/>
          <w:titlePg/>
          <w:rtlGutter w:val="0"/>
          <w:docGrid w:type="linesAndChars" w:linePitch="312" w:charSpace="1024"/>
        </w:sectPr>
      </w:pPr>
    </w:p>
    <w:p w14:paraId="1DCA145D">
      <w:pPr>
        <w:jc w:val="center"/>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pPr>
      <w:r>
        <w:drawing>
          <wp:anchor distT="0" distB="0" distL="114300" distR="114300" simplePos="0" relativeHeight="251666432" behindDoc="0" locked="0" layoutInCell="1" allowOverlap="1">
            <wp:simplePos x="0" y="0"/>
            <wp:positionH relativeFrom="column">
              <wp:posOffset>6901180</wp:posOffset>
            </wp:positionH>
            <wp:positionV relativeFrom="paragraph">
              <wp:posOffset>395605</wp:posOffset>
            </wp:positionV>
            <wp:extent cx="730250" cy="772160"/>
            <wp:effectExtent l="0" t="0" r="12700" b="8890"/>
            <wp:wrapNone/>
            <wp:docPr id="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pic:cNvPicPr>
                      <a:picLocks noChangeAspect="1"/>
                    </pic:cNvPicPr>
                  </pic:nvPicPr>
                  <pic:blipFill>
                    <a:blip r:embed="rId46"/>
                    <a:stretch>
                      <a:fillRect/>
                    </a:stretch>
                  </pic:blipFill>
                  <pic:spPr>
                    <a:xfrm>
                      <a:off x="0" y="0"/>
                      <a:ext cx="730250" cy="772160"/>
                    </a:xfrm>
                    <a:prstGeom prst="rect">
                      <a:avLst/>
                    </a:prstGeom>
                    <a:noFill/>
                    <a:ln>
                      <a:noFill/>
                    </a:ln>
                  </pic:spPr>
                </pic:pic>
              </a:graphicData>
            </a:graphic>
          </wp:anchor>
        </w:drawing>
      </w:r>
      <w:r>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drawing>
          <wp:inline distT="0" distB="0" distL="114300" distR="114300">
            <wp:extent cx="6975475" cy="5612130"/>
            <wp:effectExtent l="0" t="0" r="0" b="0"/>
            <wp:docPr id="86" name="图片 86" descr="渑池县中医院精神病房楼建筑平面图 - 副本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渑池县中医院精神病房楼建筑平面图 - 副本_页面_2"/>
                    <pic:cNvPicPr>
                      <a:picLocks noChangeAspect="1"/>
                    </pic:cNvPicPr>
                  </pic:nvPicPr>
                  <pic:blipFill>
                    <a:blip r:embed="rId47">
                      <a:clrChange>
                        <a:clrFrom>
                          <a:srgbClr val="FFFFFF">
                            <a:alpha val="100000"/>
                          </a:srgbClr>
                        </a:clrFrom>
                        <a:clrTo>
                          <a:srgbClr val="FFFFFF">
                            <a:alpha val="100000"/>
                            <a:alpha val="0"/>
                          </a:srgbClr>
                        </a:clrTo>
                      </a:clrChange>
                    </a:blip>
                    <a:srcRect l="7065" t="5003" r="14679" b="11079"/>
                    <a:stretch>
                      <a:fillRect/>
                    </a:stretch>
                  </pic:blipFill>
                  <pic:spPr>
                    <a:xfrm>
                      <a:off x="0" y="0"/>
                      <a:ext cx="6975475" cy="5612130"/>
                    </a:xfrm>
                    <a:prstGeom prst="rect">
                      <a:avLst/>
                    </a:prstGeom>
                  </pic:spPr>
                </pic:pic>
              </a:graphicData>
            </a:graphic>
          </wp:inline>
        </w:drawing>
      </w:r>
    </w:p>
    <w:p w14:paraId="4C4CDE09">
      <w:pPr>
        <w:jc w:val="center"/>
        <w:rPr>
          <w:rFonts w:hint="default"/>
          <w:lang w:val="en-US" w:eastAsia="zh-CN"/>
        </w:rPr>
      </w:pPr>
      <w:r>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t>附图3-2    1F平面布置图</w:t>
      </w:r>
    </w:p>
    <w:p w14:paraId="3F49A7B5">
      <w:pPr>
        <w:rPr>
          <w:rFonts w:hint="default"/>
          <w:lang w:val="en-US" w:eastAsia="zh-CN"/>
        </w:rPr>
        <w:sectPr>
          <w:pgSz w:w="16838" w:h="11906" w:orient="landscape"/>
          <w:pgMar w:top="1191" w:right="1174" w:bottom="1020" w:left="1440" w:header="964" w:footer="794" w:gutter="0"/>
          <w:pgBorders>
            <w:top w:val="none" w:sz="0" w:space="0"/>
            <w:left w:val="none" w:sz="0" w:space="0"/>
            <w:bottom w:val="none" w:sz="0" w:space="0"/>
            <w:right w:val="none" w:sz="0" w:space="0"/>
          </w:pgBorders>
          <w:pgNumType w:fmt="decimal"/>
          <w:cols w:space="720" w:num="1"/>
          <w:titlePg/>
          <w:rtlGutter w:val="0"/>
          <w:docGrid w:type="linesAndChars" w:linePitch="312" w:charSpace="1024"/>
        </w:sectPr>
      </w:pPr>
    </w:p>
    <w:p w14:paraId="35B5AC8A">
      <w:pPr>
        <w:pStyle w:val="2"/>
        <w:jc w:val="center"/>
        <w:rPr>
          <w:rFonts w:hint="default"/>
          <w:lang w:val="en-US" w:eastAsia="zh-CN"/>
        </w:rPr>
      </w:pPr>
      <w:r>
        <w:drawing>
          <wp:anchor distT="0" distB="0" distL="114300" distR="114300" simplePos="0" relativeHeight="251665408" behindDoc="0" locked="0" layoutInCell="1" allowOverlap="1">
            <wp:simplePos x="0" y="0"/>
            <wp:positionH relativeFrom="column">
              <wp:posOffset>7044055</wp:posOffset>
            </wp:positionH>
            <wp:positionV relativeFrom="paragraph">
              <wp:posOffset>367030</wp:posOffset>
            </wp:positionV>
            <wp:extent cx="730250" cy="772160"/>
            <wp:effectExtent l="0" t="0" r="12700" b="8890"/>
            <wp:wrapNone/>
            <wp:docPr id="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pic:cNvPicPr>
                      <a:picLocks noChangeAspect="1"/>
                    </pic:cNvPicPr>
                  </pic:nvPicPr>
                  <pic:blipFill>
                    <a:blip r:embed="rId46"/>
                    <a:stretch>
                      <a:fillRect/>
                    </a:stretch>
                  </pic:blipFill>
                  <pic:spPr>
                    <a:xfrm>
                      <a:off x="0" y="0"/>
                      <a:ext cx="730250" cy="772160"/>
                    </a:xfrm>
                    <a:prstGeom prst="rect">
                      <a:avLst/>
                    </a:prstGeom>
                    <a:noFill/>
                    <a:ln>
                      <a:noFill/>
                    </a:ln>
                  </pic:spPr>
                </pic:pic>
              </a:graphicData>
            </a:graphic>
          </wp:anchor>
        </w:drawing>
      </w:r>
      <w:r>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drawing>
          <wp:inline distT="0" distB="0" distL="114300" distR="114300">
            <wp:extent cx="6706235" cy="5579745"/>
            <wp:effectExtent l="0" t="0" r="18415" b="0"/>
            <wp:docPr id="82" name="图片 82" descr="渑池县中医院精神病房楼建筑平面图 - 副本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渑池县中医院精神病房楼建筑平面图 - 副本_页面_3"/>
                    <pic:cNvPicPr>
                      <a:picLocks noChangeAspect="1"/>
                    </pic:cNvPicPr>
                  </pic:nvPicPr>
                  <pic:blipFill>
                    <a:blip r:embed="rId48">
                      <a:clrChange>
                        <a:clrFrom>
                          <a:srgbClr val="FFFFFF">
                            <a:alpha val="100000"/>
                          </a:srgbClr>
                        </a:clrFrom>
                        <a:clrTo>
                          <a:srgbClr val="FFFFFF">
                            <a:alpha val="100000"/>
                            <a:alpha val="0"/>
                          </a:srgbClr>
                        </a:clrTo>
                      </a:clrChange>
                    </a:blip>
                    <a:srcRect l="7808" t="5962" r="17154" b="10820"/>
                    <a:stretch>
                      <a:fillRect/>
                    </a:stretch>
                  </pic:blipFill>
                  <pic:spPr>
                    <a:xfrm>
                      <a:off x="0" y="0"/>
                      <a:ext cx="6706235" cy="5579745"/>
                    </a:xfrm>
                    <a:prstGeom prst="rect">
                      <a:avLst/>
                    </a:prstGeom>
                  </pic:spPr>
                </pic:pic>
              </a:graphicData>
            </a:graphic>
          </wp:inline>
        </w:drawing>
      </w:r>
    </w:p>
    <w:p w14:paraId="4A20B81D">
      <w:pPr>
        <w:jc w:val="center"/>
        <w:rPr>
          <w:rFonts w:hint="default"/>
          <w:lang w:val="en-US" w:eastAsia="zh-CN"/>
        </w:rPr>
        <w:sectPr>
          <w:pgSz w:w="16838" w:h="11906" w:orient="landscape"/>
          <w:pgMar w:top="1191" w:right="1174" w:bottom="1020" w:left="1440" w:header="964" w:footer="794" w:gutter="0"/>
          <w:pgBorders>
            <w:top w:val="none" w:sz="0" w:space="0"/>
            <w:left w:val="none" w:sz="0" w:space="0"/>
            <w:bottom w:val="none" w:sz="0" w:space="0"/>
            <w:right w:val="none" w:sz="0" w:space="0"/>
          </w:pgBorders>
          <w:pgNumType w:fmt="decimal"/>
          <w:cols w:space="720" w:num="1"/>
          <w:titlePg/>
          <w:rtlGutter w:val="0"/>
          <w:docGrid w:type="linesAndChars" w:linePitch="312" w:charSpace="1024"/>
        </w:sectPr>
      </w:pPr>
      <w:r>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t>附图3-3    2F平面布置图</w:t>
      </w:r>
    </w:p>
    <w:p w14:paraId="7EF617C8">
      <w:pPr>
        <w:jc w:val="center"/>
        <w:rPr>
          <w:rFonts w:hint="default"/>
          <w:lang w:val="en-US" w:eastAsia="zh-CN"/>
        </w:rPr>
      </w:pPr>
      <w:r>
        <w:drawing>
          <wp:anchor distT="0" distB="0" distL="114300" distR="114300" simplePos="0" relativeHeight="251667456" behindDoc="0" locked="0" layoutInCell="1" allowOverlap="1">
            <wp:simplePos x="0" y="0"/>
            <wp:positionH relativeFrom="column">
              <wp:posOffset>6739255</wp:posOffset>
            </wp:positionH>
            <wp:positionV relativeFrom="paragraph">
              <wp:posOffset>528955</wp:posOffset>
            </wp:positionV>
            <wp:extent cx="730250" cy="772160"/>
            <wp:effectExtent l="0" t="0" r="12700" b="8890"/>
            <wp:wrapNone/>
            <wp:docPr id="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
                    <pic:cNvPicPr>
                      <a:picLocks noChangeAspect="1"/>
                    </pic:cNvPicPr>
                  </pic:nvPicPr>
                  <pic:blipFill>
                    <a:blip r:embed="rId46"/>
                    <a:stretch>
                      <a:fillRect/>
                    </a:stretch>
                  </pic:blipFill>
                  <pic:spPr>
                    <a:xfrm>
                      <a:off x="0" y="0"/>
                      <a:ext cx="730250" cy="772160"/>
                    </a:xfrm>
                    <a:prstGeom prst="rect">
                      <a:avLst/>
                    </a:prstGeom>
                    <a:noFill/>
                    <a:ln>
                      <a:noFill/>
                    </a:ln>
                  </pic:spPr>
                </pic:pic>
              </a:graphicData>
            </a:graphic>
          </wp:anchor>
        </w:drawing>
      </w:r>
      <w:r>
        <w:rPr>
          <w:rFonts w:hint="default"/>
          <w:lang w:val="en-US" w:eastAsia="zh-CN"/>
        </w:rPr>
        <w:drawing>
          <wp:inline distT="0" distB="0" distL="114300" distR="114300">
            <wp:extent cx="6887210" cy="5605145"/>
            <wp:effectExtent l="0" t="0" r="0" b="14605"/>
            <wp:docPr id="83" name="图片 83" descr="渑池县中医院精神病房楼建筑平面图 - 副本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渑池县中医院精神病房楼建筑平面图 - 副本_页面_4"/>
                    <pic:cNvPicPr>
                      <a:picLocks noChangeAspect="1"/>
                    </pic:cNvPicPr>
                  </pic:nvPicPr>
                  <pic:blipFill>
                    <a:blip r:embed="rId49">
                      <a:clrChange>
                        <a:clrFrom>
                          <a:srgbClr val="FFFFFF">
                            <a:alpha val="100000"/>
                          </a:srgbClr>
                        </a:clrFrom>
                        <a:clrTo>
                          <a:srgbClr val="FFFFFF">
                            <a:alpha val="100000"/>
                            <a:alpha val="0"/>
                          </a:srgbClr>
                        </a:clrTo>
                      </a:clrChange>
                    </a:blip>
                    <a:srcRect l="7405" t="5560" r="16997" b="12422"/>
                    <a:stretch>
                      <a:fillRect/>
                    </a:stretch>
                  </pic:blipFill>
                  <pic:spPr>
                    <a:xfrm>
                      <a:off x="0" y="0"/>
                      <a:ext cx="6887210" cy="5605145"/>
                    </a:xfrm>
                    <a:prstGeom prst="rect">
                      <a:avLst/>
                    </a:prstGeom>
                  </pic:spPr>
                </pic:pic>
              </a:graphicData>
            </a:graphic>
          </wp:inline>
        </w:drawing>
      </w:r>
    </w:p>
    <w:p w14:paraId="282B326E">
      <w:pPr>
        <w:pStyle w:val="2"/>
        <w:ind w:left="0" w:leftChars="0" w:firstLine="0" w:firstLineChars="0"/>
        <w:jc w:val="center"/>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sectPr>
          <w:pgSz w:w="16838" w:h="11906" w:orient="landscape"/>
          <w:pgMar w:top="1191" w:right="1174" w:bottom="1020" w:left="1440" w:header="964" w:footer="794" w:gutter="0"/>
          <w:pgBorders>
            <w:top w:val="none" w:sz="0" w:space="0"/>
            <w:left w:val="none" w:sz="0" w:space="0"/>
            <w:bottom w:val="none" w:sz="0" w:space="0"/>
            <w:right w:val="none" w:sz="0" w:space="0"/>
          </w:pgBorders>
          <w:pgNumType w:fmt="decimal"/>
          <w:cols w:space="720" w:num="1"/>
          <w:titlePg/>
          <w:rtlGutter w:val="0"/>
          <w:docGrid w:type="linesAndChars" w:linePitch="312" w:charSpace="1024"/>
        </w:sectPr>
      </w:pPr>
      <w:r>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t>附图3-4    3F平面布置图</w:t>
      </w:r>
    </w:p>
    <w:p w14:paraId="6A517DC5">
      <w:pPr>
        <w:pStyle w:val="2"/>
        <w:jc w:val="center"/>
        <w:rPr>
          <w:rFonts w:hint="default"/>
          <w:lang w:val="en-US" w:eastAsia="zh-CN"/>
        </w:rPr>
      </w:pPr>
      <w:r>
        <w:drawing>
          <wp:anchor distT="0" distB="0" distL="114300" distR="114300" simplePos="0" relativeHeight="251668480" behindDoc="0" locked="0" layoutInCell="1" allowOverlap="1">
            <wp:simplePos x="0" y="0"/>
            <wp:positionH relativeFrom="column">
              <wp:posOffset>7063105</wp:posOffset>
            </wp:positionH>
            <wp:positionV relativeFrom="paragraph">
              <wp:posOffset>-42545</wp:posOffset>
            </wp:positionV>
            <wp:extent cx="730250" cy="641985"/>
            <wp:effectExtent l="0" t="0" r="0" b="0"/>
            <wp:wrapNone/>
            <wp:docPr id="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pic:cNvPicPr>
                      <a:picLocks noChangeAspect="1"/>
                    </pic:cNvPicPr>
                  </pic:nvPicPr>
                  <pic:blipFill>
                    <a:blip r:embed="rId46"/>
                    <a:srcRect b="16859"/>
                    <a:stretch>
                      <a:fillRect/>
                    </a:stretch>
                  </pic:blipFill>
                  <pic:spPr>
                    <a:xfrm>
                      <a:off x="0" y="0"/>
                      <a:ext cx="730250" cy="641985"/>
                    </a:xfrm>
                    <a:prstGeom prst="rect">
                      <a:avLst/>
                    </a:prstGeom>
                    <a:noFill/>
                    <a:ln>
                      <a:noFill/>
                    </a:ln>
                  </pic:spPr>
                </pic:pic>
              </a:graphicData>
            </a:graphic>
          </wp:anchor>
        </w:drawing>
      </w:r>
      <w:r>
        <w:rPr>
          <w:rFonts w:hint="default"/>
          <w:lang w:val="en-US" w:eastAsia="zh-CN"/>
        </w:rPr>
        <w:drawing>
          <wp:inline distT="0" distB="0" distL="114300" distR="114300">
            <wp:extent cx="7366635" cy="5500370"/>
            <wp:effectExtent l="0" t="0" r="0" b="0"/>
            <wp:docPr id="85" name="图片 85" descr="渑池县中医院精神病房楼建筑平面图 - 副本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渑池县中医院精神病房楼建筑平面图 - 副本_页面_5"/>
                    <pic:cNvPicPr>
                      <a:picLocks noChangeAspect="1"/>
                    </pic:cNvPicPr>
                  </pic:nvPicPr>
                  <pic:blipFill>
                    <a:blip r:embed="rId50">
                      <a:clrChange>
                        <a:clrFrom>
                          <a:srgbClr val="FFFFFF">
                            <a:alpha val="100000"/>
                          </a:srgbClr>
                        </a:clrFrom>
                        <a:clrTo>
                          <a:srgbClr val="FFFFFF">
                            <a:alpha val="100000"/>
                            <a:alpha val="0"/>
                          </a:srgbClr>
                        </a:clrTo>
                      </a:clrChange>
                    </a:blip>
                    <a:srcRect l="8852" t="11347" r="15484" b="13347"/>
                    <a:stretch>
                      <a:fillRect/>
                    </a:stretch>
                  </pic:blipFill>
                  <pic:spPr>
                    <a:xfrm>
                      <a:off x="0" y="0"/>
                      <a:ext cx="7366635" cy="5500370"/>
                    </a:xfrm>
                    <a:prstGeom prst="rect">
                      <a:avLst/>
                    </a:prstGeom>
                  </pic:spPr>
                </pic:pic>
              </a:graphicData>
            </a:graphic>
          </wp:inline>
        </w:drawing>
      </w:r>
    </w:p>
    <w:p w14:paraId="0257F670">
      <w:pPr>
        <w:jc w:val="center"/>
        <w:rPr>
          <w:rFonts w:hint="default"/>
          <w:lang w:val="en-US" w:eastAsia="zh-CN"/>
        </w:rPr>
      </w:pPr>
      <w:r>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t>附图3-5    4F~6F平面布置图</w:t>
      </w:r>
    </w:p>
    <w:p w14:paraId="1BED0A6D">
      <w:pPr>
        <w:rPr>
          <w:rFonts w:hint="eastAsia" w:ascii="黑体" w:hAnsi="黑体" w:eastAsia="黑体" w:cs="黑体"/>
          <w:color w:val="000000" w:themeColor="text1"/>
          <w:sz w:val="28"/>
          <w:szCs w:val="28"/>
          <w:highlight w:val="none"/>
          <w:lang w:val="en-US" w:eastAsia="zh-CN"/>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br w:type="page"/>
      </w:r>
    </w:p>
    <w:p w14:paraId="21706D0E">
      <w:pPr>
        <w:pStyle w:val="2"/>
        <w:rPr>
          <w:rFonts w:hint="default"/>
          <w:lang w:val="en-US" w:eastAsia="zh-CN"/>
        </w:rPr>
        <w:sectPr>
          <w:pgSz w:w="16838" w:h="11906" w:orient="landscape"/>
          <w:pgMar w:top="1191" w:right="1174" w:bottom="1020" w:left="1440" w:header="964" w:footer="794" w:gutter="0"/>
          <w:pgBorders>
            <w:top w:val="none" w:sz="0" w:space="0"/>
            <w:left w:val="none" w:sz="0" w:space="0"/>
            <w:bottom w:val="none" w:sz="0" w:space="0"/>
            <w:right w:val="none" w:sz="0" w:space="0"/>
          </w:pgBorders>
          <w:pgNumType w:fmt="decimal"/>
          <w:cols w:space="720" w:num="1"/>
          <w:titlePg/>
          <w:rtlGutter w:val="0"/>
          <w:docGrid w:type="linesAndChars" w:linePitch="312" w:charSpace="1024"/>
        </w:sectPr>
      </w:pPr>
    </w:p>
    <w:p w14:paraId="51D31704">
      <w:pPr>
        <w:pStyle w:val="191"/>
        <w:rPr>
          <w:color w:val="000000" w:themeColor="text1"/>
          <w:sz w:val="28"/>
          <w:highlight w:val="none"/>
          <w14:textFill>
            <w14:solidFill>
              <w14:schemeClr w14:val="tx1"/>
            </w14:solidFill>
          </w14:textFill>
        </w:rPr>
      </w:pPr>
    </w:p>
    <w:p w14:paraId="034BF751">
      <w:pPr>
        <w:pStyle w:val="191"/>
        <w:jc w:val="center"/>
        <w:rPr>
          <w:color w:val="000000" w:themeColor="text1"/>
          <w:highlight w:val="none"/>
          <w14:textFill>
            <w14:solidFill>
              <w14:schemeClr w14:val="tx1"/>
            </w14:solidFill>
          </w14:textFill>
        </w:rPr>
      </w:pPr>
      <w:r>
        <w:rPr>
          <w:sz w:val="28"/>
        </w:rPr>
        <mc:AlternateContent>
          <mc:Choice Requires="wpg">
            <w:drawing>
              <wp:anchor distT="0" distB="0" distL="114300" distR="114300" simplePos="0" relativeHeight="251688960" behindDoc="0" locked="0" layoutInCell="1" allowOverlap="1">
                <wp:simplePos x="0" y="0"/>
                <wp:positionH relativeFrom="column">
                  <wp:posOffset>108585</wp:posOffset>
                </wp:positionH>
                <wp:positionV relativeFrom="paragraph">
                  <wp:posOffset>52705</wp:posOffset>
                </wp:positionV>
                <wp:extent cx="5912485" cy="6822440"/>
                <wp:effectExtent l="0" t="0" r="12065" b="16510"/>
                <wp:wrapNone/>
                <wp:docPr id="9" name="组合 9"/>
                <wp:cNvGraphicFramePr/>
                <a:graphic xmlns:a="http://schemas.openxmlformats.org/drawingml/2006/main">
                  <a:graphicData uri="http://schemas.microsoft.com/office/word/2010/wordprocessingGroup">
                    <wpg:wgp>
                      <wpg:cNvGrpSpPr/>
                      <wpg:grpSpPr>
                        <a:xfrm>
                          <a:off x="0" y="0"/>
                          <a:ext cx="5912485" cy="6822440"/>
                          <a:chOff x="9261" y="728255"/>
                          <a:chExt cx="9311" cy="10744"/>
                        </a:xfrm>
                      </wpg:grpSpPr>
                      <wps:wsp>
                        <wps:cNvPr id="32" name="矩形 10"/>
                        <wps:cNvSpPr/>
                        <wps:spPr>
                          <a:xfrm>
                            <a:off x="16344" y="729473"/>
                            <a:ext cx="1651" cy="869"/>
                          </a:xfrm>
                          <a:prstGeom prst="rect">
                            <a:avLst/>
                          </a:prstGeom>
                          <a:noFill/>
                          <a:ln w="25400">
                            <a:noFill/>
                          </a:ln>
                        </wps:spPr>
                        <wps:txbx>
                          <w:txbxContent>
                            <w:p w14:paraId="626BA692">
                              <w:pPr>
                                <w:jc w:val="center"/>
                                <w:rPr>
                                  <w:rFonts w:hint="default" w:eastAsia="华文宋体"/>
                                  <w:b/>
                                  <w:bCs/>
                                  <w:color w:val="FF0000"/>
                                  <w:lang w:val="en-US" w:eastAsia="zh-CN"/>
                                </w:rPr>
                              </w:pPr>
                              <w:r>
                                <w:rPr>
                                  <w:rFonts w:hint="eastAsia"/>
                                  <w:b/>
                                  <w:bCs/>
                                  <w:color w:val="FF0000"/>
                                  <w:lang w:val="en-US" w:eastAsia="zh-CN"/>
                                </w:rPr>
                                <w:t>扩建项目</w:t>
                              </w:r>
                            </w:p>
                          </w:txbxContent>
                        </wps:txbx>
                        <wps:bodyPr vert="horz" wrap="square" anchor="ctr" anchorCtr="0" upright="1"/>
                      </wps:wsp>
                      <pic:pic xmlns:pic="http://schemas.openxmlformats.org/drawingml/2006/picture">
                        <pic:nvPicPr>
                          <pic:cNvPr id="33" name="图片 2"/>
                          <pic:cNvPicPr>
                            <a:picLocks noChangeAspect="1"/>
                          </pic:cNvPicPr>
                        </pic:nvPicPr>
                        <pic:blipFill>
                          <a:blip r:embed="rId41"/>
                          <a:stretch>
                            <a:fillRect/>
                          </a:stretch>
                        </pic:blipFill>
                        <pic:spPr>
                          <a:xfrm>
                            <a:off x="9261" y="728255"/>
                            <a:ext cx="1635" cy="1140"/>
                          </a:xfrm>
                          <a:prstGeom prst="rect">
                            <a:avLst/>
                          </a:prstGeom>
                          <a:noFill/>
                          <a:ln>
                            <a:noFill/>
                          </a:ln>
                        </pic:spPr>
                      </pic:pic>
                      <wpg:grpSp>
                        <wpg:cNvPr id="4" name="组合 4"/>
                        <wpg:cNvGrpSpPr/>
                        <wpg:grpSpPr>
                          <a:xfrm rot="0">
                            <a:off x="16174" y="738029"/>
                            <a:ext cx="2398" cy="971"/>
                            <a:chOff x="18617" y="495332"/>
                            <a:chExt cx="2398" cy="971"/>
                          </a:xfrm>
                        </wpg:grpSpPr>
                        <wps:wsp>
                          <wps:cNvPr id="34" name="矩形 3"/>
                          <wps:cNvSpPr/>
                          <wps:spPr>
                            <a:xfrm>
                              <a:off x="18617" y="495332"/>
                              <a:ext cx="2398" cy="9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32C043">
                                <w:pPr>
                                  <w:keepNext w:val="0"/>
                                  <w:keepLines w:val="0"/>
                                  <w:pageBreakBefore w:val="0"/>
                                  <w:widowControl w:val="0"/>
                                  <w:kinsoku/>
                                  <w:wordWrap/>
                                  <w:overflowPunct/>
                                  <w:topLinePunct w:val="0"/>
                                  <w:autoSpaceDE/>
                                  <w:autoSpaceDN/>
                                  <w:bidi w:val="0"/>
                                  <w:adjustRightInd/>
                                  <w:snapToGrid/>
                                  <w:spacing w:after="93" w:afterLines="30"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图  例：</w:t>
                                </w:r>
                              </w:p>
                              <w:p w14:paraId="0DD5BC7E">
                                <w:pPr>
                                  <w:keepNext w:val="0"/>
                                  <w:keepLines w:val="0"/>
                                  <w:pageBreakBefore w:val="0"/>
                                  <w:widowControl w:val="0"/>
                                  <w:kinsoku/>
                                  <w:wordWrap/>
                                  <w:overflowPunct/>
                                  <w:topLinePunct w:val="0"/>
                                  <w:autoSpaceDE/>
                                  <w:autoSpaceDN/>
                                  <w:bidi w:val="0"/>
                                  <w:adjustRightInd/>
                                  <w:snapToGrid/>
                                  <w:spacing w:after="93" w:afterLines="30" w:line="240" w:lineRule="auto"/>
                                  <w:ind w:firstLine="525" w:firstLineChars="25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环境空气监测点</w:t>
                                </w:r>
                              </w:p>
                            </w:txbxContent>
                          </wps:txbx>
                          <wps:bodyPr vert="horz" wrap="square" anchor="t" anchorCtr="0" upright="1"/>
                        </wps:wsp>
                        <wps:wsp>
                          <wps:cNvPr id="36" name="五角星 8"/>
                          <wps:cNvSpPr/>
                          <wps:spPr>
                            <a:xfrm>
                              <a:off x="18828" y="495821"/>
                              <a:ext cx="283" cy="283"/>
                            </a:xfrm>
                            <a:custGeom>
                              <a:avLst/>
                              <a:gdLst/>
                              <a:ahLst/>
                              <a:cxnLst>
                                <a:cxn ang="16200000">
                                  <a:pos x="141" y="0"/>
                                </a:cxn>
                                <a:cxn ang="10800000">
                                  <a:pos x="0" y="108"/>
                                </a:cxn>
                                <a:cxn ang="5400000">
                                  <a:pos x="54" y="282"/>
                                </a:cxn>
                                <a:cxn ang="5400000">
                                  <a:pos x="228" y="282"/>
                                </a:cxn>
                                <a:cxn ang="0">
                                  <a:pos x="282" y="108"/>
                                </a:cxn>
                              </a:cxnLst>
                              <a:pathLst>
                                <a:path w="283" h="283">
                                  <a:moveTo>
                                    <a:pt x="0" y="108"/>
                                  </a:moveTo>
                                  <a:lnTo>
                                    <a:pt x="108" y="108"/>
                                  </a:lnTo>
                                  <a:lnTo>
                                    <a:pt x="141" y="0"/>
                                  </a:lnTo>
                                  <a:lnTo>
                                    <a:pt x="174" y="108"/>
                                  </a:lnTo>
                                  <a:lnTo>
                                    <a:pt x="282" y="108"/>
                                  </a:lnTo>
                                  <a:lnTo>
                                    <a:pt x="195" y="174"/>
                                  </a:lnTo>
                                  <a:lnTo>
                                    <a:pt x="228" y="282"/>
                                  </a:lnTo>
                                  <a:lnTo>
                                    <a:pt x="141" y="216"/>
                                  </a:lnTo>
                                  <a:lnTo>
                                    <a:pt x="54" y="282"/>
                                  </a:lnTo>
                                  <a:lnTo>
                                    <a:pt x="87" y="174"/>
                                  </a:lnTo>
                                  <a:close/>
                                </a:path>
                              </a:pathLst>
                            </a:custGeom>
                            <a:pattFill prst="pct5">
                              <a:fgClr>
                                <a:srgbClr val="FF0000"/>
                              </a:fgClr>
                              <a:bgClr>
                                <a:srgbClr val="FF0000"/>
                              </a:bgClr>
                            </a:pattFill>
                            <a:ln>
                              <a:noFill/>
                            </a:ln>
                          </wps:spPr>
                          <wps:bodyPr vert="horz" wrap="square" anchor="t" anchorCtr="0" upright="1"/>
                        </wps:wsp>
                      </wpg:grpSp>
                      <wps:wsp>
                        <wps:cNvPr id="27" name="五角星 27"/>
                        <wps:cNvSpPr/>
                        <wps:spPr>
                          <a:xfrm>
                            <a:off x="11222" y="737043"/>
                            <a:ext cx="218" cy="255"/>
                          </a:xfrm>
                          <a:prstGeom prst="star5">
                            <a:avLst/>
                          </a:prstGeom>
                          <a:solidFill>
                            <a:srgbClr val="FF0000">
                              <a:alpha val="77000"/>
                            </a:srgbClr>
                          </a:solid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直线 90"/>
                        <wps:cNvCnPr>
                          <a:stCxn id="8" idx="3"/>
                          <a:endCxn id="27" idx="4"/>
                        </wps:cNvCnPr>
                        <wps:spPr>
                          <a:xfrm flipH="1">
                            <a:off x="11440" y="730530"/>
                            <a:ext cx="5079" cy="6610"/>
                          </a:xfrm>
                          <a:prstGeom prst="line">
                            <a:avLst/>
                          </a:prstGeom>
                          <a:ln w="9525" cap="flat" cmpd="sng">
                            <a:solidFill>
                              <a:srgbClr val="FFFF00"/>
                            </a:solidFill>
                            <a:prstDash val="solid"/>
                            <a:headEnd type="none" w="med" len="med"/>
                            <a:tailEnd type="triangle" w="med" len="med"/>
                          </a:ln>
                        </wps:spPr>
                        <wps:bodyPr upright="1"/>
                      </wps:wsp>
                      <wps:wsp>
                        <wps:cNvPr id="39" name="矩形 12"/>
                        <wps:cNvSpPr/>
                        <wps:spPr>
                          <a:xfrm>
                            <a:off x="13605" y="733053"/>
                            <a:ext cx="962" cy="570"/>
                          </a:xfrm>
                          <a:prstGeom prst="rect">
                            <a:avLst/>
                          </a:prstGeom>
                          <a:noFill/>
                          <a:ln w="25400">
                            <a:noFill/>
                          </a:ln>
                        </wps:spPr>
                        <wps:txbx>
                          <w:txbxContent>
                            <w:p w14:paraId="60E5980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bCs/>
                                  <w:color w:val="FFFF00"/>
                                  <w:highlight w:val="none"/>
                                  <w:lang w:val="en-US" w:eastAsia="zh-CN"/>
                                </w:rPr>
                              </w:pPr>
                              <w:r>
                                <w:rPr>
                                  <w:rFonts w:hint="eastAsia" w:ascii="Times New Roman" w:hAnsi="Times New Roman" w:cs="Times New Roman"/>
                                  <w:b/>
                                  <w:bCs/>
                                  <w:color w:val="FFFF00"/>
                                  <w:highlight w:val="none"/>
                                  <w:lang w:val="en-US" w:eastAsia="zh-CN"/>
                                </w:rPr>
                                <w:t>725</w:t>
                              </w:r>
                              <w:r>
                                <w:rPr>
                                  <w:rFonts w:hint="default" w:ascii="Times New Roman" w:hAnsi="Times New Roman" w:cs="Times New Roman"/>
                                  <w:b/>
                                  <w:bCs/>
                                  <w:color w:val="FFFF00"/>
                                  <w:highlight w:val="none"/>
                                  <w:lang w:val="en-US" w:eastAsia="zh-CN"/>
                                </w:rPr>
                                <w:t>m</w:t>
                              </w:r>
                            </w:p>
                          </w:txbxContent>
                        </wps:txbx>
                        <wps:bodyPr vert="horz" wrap="square" anchor="ctr" anchorCtr="0" upright="1"/>
                      </wps:wsp>
                      <wps:wsp>
                        <wps:cNvPr id="8" name="任意多边形 8"/>
                        <wps:cNvSpPr>
                          <a:spLocks noChangeAspect="1"/>
                        </wps:cNvSpPr>
                        <wps:spPr>
                          <a:xfrm>
                            <a:off x="16519" y="729068"/>
                            <a:ext cx="1343" cy="1719"/>
                          </a:xfrm>
                          <a:custGeom>
                            <a:avLst/>
                            <a:gdLst>
                              <a:gd name="connisteX0" fmla="*/ 169545 w 494030"/>
                              <a:gd name="connsiteY0" fmla="*/ 0 h 631825"/>
                              <a:gd name="connisteX1" fmla="*/ 158750 w 494030"/>
                              <a:gd name="connsiteY1" fmla="*/ 76200 h 631825"/>
                              <a:gd name="connisteX2" fmla="*/ 53975 w 494030"/>
                              <a:gd name="connsiteY2" fmla="*/ 223520 h 631825"/>
                              <a:gd name="connisteX3" fmla="*/ 0 w 494030"/>
                              <a:gd name="connsiteY3" fmla="*/ 537210 h 631825"/>
                              <a:gd name="connisteX4" fmla="*/ 353060 w 494030"/>
                              <a:gd name="connsiteY4" fmla="*/ 631825 h 631825"/>
                              <a:gd name="connisteX5" fmla="*/ 494030 w 494030"/>
                              <a:gd name="connsiteY5" fmla="*/ 201295 h 631825"/>
                              <a:gd name="connisteX6" fmla="*/ 421640 w 494030"/>
                              <a:gd name="connsiteY6" fmla="*/ 64770 h 631825"/>
                              <a:gd name="connisteX7" fmla="*/ 169545 w 494030"/>
                              <a:gd name="connsiteY7" fmla="*/ 0 h 6318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494030" h="631825">
                                <a:moveTo>
                                  <a:pt x="169545" y="0"/>
                                </a:moveTo>
                                <a:lnTo>
                                  <a:pt x="158750" y="76200"/>
                                </a:lnTo>
                                <a:lnTo>
                                  <a:pt x="53975" y="223520"/>
                                </a:lnTo>
                                <a:lnTo>
                                  <a:pt x="0" y="537210"/>
                                </a:lnTo>
                                <a:lnTo>
                                  <a:pt x="353060" y="631825"/>
                                </a:lnTo>
                                <a:lnTo>
                                  <a:pt x="494030" y="201295"/>
                                </a:lnTo>
                                <a:lnTo>
                                  <a:pt x="421640" y="64770"/>
                                </a:lnTo>
                                <a:lnTo>
                                  <a:pt x="169545" y="0"/>
                                </a:lnTo>
                                <a:close/>
                              </a:path>
                            </a:pathLst>
                          </a:custGeom>
                          <a:ln w="19050">
                            <a:solidFill>
                              <a:srgbClr val="FF0000"/>
                            </a:solidFill>
                          </a:ln>
                        </wps:spPr>
                        <wps:style>
                          <a:lnRef idx="2">
                            <a:schemeClr val="accent1"/>
                          </a:lnRef>
                          <a:fillRef idx="0">
                            <a:srgbClr val="FFFFFF"/>
                          </a:fillRef>
                          <a:effectRef idx="0">
                            <a:srgbClr val="FFFFFF"/>
                          </a:effectRef>
                          <a:fontRef idx="minor">
                            <a:schemeClr val="dk1"/>
                          </a:fontRef>
                        </wps:style>
                        <wps:bodyPr/>
                      </wps:wsp>
                    </wpg:wgp>
                  </a:graphicData>
                </a:graphic>
              </wp:anchor>
            </w:drawing>
          </mc:Choice>
          <mc:Fallback>
            <w:pict>
              <v:group id="_x0000_s1026" o:spid="_x0000_s1026" o:spt="203" style="position:absolute;left:0pt;margin-left:8.55pt;margin-top:4.15pt;height:537.2pt;width:465.55pt;z-index:251688960;mso-width-relative:page;mso-height-relative:page;" coordorigin="9261,728255" coordsize="9311,10744" o:gfxdata="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">
                <o:lock v:ext="edit" aspectratio="f"/>
                <v:rect id="矩形 10" o:spid="_x0000_s1026" o:spt="1" style="position:absolute;left:16344;top:729473;height:869;width:1651;v-text-anchor:middle;" filled="f" stroked="f" coordsize="21600,21600" o:gfxdata="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GKb4A&#10;AADbAAAADwAAAAAAAAABACAAAAAiAAAAZHJzL2Rvd25yZXYueG1sUEsBAhQAFAAAAAgAh07iQDMv&#10;BZ47AAAAOQAAABAAAAAAAAAAAQAgAAAADQEAAGRycy9zaGFwZXhtbC54bWxQSwUGAAAAAAYABgBb&#10;AQAAtwMAAAAA&#10;">
                  <v:fill on="f" focussize="0,0"/>
                  <v:stroke on="f" weight="2pt"/>
                  <v:imagedata o:title=""/>
                  <o:lock v:ext="edit" aspectratio="f"/>
                  <v:textbox>
                    <w:txbxContent>
                      <w:p w14:paraId="626BA692">
                        <w:pPr>
                          <w:jc w:val="center"/>
                          <w:rPr>
                            <w:rFonts w:hint="default" w:eastAsia="华文宋体"/>
                            <w:b/>
                            <w:bCs/>
                            <w:color w:val="FF0000"/>
                            <w:lang w:val="en-US" w:eastAsia="zh-CN"/>
                          </w:rPr>
                        </w:pPr>
                        <w:r>
                          <w:rPr>
                            <w:rFonts w:hint="eastAsia"/>
                            <w:b/>
                            <w:bCs/>
                            <w:color w:val="FF0000"/>
                            <w:lang w:val="en-US" w:eastAsia="zh-CN"/>
                          </w:rPr>
                          <w:t>扩建项目</w:t>
                        </w:r>
                      </w:p>
                    </w:txbxContent>
                  </v:textbox>
                </v:rect>
                <v:shape id="图片 2" o:spid="_x0000_s1026" o:spt="75" type="#_x0000_t75" style="position:absolute;left:9261;top:728255;height:1140;width:1635;" filled="f" o:preferrelative="t" stroked="f" coordsize="21600,21600" o:gfxdata="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aFB2/&#10;AAAA2wAAAA8AAAAAAAAAAQAgAAAAIgAAAGRycy9kb3ducmV2LnhtbFBLAQIUABQAAAAIAIdO4kAz&#10;LwWeOwAAADkAAAAQAAAAAAAAAAEAIAAAAA4BAABkcnMvc2hhcGV4bWwueG1sUEsFBgAAAAAGAAYA&#10;WwEAALgDAAAAAA==&#10;">
                  <v:fill on="f" focussize="0,0"/>
                  <v:stroke on="f"/>
                  <v:imagedata r:id="rId41" o:title=""/>
                  <o:lock v:ext="edit" aspectratio="t"/>
                </v:shape>
                <v:group id="_x0000_s1026" o:spid="_x0000_s1026" o:spt="203" style="position:absolute;left:16174;top:738029;height:971;width:2398;" coordorigin="18617,495332" coordsize="2398,971"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rect id="矩形 3" o:spid="_x0000_s1026" o:spt="1" style="position:absolute;left:18617;top:495332;height:971;width:2398;" fillcolor="#FFFFFF" filled="t" stroked="t" coordsize="21600,21600" o:gfxdata="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kT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632C043">
                          <w:pPr>
                            <w:keepNext w:val="0"/>
                            <w:keepLines w:val="0"/>
                            <w:pageBreakBefore w:val="0"/>
                            <w:widowControl w:val="0"/>
                            <w:kinsoku/>
                            <w:wordWrap/>
                            <w:overflowPunct/>
                            <w:topLinePunct w:val="0"/>
                            <w:autoSpaceDE/>
                            <w:autoSpaceDN/>
                            <w:bidi w:val="0"/>
                            <w:adjustRightInd/>
                            <w:snapToGrid/>
                            <w:spacing w:after="93" w:afterLines="30"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图  例：</w:t>
                          </w:r>
                        </w:p>
                        <w:p w14:paraId="0DD5BC7E">
                          <w:pPr>
                            <w:keepNext w:val="0"/>
                            <w:keepLines w:val="0"/>
                            <w:pageBreakBefore w:val="0"/>
                            <w:widowControl w:val="0"/>
                            <w:kinsoku/>
                            <w:wordWrap/>
                            <w:overflowPunct/>
                            <w:topLinePunct w:val="0"/>
                            <w:autoSpaceDE/>
                            <w:autoSpaceDN/>
                            <w:bidi w:val="0"/>
                            <w:adjustRightInd/>
                            <w:snapToGrid/>
                            <w:spacing w:after="93" w:afterLines="30" w:line="240" w:lineRule="auto"/>
                            <w:ind w:firstLine="525" w:firstLineChars="25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环境空气监测点</w:t>
                          </w:r>
                        </w:p>
                      </w:txbxContent>
                    </v:textbox>
                  </v:rect>
                  <v:shape id="五角星 8" o:spid="_x0000_s1026" o:spt="100" style="position:absolute;left:18828;top:495821;height:283;width:283;" fillcolor="#FF0000" filled="t" stroked="f" coordsize="283,283" o:gfxdata="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dbHq/&#10;AAAA2wAAAA8AAAAAAAAAAQAgAAAAIgAAAGRycy9kb3ducmV2LnhtbFBLAQIUABQAAAAIAIdO4kAz&#10;LwWeOwAAADkAAAAQAAAAAAAAAAEAIAAAAA4BAABkcnMvc2hhcGV4bWwueG1sUEsFBgAAAAAGAAYA&#10;WwEAALgDAAAAAA==&#10;" path="m0,108l108,108,141,0,174,108,282,108,195,174,228,282,141,216,54,282,87,174xe">
                    <v:path o:connectlocs="141,0;0,108;54,282;228,282;282,108" o:connectangles="247,164,82,82,0"/>
                    <v:fill type="pattern" on="t" color2="#FF0000" o:title="5%" focussize="0,0" r:id="rId51"/>
                    <v:stroke on="f"/>
                    <v:imagedata o:title=""/>
                    <o:lock v:ext="edit" aspectratio="f"/>
                  </v:shape>
                </v:group>
                <v:shape id="_x0000_s1026" o:spid="_x0000_s1026" style="position:absolute;left:11222;top:737043;height:255;width:218;v-text-anchor:middle;" fillcolor="#FF0000" filled="t" stroked="t" coordsize="218,255" o:gfxdata="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2Jk68AAAA&#10;2wAAAA8AAAAAAAAAAQAgAAAAIgAAAGRycy9kb3ducmV2LnhtbFBLAQIUABQAAAAIAIdO4kAzLwWe&#10;OwAAADkAAAAQAAAAAAAAAAEAIAAAAAsBAABkcnMvc2hhcGV4bWwueG1sUEsFBgAAAAAGAAYAWwEA&#10;ALUDAAAAAA==&#10;" path="m0,97l83,97,109,0,134,97,217,97,150,157,176,254,109,194,41,254,67,157xe">
                  <v:path o:connectlocs="109,0;0,97;41,254;176,254;217,97" o:connectangles="247,164,82,82,0"/>
                  <v:fill on="t" opacity="50462f" focussize="0,0"/>
                  <v:stroke weight="1pt" color="#FF0000 [3204]" joinstyle="round"/>
                  <v:imagedata o:title=""/>
                  <o:lock v:ext="edit" aspectratio="f"/>
                </v:shape>
                <v:line id="直线 90" o:spid="_x0000_s1026" o:spt="20" style="position:absolute;left:11440;top:730530;flip:x;height:6610;width:5079;" filled="f" stroked="t" coordsize="21600,21600" o:gfxdata="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2skG8AAAA&#10;2wAAAA8AAAAAAAAAAQAgAAAAIgAAAGRycy9kb3ducmV2LnhtbFBLAQIUABQAAAAIAIdO4kAzLwWe&#10;OwAAADkAAAAQAAAAAAAAAAEAIAAAAAsBAABkcnMvc2hhcGV4bWwueG1sUEsFBgAAAAAGAAYAWwEA&#10;ALUDAAAAAA==&#10;">
                  <v:fill on="f" focussize="0,0"/>
                  <v:stroke color="#FFFF00" joinstyle="round" endarrow="block"/>
                  <v:imagedata o:title=""/>
                  <o:lock v:ext="edit" aspectratio="f"/>
                </v:line>
                <v:rect id="矩形 12" o:spid="_x0000_s1026" o:spt="1" style="position:absolute;left:13605;top:733053;height:570;width:962;v-text-anchor:middle;" filled="f" stroked="f" coordsize="21600,21600" o:gfxdata="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ZJRYvQAA&#10;ANsAAAAPAAAAAAAAAAEAIAAAACIAAABkcnMvZG93bnJldi54bWxQSwECFAAUAAAACACHTuJAMy8F&#10;njsAAAA5AAAAEAAAAAAAAAABACAAAAAMAQAAZHJzL3NoYXBleG1sLnhtbFBLBQYAAAAABgAGAFsB&#10;AAC2AwAAAAA=&#10;">
                  <v:fill on="f" focussize="0,0"/>
                  <v:stroke on="f" weight="2pt"/>
                  <v:imagedata o:title=""/>
                  <o:lock v:ext="edit" aspectratio="f"/>
                  <v:textbox>
                    <w:txbxContent>
                      <w:p w14:paraId="60E5980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bCs/>
                            <w:color w:val="FFFF00"/>
                            <w:highlight w:val="none"/>
                            <w:lang w:val="en-US" w:eastAsia="zh-CN"/>
                          </w:rPr>
                        </w:pPr>
                        <w:r>
                          <w:rPr>
                            <w:rFonts w:hint="eastAsia" w:ascii="Times New Roman" w:hAnsi="Times New Roman" w:cs="Times New Roman"/>
                            <w:b/>
                            <w:bCs/>
                            <w:color w:val="FFFF00"/>
                            <w:highlight w:val="none"/>
                            <w:lang w:val="en-US" w:eastAsia="zh-CN"/>
                          </w:rPr>
                          <w:t>725</w:t>
                        </w:r>
                        <w:r>
                          <w:rPr>
                            <w:rFonts w:hint="default" w:ascii="Times New Roman" w:hAnsi="Times New Roman" w:cs="Times New Roman"/>
                            <w:b/>
                            <w:bCs/>
                            <w:color w:val="FFFF00"/>
                            <w:highlight w:val="none"/>
                            <w:lang w:val="en-US" w:eastAsia="zh-CN"/>
                          </w:rPr>
                          <w:t>m</w:t>
                        </w:r>
                      </w:p>
                    </w:txbxContent>
                  </v:textbox>
                </v:rect>
                <v:shape id="_x0000_s1026" o:spid="_x0000_s1026" o:spt="100" style="position:absolute;left:16519;top:729068;height:1719;width:1343;" filled="f" stroked="t" coordsize="494030,631825" o:gfxdata="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W/GqrgAAADaAAAA&#10;DwAAAAAAAAABACAAAAAiAAAAZHJzL2Rvd25yZXYueG1sUEsBAhQAFAAAAAgAh07iQDMvBZ47AAAA&#10;OQAAABAAAAAAAAAAAQAgAAAABwEAAGRycy9zaGFwZXhtbC54bWxQSwUGAAAAAAYABgBbAQAAsQMA&#10;AAAA&#10;" path="m169545,0l158750,76200,53975,223520,0,537210,353060,631825,494030,201295,421640,64770,169545,0xe">
                  <v:path o:connectlocs="460,0;431,207;146,608;0,1461;959,1719;1343,547;1146,176;460,0" o:connectangles="0,0,0,0,0,0,0,0"/>
                  <v:fill on="f" focussize="0,0"/>
                  <v:stroke weight="1.5pt" color="#FF0000 [3204]" joinstyle="round"/>
                  <v:imagedata o:title=""/>
                  <o:lock v:ext="edit" aspectratio="t"/>
                </v:shape>
              </v:group>
            </w:pict>
          </mc:Fallback>
        </mc:AlternateContent>
      </w:r>
      <w:r>
        <w:drawing>
          <wp:inline distT="0" distB="0" distL="114300" distR="114300">
            <wp:extent cx="5908040" cy="6819265"/>
            <wp:effectExtent l="19050" t="19050" r="35560" b="1968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52"/>
                    <a:stretch>
                      <a:fillRect/>
                    </a:stretch>
                  </pic:blipFill>
                  <pic:spPr>
                    <a:xfrm>
                      <a:off x="0" y="0"/>
                      <a:ext cx="5908040" cy="6819265"/>
                    </a:xfrm>
                    <a:prstGeom prst="rect">
                      <a:avLst/>
                    </a:prstGeom>
                    <a:noFill/>
                    <a:ln w="19050" cmpd="sng">
                      <a:solidFill>
                        <a:schemeClr val="tx1"/>
                      </a:solidFill>
                      <a:prstDash val="solid"/>
                    </a:ln>
                  </pic:spPr>
                </pic:pic>
              </a:graphicData>
            </a:graphic>
          </wp:inline>
        </w:drawing>
      </w:r>
    </w:p>
    <w:p w14:paraId="5D8BFF93">
      <w:pPr>
        <w:jc w:val="center"/>
        <w:rPr>
          <w:rFonts w:hint="eastAsia" w:ascii="黑体" w:hAnsi="黑体" w:eastAsia="黑体" w:cs="黑体"/>
          <w:color w:val="000000" w:themeColor="text1"/>
          <w:sz w:val="28"/>
          <w:szCs w:val="28"/>
          <w:highlight w:val="none"/>
          <w:lang w:val="en-US" w:eastAsia="zh-CN"/>
          <w14:textFill>
            <w14:solidFill>
              <w14:schemeClr w14:val="tx1"/>
            </w14:solidFill>
          </w14:textFill>
        </w:rPr>
      </w:pPr>
      <w:r>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t>附图4  项</w:t>
      </w:r>
      <w:r>
        <w:rPr>
          <w:rFonts w:hint="eastAsia" w:ascii="黑体" w:hAnsi="黑体" w:eastAsia="黑体" w:cs="黑体"/>
          <w:color w:val="000000" w:themeColor="text1"/>
          <w:sz w:val="28"/>
          <w:szCs w:val="28"/>
          <w:highlight w:val="none"/>
          <w:lang w:val="en-US" w:eastAsia="zh-CN"/>
          <w14:textFill>
            <w14:solidFill>
              <w14:schemeClr w14:val="tx1"/>
            </w14:solidFill>
          </w14:textFill>
        </w:rPr>
        <w:t>目现状监测布点图</w:t>
      </w:r>
    </w:p>
    <w:p w14:paraId="15578427">
      <w:pPr>
        <w:pStyle w:val="2"/>
        <w:keepNext w:val="0"/>
        <w:keepLines w:val="0"/>
        <w:pageBreakBefore w:val="0"/>
        <w:widowControl w:val="0"/>
        <w:kinsoku/>
        <w:wordWrap/>
        <w:overflowPunct/>
        <w:topLinePunct w:val="0"/>
        <w:autoSpaceDE/>
        <w:autoSpaceDN/>
        <w:bidi w:val="0"/>
        <w:adjustRightInd/>
        <w:snapToGrid w:val="0"/>
        <w:ind w:left="0" w:right="0" w:firstLine="0"/>
        <w:textAlignment w:val="auto"/>
        <w:rPr>
          <w:color w:val="000000" w:themeColor="text1"/>
          <w:sz w:val="32"/>
          <w:highlight w:val="none"/>
          <w14:textFill>
            <w14:solidFill>
              <w14:schemeClr w14:val="tx1"/>
            </w14:solidFill>
          </w14:textFill>
        </w:rPr>
        <w:sectPr>
          <w:pgSz w:w="11906" w:h="16838"/>
          <w:pgMar w:top="1174" w:right="1020" w:bottom="1440" w:left="1191" w:header="964" w:footer="794" w:gutter="0"/>
          <w:pgBorders>
            <w:top w:val="none" w:sz="0" w:space="0"/>
            <w:left w:val="none" w:sz="0" w:space="0"/>
            <w:bottom w:val="none" w:sz="0" w:space="0"/>
            <w:right w:val="none" w:sz="0" w:space="0"/>
          </w:pgBorders>
          <w:pgNumType w:fmt="decimal"/>
          <w:cols w:space="0" w:num="1"/>
          <w:titlePg/>
          <w:rtlGutter w:val="0"/>
          <w:docGrid w:type="linesAndChars" w:linePitch="312" w:charSpace="1115"/>
        </w:sectPr>
      </w:pPr>
      <w:r>
        <w:rPr>
          <w:rFonts w:hint="eastAsia" w:ascii="黑体" w:hAnsi="黑体" w:eastAsia="黑体" w:cs="黑体"/>
          <w:color w:val="000000" w:themeColor="text1"/>
          <w:sz w:val="28"/>
          <w:szCs w:val="28"/>
          <w:highlight w:val="none"/>
          <w:lang w:val="en-US" w:eastAsia="zh-CN"/>
          <w14:textFill>
            <w14:solidFill>
              <w14:schemeClr w14:val="tx1"/>
            </w14:solidFill>
          </w14:textFill>
        </w:rPr>
        <w:br w:type="page"/>
      </w:r>
    </w:p>
    <w:p w14:paraId="404B5CF9">
      <w:pPr>
        <w:pStyle w:val="2"/>
        <w:keepNext w:val="0"/>
        <w:keepLines w:val="0"/>
        <w:pageBreakBefore w:val="0"/>
        <w:widowControl w:val="0"/>
        <w:kinsoku/>
        <w:wordWrap/>
        <w:overflowPunct/>
        <w:topLinePunct w:val="0"/>
        <w:autoSpaceDE/>
        <w:autoSpaceDN/>
        <w:bidi w:val="0"/>
        <w:adjustRightInd/>
        <w:snapToGrid w:val="0"/>
        <w:ind w:left="0" w:right="0" w:firstLine="0"/>
        <w:textAlignment w:val="auto"/>
        <w:rPr>
          <w:color w:val="000000" w:themeColor="text1"/>
          <w:highlight w:val="none"/>
          <w14:textFill>
            <w14:solidFill>
              <w14:schemeClr w14:val="tx1"/>
            </w14:solidFill>
          </w14:textFill>
        </w:rPr>
      </w:pPr>
      <w:r>
        <w:rPr>
          <w:sz w:val="32"/>
        </w:rPr>
        <mc:AlternateContent>
          <mc:Choice Requires="wps">
            <w:drawing>
              <wp:anchor distT="0" distB="0" distL="114300" distR="114300" simplePos="0" relativeHeight="251686912" behindDoc="0" locked="0" layoutInCell="1" allowOverlap="1">
                <wp:simplePos x="0" y="0"/>
                <wp:positionH relativeFrom="column">
                  <wp:posOffset>6225540</wp:posOffset>
                </wp:positionH>
                <wp:positionV relativeFrom="paragraph">
                  <wp:posOffset>2194560</wp:posOffset>
                </wp:positionV>
                <wp:extent cx="789305" cy="334010"/>
                <wp:effectExtent l="5080" t="5080" r="81915" b="441960"/>
                <wp:wrapNone/>
                <wp:docPr id="46" name="自选图形 190"/>
                <wp:cNvGraphicFramePr/>
                <a:graphic xmlns:a="http://schemas.openxmlformats.org/drawingml/2006/main">
                  <a:graphicData uri="http://schemas.microsoft.com/office/word/2010/wordprocessingShape">
                    <wps:wsp>
                      <wps:cNvSpPr/>
                      <wps:spPr>
                        <a:xfrm>
                          <a:off x="0" y="0"/>
                          <a:ext cx="789305" cy="334010"/>
                        </a:xfrm>
                        <a:prstGeom prst="wedgeRoundRectCallout">
                          <a:avLst>
                            <a:gd name="adj1" fmla="val 57320"/>
                            <a:gd name="adj2" fmla="val 172433"/>
                            <a:gd name="adj3" fmla="val 16667"/>
                          </a:avLst>
                        </a:prstGeom>
                        <a:solidFill>
                          <a:srgbClr val="FFFFFF"/>
                        </a:solidFill>
                        <a:ln w="9525" cap="flat" cmpd="sng">
                          <a:solidFill>
                            <a:srgbClr val="FF0000"/>
                          </a:solidFill>
                          <a:prstDash val="solid"/>
                          <a:miter/>
                          <a:headEnd type="none" w="med" len="med"/>
                          <a:tailEnd type="none" w="med" len="med"/>
                        </a:ln>
                      </wps:spPr>
                      <wps:txbx>
                        <w:txbxContent>
                          <w:p w14:paraId="3875D7DB">
                            <w:pPr>
                              <w:rPr>
                                <w:rFonts w:hint="default" w:eastAsia="宋体"/>
                                <w:b/>
                                <w:bCs/>
                                <w:color w:val="FF0000"/>
                                <w:lang w:val="en-US" w:eastAsia="zh-CN"/>
                              </w:rPr>
                            </w:pPr>
                            <w:r>
                              <w:rPr>
                                <w:rFonts w:hint="eastAsia"/>
                                <w:b/>
                                <w:bCs/>
                                <w:color w:val="FF0000"/>
                                <w:lang w:val="en-US" w:eastAsia="zh-CN"/>
                              </w:rPr>
                              <w:t>项目位置</w:t>
                            </w:r>
                          </w:p>
                        </w:txbxContent>
                      </wps:txbx>
                      <wps:bodyPr wrap="square" upright="1"/>
                    </wps:wsp>
                  </a:graphicData>
                </a:graphic>
              </wp:anchor>
            </w:drawing>
          </mc:Choice>
          <mc:Fallback>
            <w:pict>
              <v:shape id="自选图形 190" o:spid="_x0000_s1026" o:spt="62" type="#_x0000_t62" style="position:absolute;left:0pt;margin-left:490.2pt;margin-top:172.8pt;height:26.3pt;width:62.15pt;z-index:251686912;mso-width-relative:page;mso-height-relative:page;" fillcolor="#FFFFFF" filled="t" stroked="t" coordsize="21600,21600" o:gfxdata="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7LqkdoAAAAM&#10;AQAADwAAAAAAAAABACAAAAAiAAAAZHJzL2Rvd25yZXYueG1sUEsBAhQAFAAAAAgAh07iQNTABf9T&#10;AgAAxgQAAA4AAAAAAAAAAQAgAAAAKQEAAGRycy9lMm9Eb2MueG1sUEsFBgAAAAAGAAYAWQEAAO4F&#10;AAAAAA==&#10;" adj="23181,48046,14400">
                <v:fill on="t" focussize="0,0"/>
                <v:stroke color="#FF0000" joinstyle="miter"/>
                <v:imagedata o:title=""/>
                <o:lock v:ext="edit" aspectratio="f"/>
                <v:textbox>
                  <w:txbxContent>
                    <w:p w14:paraId="3875D7DB">
                      <w:pPr>
                        <w:rPr>
                          <w:rFonts w:hint="default" w:eastAsia="宋体"/>
                          <w:b/>
                          <w:bCs/>
                          <w:color w:val="FF0000"/>
                          <w:lang w:val="en-US" w:eastAsia="zh-CN"/>
                        </w:rPr>
                      </w:pPr>
                      <w:r>
                        <w:rPr>
                          <w:rFonts w:hint="eastAsia"/>
                          <w:b/>
                          <w:bCs/>
                          <w:color w:val="FF0000"/>
                          <w:lang w:val="en-US" w:eastAsia="zh-CN"/>
                        </w:rPr>
                        <w:t>项目位置</w:t>
                      </w:r>
                    </w:p>
                  </w:txbxContent>
                </v:textbox>
              </v:shape>
            </w:pict>
          </mc:Fallback>
        </mc:AlternateContent>
      </w:r>
      <w:r>
        <w:drawing>
          <wp:inline distT="0" distB="0" distL="114300" distR="114300">
            <wp:extent cx="9126855" cy="5562600"/>
            <wp:effectExtent l="0" t="0" r="17145"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53"/>
                    <a:srcRect r="4952"/>
                    <a:stretch>
                      <a:fillRect/>
                    </a:stretch>
                  </pic:blipFill>
                  <pic:spPr>
                    <a:xfrm>
                      <a:off x="0" y="0"/>
                      <a:ext cx="9126855" cy="5562600"/>
                    </a:xfrm>
                    <a:prstGeom prst="rect">
                      <a:avLst/>
                    </a:prstGeom>
                    <a:noFill/>
                    <a:ln>
                      <a:noFill/>
                    </a:ln>
                  </pic:spPr>
                </pic:pic>
              </a:graphicData>
            </a:graphic>
          </wp:inline>
        </w:drawing>
      </w:r>
    </w:p>
    <w:p w14:paraId="1709B12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color w:val="000000" w:themeColor="text1"/>
          <w:sz w:val="28"/>
          <w:szCs w:val="28"/>
          <w:highlight w:val="none"/>
          <w:lang w:val="en-US" w:eastAsia="zh-CN"/>
          <w14:textFill>
            <w14:solidFill>
              <w14:schemeClr w14:val="tx1"/>
            </w14:solidFill>
          </w14:textFill>
        </w:rPr>
        <w:sectPr>
          <w:pgSz w:w="16838" w:h="11906" w:orient="landscape"/>
          <w:pgMar w:top="1191" w:right="1174" w:bottom="1020" w:left="1440" w:header="964" w:footer="794" w:gutter="0"/>
          <w:pgBorders>
            <w:top w:val="none" w:sz="0" w:space="0"/>
            <w:left w:val="none" w:sz="0" w:space="0"/>
            <w:bottom w:val="none" w:sz="0" w:space="0"/>
            <w:right w:val="none" w:sz="0" w:space="0"/>
          </w:pgBorders>
          <w:pgNumType w:fmt="decimal"/>
          <w:cols w:space="0" w:num="1"/>
          <w:titlePg/>
          <w:rtlGutter w:val="0"/>
          <w:docGrid w:type="linesAndChars" w:linePitch="312" w:charSpace="1115"/>
        </w:sectPr>
      </w:pPr>
      <w:r>
        <w:rPr>
          <w:rFonts w:hint="eastAsia" w:ascii="Times New Roman" w:hAnsi="Times New Roman" w:eastAsia="黑体" w:cs="Times New Roman"/>
          <w:color w:val="000000" w:themeColor="text1"/>
          <w:sz w:val="28"/>
          <w:szCs w:val="28"/>
          <w:highlight w:val="none"/>
          <w:lang w:val="en-US" w:eastAsia="zh-CN"/>
          <w14:textFill>
            <w14:solidFill>
              <w14:schemeClr w14:val="tx1"/>
            </w14:solidFill>
          </w14:textFill>
        </w:rPr>
        <w:t xml:space="preserve">附图5    </w:t>
      </w:r>
      <w:r>
        <w:rPr>
          <w:rFonts w:hint="eastAsia" w:ascii="Times New Roman" w:hAnsi="Times New Roman" w:eastAsia="黑体" w:cs="Times New Roman"/>
          <w:color w:val="auto"/>
          <w:sz w:val="28"/>
          <w:szCs w:val="28"/>
          <w:highlight w:val="none"/>
          <w:lang w:val="en-US" w:eastAsia="zh-CN"/>
        </w:rPr>
        <w:t>河</w:t>
      </w:r>
      <w:r>
        <w:rPr>
          <w:rFonts w:hint="eastAsia" w:ascii="黑体" w:hAnsi="黑体" w:eastAsia="黑体" w:cs="黑体"/>
          <w:color w:val="auto"/>
          <w:sz w:val="28"/>
          <w:szCs w:val="28"/>
          <w:highlight w:val="none"/>
          <w:lang w:val="en-US" w:eastAsia="zh-CN"/>
        </w:rPr>
        <w:t>南省“三线一单”成果查询结果图</w:t>
      </w:r>
    </w:p>
    <w:p w14:paraId="7CD70A41">
      <w:pPr>
        <w:pStyle w:val="20"/>
        <w:rPr>
          <w:rFonts w:hint="eastAsia"/>
          <w:color w:val="000000" w:themeColor="text1"/>
          <w:highlight w:val="none"/>
          <w:lang w:val="en-US" w:eastAsia="zh-CN"/>
          <w14:textFill>
            <w14:solidFill>
              <w14:schemeClr w14:val="tx1"/>
            </w14:solidFill>
          </w14:textFill>
        </w:rPr>
      </w:pPr>
    </w:p>
    <w:p w14:paraId="6E9594E8">
      <w:pPr>
        <w:pStyle w:val="20"/>
        <w:rPr>
          <w:rFonts w:hint="eastAsia"/>
          <w:color w:val="000000" w:themeColor="text1"/>
          <w:highlight w:val="none"/>
          <w:lang w:val="en-US" w:eastAsia="zh-CN"/>
          <w14:textFill>
            <w14:solidFill>
              <w14:schemeClr w14:val="tx1"/>
            </w14:solidFill>
          </w14:textFill>
        </w:rPr>
      </w:pPr>
    </w:p>
    <w:tbl>
      <w:tblPr>
        <w:tblStyle w:val="35"/>
        <w:tblW w:w="93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60"/>
        <w:gridCol w:w="4660"/>
      </w:tblGrid>
      <w:tr w14:paraId="7B53C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jc w:val="center"/>
        </w:trPr>
        <w:tc>
          <w:tcPr>
            <w:tcW w:w="4660" w:type="dxa"/>
            <w:tcBorders>
              <w:tl2br w:val="nil"/>
              <w:tr2bl w:val="nil"/>
            </w:tcBorders>
            <w:noWrap w:val="0"/>
            <w:vAlign w:val="center"/>
          </w:tcPr>
          <w:p w14:paraId="38E46CE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auto"/>
              <w:outlineLvl w:val="9"/>
              <w:rPr>
                <w:rFonts w:hint="eastAsia" w:ascii="Times New Roman" w:hAnsi="Times New Roman" w:eastAsia="宋体" w:cs="Times New Roman"/>
                <w:color w:val="000000" w:themeColor="text1"/>
                <w:sz w:val="24"/>
                <w:szCs w:val="24"/>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vertAlign w:val="baseline"/>
                <w:lang w:eastAsia="zh-CN"/>
                <w14:textFill>
                  <w14:solidFill>
                    <w14:schemeClr w14:val="tx1"/>
                  </w14:solidFill>
                </w14:textFill>
              </w:rPr>
              <w:drawing>
                <wp:inline distT="0" distB="0" distL="114300" distR="114300">
                  <wp:extent cx="2809240" cy="2106930"/>
                  <wp:effectExtent l="0" t="0" r="10160" b="7620"/>
                  <wp:docPr id="14" name="图片 14" descr="IMG_20231115_16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31115_161341"/>
                          <pic:cNvPicPr>
                            <a:picLocks noChangeAspect="1"/>
                          </pic:cNvPicPr>
                        </pic:nvPicPr>
                        <pic:blipFill>
                          <a:blip r:embed="rId54"/>
                          <a:stretch>
                            <a:fillRect/>
                          </a:stretch>
                        </pic:blipFill>
                        <pic:spPr>
                          <a:xfrm>
                            <a:off x="0" y="0"/>
                            <a:ext cx="2809240" cy="2106930"/>
                          </a:xfrm>
                          <a:prstGeom prst="rect">
                            <a:avLst/>
                          </a:prstGeom>
                        </pic:spPr>
                      </pic:pic>
                    </a:graphicData>
                  </a:graphic>
                </wp:inline>
              </w:drawing>
            </w:r>
          </w:p>
        </w:tc>
        <w:tc>
          <w:tcPr>
            <w:tcW w:w="4660" w:type="dxa"/>
            <w:tcBorders>
              <w:tl2br w:val="nil"/>
              <w:tr2bl w:val="nil"/>
            </w:tcBorders>
            <w:noWrap w:val="0"/>
            <w:vAlign w:val="center"/>
          </w:tcPr>
          <w:p w14:paraId="6AC876F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auto"/>
              <w:outlineLvl w:val="9"/>
              <w:rPr>
                <w:rFonts w:hint="eastAsia" w:ascii="Times New Roman" w:hAnsi="Times New Roman" w:eastAsia="宋体" w:cs="Times New Roman"/>
                <w:color w:val="000000" w:themeColor="text1"/>
                <w:sz w:val="24"/>
                <w:szCs w:val="24"/>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vertAlign w:val="baseline"/>
                <w:lang w:eastAsia="zh-CN"/>
                <w14:textFill>
                  <w14:solidFill>
                    <w14:schemeClr w14:val="tx1"/>
                  </w14:solidFill>
                </w14:textFill>
              </w:rPr>
              <w:drawing>
                <wp:inline distT="0" distB="0" distL="114300" distR="114300">
                  <wp:extent cx="2809240" cy="2106930"/>
                  <wp:effectExtent l="0" t="0" r="10160" b="7620"/>
                  <wp:docPr id="15" name="图片 15" descr="IMG_20231115_16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31115_161418"/>
                          <pic:cNvPicPr>
                            <a:picLocks noChangeAspect="1"/>
                          </pic:cNvPicPr>
                        </pic:nvPicPr>
                        <pic:blipFill>
                          <a:blip r:embed="rId55"/>
                          <a:stretch>
                            <a:fillRect/>
                          </a:stretch>
                        </pic:blipFill>
                        <pic:spPr>
                          <a:xfrm>
                            <a:off x="0" y="0"/>
                            <a:ext cx="2809240" cy="2106930"/>
                          </a:xfrm>
                          <a:prstGeom prst="rect">
                            <a:avLst/>
                          </a:prstGeom>
                        </pic:spPr>
                      </pic:pic>
                    </a:graphicData>
                  </a:graphic>
                </wp:inline>
              </w:drawing>
            </w:r>
          </w:p>
        </w:tc>
      </w:tr>
      <w:tr w14:paraId="51968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4660" w:type="dxa"/>
            <w:tcBorders>
              <w:tl2br w:val="nil"/>
              <w:tr2bl w:val="nil"/>
            </w:tcBorders>
            <w:noWrap w:val="0"/>
            <w:vAlign w:val="center"/>
          </w:tcPr>
          <w:p w14:paraId="1BDF539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auto"/>
              <w:outlineLvl w:val="9"/>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1.项目场地现状</w:t>
            </w:r>
          </w:p>
        </w:tc>
        <w:tc>
          <w:tcPr>
            <w:tcW w:w="4660" w:type="dxa"/>
            <w:tcBorders>
              <w:tl2br w:val="nil"/>
              <w:tr2bl w:val="nil"/>
            </w:tcBorders>
            <w:noWrap w:val="0"/>
            <w:vAlign w:val="center"/>
          </w:tcPr>
          <w:p w14:paraId="1093BC66">
            <w:pPr>
              <w:keepNext w:val="0"/>
              <w:keepLines w:val="0"/>
              <w:pageBreakBefore w:val="0"/>
              <w:widowControl/>
              <w:suppressLineNumbers w:val="0"/>
              <w:tabs>
                <w:tab w:val="left" w:pos="1109"/>
              </w:tabs>
              <w:kinsoku/>
              <w:wordWrap/>
              <w:overflowPunct/>
              <w:topLinePunct w:val="0"/>
              <w:autoSpaceDE/>
              <w:autoSpaceDN/>
              <w:bidi w:val="0"/>
              <w:adjustRightInd/>
              <w:snapToGrid/>
              <w:spacing w:line="0" w:lineRule="atLeast"/>
              <w:jc w:val="center"/>
              <w:textAlignment w:val="auto"/>
              <w:outlineLvl w:val="9"/>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2.项目东侧  绿化树林</w:t>
            </w:r>
          </w:p>
        </w:tc>
      </w:tr>
      <w:tr w14:paraId="6C5C3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4660" w:type="dxa"/>
            <w:tcBorders>
              <w:tl2br w:val="nil"/>
              <w:tr2bl w:val="nil"/>
            </w:tcBorders>
            <w:noWrap w:val="0"/>
            <w:vAlign w:val="center"/>
          </w:tcPr>
          <w:p w14:paraId="0AA8D217">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auto"/>
              <w:outlineLvl w:val="9"/>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drawing>
                <wp:inline distT="0" distB="0" distL="114300" distR="114300">
                  <wp:extent cx="2808605" cy="2106295"/>
                  <wp:effectExtent l="0" t="0" r="10795" b="8255"/>
                  <wp:docPr id="20" name="图片 20" descr="南侧空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南侧空地"/>
                          <pic:cNvPicPr>
                            <a:picLocks noChangeAspect="1"/>
                          </pic:cNvPicPr>
                        </pic:nvPicPr>
                        <pic:blipFill>
                          <a:blip r:embed="rId56"/>
                          <a:stretch>
                            <a:fillRect/>
                          </a:stretch>
                        </pic:blipFill>
                        <pic:spPr>
                          <a:xfrm>
                            <a:off x="0" y="0"/>
                            <a:ext cx="2808605" cy="2106295"/>
                          </a:xfrm>
                          <a:prstGeom prst="rect">
                            <a:avLst/>
                          </a:prstGeom>
                        </pic:spPr>
                      </pic:pic>
                    </a:graphicData>
                  </a:graphic>
                </wp:inline>
              </w:drawing>
            </w:r>
          </w:p>
        </w:tc>
        <w:tc>
          <w:tcPr>
            <w:tcW w:w="4660" w:type="dxa"/>
            <w:tcBorders>
              <w:tl2br w:val="nil"/>
              <w:tr2bl w:val="nil"/>
            </w:tcBorders>
            <w:noWrap w:val="0"/>
            <w:vAlign w:val="center"/>
          </w:tcPr>
          <w:p w14:paraId="5196F020">
            <w:pPr>
              <w:keepNext w:val="0"/>
              <w:keepLines w:val="0"/>
              <w:pageBreakBefore w:val="0"/>
              <w:widowControl/>
              <w:suppressLineNumbers w:val="0"/>
              <w:tabs>
                <w:tab w:val="left" w:pos="1109"/>
              </w:tabs>
              <w:kinsoku/>
              <w:wordWrap/>
              <w:overflowPunct/>
              <w:topLinePunct w:val="0"/>
              <w:autoSpaceDE/>
              <w:autoSpaceDN/>
              <w:bidi w:val="0"/>
              <w:adjustRightInd/>
              <w:snapToGrid/>
              <w:spacing w:line="0" w:lineRule="atLeast"/>
              <w:jc w:val="center"/>
              <w:textAlignment w:val="auto"/>
              <w:outlineLvl w:val="9"/>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vertAlign w:val="baseline"/>
                <w:lang w:eastAsia="zh-CN"/>
                <w14:textFill>
                  <w14:solidFill>
                    <w14:schemeClr w14:val="tx1"/>
                  </w14:solidFill>
                </w14:textFill>
              </w:rPr>
              <w:drawing>
                <wp:inline distT="0" distB="0" distL="114300" distR="114300">
                  <wp:extent cx="2809240" cy="2106930"/>
                  <wp:effectExtent l="0" t="0" r="10160" b="7620"/>
                  <wp:docPr id="12" name="图片 12" descr="IMG_20231115_16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1115_161253"/>
                          <pic:cNvPicPr>
                            <a:picLocks noChangeAspect="1"/>
                          </pic:cNvPicPr>
                        </pic:nvPicPr>
                        <pic:blipFill>
                          <a:blip r:embed="rId57"/>
                          <a:stretch>
                            <a:fillRect/>
                          </a:stretch>
                        </pic:blipFill>
                        <pic:spPr>
                          <a:xfrm>
                            <a:off x="0" y="0"/>
                            <a:ext cx="2809240" cy="2106930"/>
                          </a:xfrm>
                          <a:prstGeom prst="rect">
                            <a:avLst/>
                          </a:prstGeom>
                        </pic:spPr>
                      </pic:pic>
                    </a:graphicData>
                  </a:graphic>
                </wp:inline>
              </w:drawing>
            </w:r>
          </w:p>
        </w:tc>
      </w:tr>
      <w:tr w14:paraId="7A5D2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4660" w:type="dxa"/>
            <w:tcBorders>
              <w:tl2br w:val="nil"/>
              <w:tr2bl w:val="nil"/>
            </w:tcBorders>
            <w:noWrap w:val="0"/>
            <w:vAlign w:val="center"/>
          </w:tcPr>
          <w:p w14:paraId="72E023E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auto"/>
              <w:outlineLvl w:val="9"/>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3.项目南侧  空地</w:t>
            </w:r>
          </w:p>
        </w:tc>
        <w:tc>
          <w:tcPr>
            <w:tcW w:w="4660" w:type="dxa"/>
            <w:tcBorders>
              <w:tl2br w:val="nil"/>
              <w:tr2bl w:val="nil"/>
            </w:tcBorders>
            <w:noWrap w:val="0"/>
            <w:vAlign w:val="center"/>
          </w:tcPr>
          <w:p w14:paraId="3775F1D4">
            <w:pPr>
              <w:keepNext w:val="0"/>
              <w:keepLines w:val="0"/>
              <w:pageBreakBefore w:val="0"/>
              <w:widowControl/>
              <w:suppressLineNumbers w:val="0"/>
              <w:tabs>
                <w:tab w:val="left" w:pos="1109"/>
              </w:tabs>
              <w:kinsoku/>
              <w:wordWrap/>
              <w:overflowPunct/>
              <w:topLinePunct w:val="0"/>
              <w:autoSpaceDE/>
              <w:autoSpaceDN/>
              <w:bidi w:val="0"/>
              <w:adjustRightInd/>
              <w:snapToGrid/>
              <w:spacing w:line="0" w:lineRule="atLeast"/>
              <w:jc w:val="center"/>
              <w:textAlignment w:val="auto"/>
              <w:outlineLvl w:val="9"/>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4.项目西侧   荒沟</w:t>
            </w:r>
          </w:p>
        </w:tc>
      </w:tr>
      <w:tr w14:paraId="07747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4660" w:type="dxa"/>
            <w:tcBorders>
              <w:tl2br w:val="nil"/>
              <w:tr2bl w:val="nil"/>
            </w:tcBorders>
            <w:noWrap w:val="0"/>
            <w:vAlign w:val="center"/>
          </w:tcPr>
          <w:p w14:paraId="01F4FFA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auto"/>
              <w:outlineLvl w:val="9"/>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drawing>
                <wp:inline distT="0" distB="0" distL="114300" distR="114300">
                  <wp:extent cx="2808605" cy="2106295"/>
                  <wp:effectExtent l="0" t="0" r="10795" b="8255"/>
                  <wp:docPr id="29" name="图片 29" descr="北侧  韶州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北侧  韶州路"/>
                          <pic:cNvPicPr>
                            <a:picLocks noChangeAspect="1"/>
                          </pic:cNvPicPr>
                        </pic:nvPicPr>
                        <pic:blipFill>
                          <a:blip r:embed="rId58"/>
                          <a:stretch>
                            <a:fillRect/>
                          </a:stretch>
                        </pic:blipFill>
                        <pic:spPr>
                          <a:xfrm>
                            <a:off x="0" y="0"/>
                            <a:ext cx="2808605" cy="2106295"/>
                          </a:xfrm>
                          <a:prstGeom prst="rect">
                            <a:avLst/>
                          </a:prstGeom>
                        </pic:spPr>
                      </pic:pic>
                    </a:graphicData>
                  </a:graphic>
                </wp:inline>
              </w:drawing>
            </w:r>
          </w:p>
        </w:tc>
        <w:tc>
          <w:tcPr>
            <w:tcW w:w="4660" w:type="dxa"/>
            <w:tcBorders>
              <w:tl2br w:val="nil"/>
              <w:tr2bl w:val="nil"/>
            </w:tcBorders>
            <w:noWrap w:val="0"/>
            <w:vAlign w:val="center"/>
          </w:tcPr>
          <w:p w14:paraId="2AE47B2B">
            <w:pPr>
              <w:keepNext w:val="0"/>
              <w:keepLines w:val="0"/>
              <w:pageBreakBefore w:val="0"/>
              <w:widowControl/>
              <w:suppressLineNumbers w:val="0"/>
              <w:tabs>
                <w:tab w:val="left" w:pos="1109"/>
              </w:tabs>
              <w:kinsoku/>
              <w:wordWrap/>
              <w:overflowPunct/>
              <w:topLinePunct w:val="0"/>
              <w:autoSpaceDE/>
              <w:autoSpaceDN/>
              <w:bidi w:val="0"/>
              <w:adjustRightInd/>
              <w:snapToGrid/>
              <w:spacing w:line="0" w:lineRule="atLeast"/>
              <w:jc w:val="center"/>
              <w:textAlignment w:val="auto"/>
              <w:outlineLvl w:val="9"/>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drawing>
                <wp:inline distT="0" distB="0" distL="114300" distR="114300">
                  <wp:extent cx="2809240" cy="2106930"/>
                  <wp:effectExtent l="0" t="0" r="10160" b="7620"/>
                  <wp:docPr id="16" name="图片 16" descr="IMG_20231115_16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31115_161407"/>
                          <pic:cNvPicPr>
                            <a:picLocks noChangeAspect="1"/>
                          </pic:cNvPicPr>
                        </pic:nvPicPr>
                        <pic:blipFill>
                          <a:blip r:embed="rId59"/>
                          <a:stretch>
                            <a:fillRect/>
                          </a:stretch>
                        </pic:blipFill>
                        <pic:spPr>
                          <a:xfrm>
                            <a:off x="0" y="0"/>
                            <a:ext cx="2809240" cy="2106930"/>
                          </a:xfrm>
                          <a:prstGeom prst="rect">
                            <a:avLst/>
                          </a:prstGeom>
                        </pic:spPr>
                      </pic:pic>
                    </a:graphicData>
                  </a:graphic>
                </wp:inline>
              </w:drawing>
            </w:r>
          </w:p>
        </w:tc>
      </w:tr>
      <w:tr w14:paraId="2174E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4660" w:type="dxa"/>
            <w:tcBorders>
              <w:tl2br w:val="nil"/>
              <w:tr2bl w:val="nil"/>
            </w:tcBorders>
            <w:noWrap w:val="0"/>
            <w:vAlign w:val="center"/>
          </w:tcPr>
          <w:p w14:paraId="10B68A8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auto"/>
              <w:outlineLvl w:val="9"/>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5.项目北侧  韶州路</w:t>
            </w:r>
          </w:p>
        </w:tc>
        <w:tc>
          <w:tcPr>
            <w:tcW w:w="4660" w:type="dxa"/>
            <w:tcBorders>
              <w:tl2br w:val="nil"/>
              <w:tr2bl w:val="nil"/>
            </w:tcBorders>
            <w:noWrap w:val="0"/>
            <w:vAlign w:val="center"/>
          </w:tcPr>
          <w:p w14:paraId="449A8A38">
            <w:pPr>
              <w:keepNext w:val="0"/>
              <w:keepLines w:val="0"/>
              <w:pageBreakBefore w:val="0"/>
              <w:widowControl/>
              <w:suppressLineNumbers w:val="0"/>
              <w:tabs>
                <w:tab w:val="left" w:pos="1109"/>
              </w:tabs>
              <w:kinsoku/>
              <w:wordWrap/>
              <w:overflowPunct/>
              <w:topLinePunct w:val="0"/>
              <w:autoSpaceDE/>
              <w:autoSpaceDN/>
              <w:bidi w:val="0"/>
              <w:adjustRightInd/>
              <w:snapToGrid/>
              <w:spacing w:line="0" w:lineRule="atLeast"/>
              <w:jc w:val="center"/>
              <w:textAlignment w:val="auto"/>
              <w:outlineLvl w:val="9"/>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6.在建项目</w:t>
            </w:r>
          </w:p>
        </w:tc>
      </w:tr>
      <w:tr w14:paraId="57678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4660" w:type="dxa"/>
            <w:tcBorders>
              <w:tl2br w:val="nil"/>
              <w:tr2bl w:val="nil"/>
            </w:tcBorders>
            <w:noWrap w:val="0"/>
            <w:vAlign w:val="center"/>
          </w:tcPr>
          <w:p w14:paraId="72D904D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pPr>
          </w:p>
        </w:tc>
        <w:tc>
          <w:tcPr>
            <w:tcW w:w="4660" w:type="dxa"/>
            <w:tcBorders>
              <w:tl2br w:val="nil"/>
              <w:tr2bl w:val="nil"/>
            </w:tcBorders>
            <w:noWrap w:val="0"/>
            <w:vAlign w:val="center"/>
          </w:tcPr>
          <w:p w14:paraId="0C2BF76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pPr>
          </w:p>
        </w:tc>
      </w:tr>
      <w:tr w14:paraId="3FBA7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9320" w:type="dxa"/>
            <w:gridSpan w:val="2"/>
            <w:tcBorders>
              <w:tl2br w:val="nil"/>
              <w:tr2bl w:val="nil"/>
            </w:tcBorders>
            <w:noWrap w:val="0"/>
            <w:vAlign w:val="center"/>
          </w:tcPr>
          <w:p w14:paraId="16FD74DD">
            <w:pPr>
              <w:jc w:val="center"/>
              <w:rPr>
                <w:rFonts w:hint="default" w:ascii="Times New Roman" w:hAnsi="Times New Roman" w:eastAsia="宋体" w:cs="Times New Roman"/>
                <w:color w:val="000000" w:themeColor="text1"/>
                <w:sz w:val="24"/>
                <w:szCs w:val="24"/>
                <w:highlight w:val="none"/>
                <w:vertAlign w:val="baseline"/>
                <w14:textFill>
                  <w14:solidFill>
                    <w14:schemeClr w14:val="tx1"/>
                  </w14:solidFill>
                </w14:textFill>
              </w:rPr>
            </w:pPr>
            <w:r>
              <w:rPr>
                <w:rFonts w:hint="default" w:ascii="Times New Roman" w:hAnsi="Times New Roman" w:eastAsia="黑体" w:cs="Times New Roman"/>
                <w:color w:val="000000" w:themeColor="text1"/>
                <w:sz w:val="28"/>
                <w:szCs w:val="28"/>
                <w:highlight w:val="none"/>
                <w:lang w:val="en-US" w:eastAsia="zh-CN"/>
                <w14:textFill>
                  <w14:solidFill>
                    <w14:schemeClr w14:val="tx1"/>
                  </w14:solidFill>
                </w14:textFill>
              </w:rPr>
              <w:t>附图6   现状照片</w:t>
            </w:r>
          </w:p>
        </w:tc>
      </w:tr>
    </w:tbl>
    <w:p w14:paraId="64DBF33D">
      <w:pPr>
        <w:jc w:val="center"/>
        <w:rPr>
          <w:rFonts w:hint="eastAsia"/>
          <w:b/>
          <w:color w:val="000000" w:themeColor="text1"/>
          <w:sz w:val="52"/>
          <w:szCs w:val="52"/>
          <w:highlight w:val="none"/>
          <w14:textFill>
            <w14:solidFill>
              <w14:schemeClr w14:val="tx1"/>
            </w14:solidFill>
          </w14:textFill>
        </w:rPr>
        <w:sectPr>
          <w:pgSz w:w="11906" w:h="16838"/>
          <w:pgMar w:top="1174" w:right="1020" w:bottom="1440" w:left="1191" w:header="964" w:footer="794" w:gutter="0"/>
          <w:pgBorders>
            <w:top w:val="none" w:sz="0" w:space="0"/>
            <w:left w:val="none" w:sz="0" w:space="0"/>
            <w:bottom w:val="none" w:sz="0" w:space="0"/>
            <w:right w:val="none" w:sz="0" w:space="0"/>
          </w:pgBorders>
          <w:pgNumType w:fmt="decimal"/>
          <w:cols w:space="0" w:num="1"/>
          <w:titlePg/>
          <w:rtlGutter w:val="0"/>
          <w:docGrid w:type="linesAndChars" w:linePitch="312" w:charSpace="1115"/>
        </w:sectPr>
      </w:pPr>
    </w:p>
    <w:p w14:paraId="565041DA">
      <w:pPr>
        <w:jc w:val="both"/>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color w:val="000000" w:themeColor="text1"/>
          <w:sz w:val="24"/>
          <w:szCs w:val="24"/>
          <w:highlight w:val="none"/>
          <w:lang w:eastAsia="zh-CN"/>
          <w14:textFill>
            <w14:solidFill>
              <w14:schemeClr w14:val="tx1"/>
            </w14:solidFill>
          </w14:textFill>
        </w:rPr>
        <w:t>附件</w:t>
      </w: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1：委托书</w:t>
      </w:r>
    </w:p>
    <w:p w14:paraId="2E082834">
      <w:pPr>
        <w:pStyle w:val="20"/>
        <w:rPr>
          <w:rFonts w:hint="eastAsia"/>
          <w:color w:val="000000" w:themeColor="text1"/>
          <w:highlight w:val="none"/>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anchor distT="0" distB="0" distL="114300" distR="114300" simplePos="0" relativeHeight="251701248" behindDoc="0" locked="0" layoutInCell="1" allowOverlap="1">
            <wp:simplePos x="0" y="0"/>
            <wp:positionH relativeFrom="column">
              <wp:posOffset>-398780</wp:posOffset>
            </wp:positionH>
            <wp:positionV relativeFrom="paragraph">
              <wp:posOffset>40005</wp:posOffset>
            </wp:positionV>
            <wp:extent cx="6516370" cy="8964295"/>
            <wp:effectExtent l="0" t="0" r="17780" b="8255"/>
            <wp:wrapNone/>
            <wp:docPr id="69" name="图片 69"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010"/>
                    <pic:cNvPicPr>
                      <a:picLocks noChangeAspect="1"/>
                    </pic:cNvPicPr>
                  </pic:nvPicPr>
                  <pic:blipFill>
                    <a:blip r:embed="rId60"/>
                    <a:stretch>
                      <a:fillRect/>
                    </a:stretch>
                  </pic:blipFill>
                  <pic:spPr>
                    <a:xfrm>
                      <a:off x="0" y="0"/>
                      <a:ext cx="6516370" cy="8964295"/>
                    </a:xfrm>
                    <a:prstGeom prst="rect">
                      <a:avLst/>
                    </a:prstGeom>
                  </pic:spPr>
                </pic:pic>
              </a:graphicData>
            </a:graphic>
          </wp:anchor>
        </w:drawing>
      </w:r>
    </w:p>
    <w:p w14:paraId="067BBA2E">
      <w:pPr>
        <w:jc w:val="center"/>
        <w:rPr>
          <w:rFonts w:hint="eastAsia" w:ascii="Times New Roman" w:hAnsi="Times New Roman" w:cs="Times New Roman"/>
          <w:color w:val="000000" w:themeColor="text1"/>
          <w:sz w:val="28"/>
          <w:szCs w:val="28"/>
          <w:highlight w:val="none"/>
          <w14:textFill>
            <w14:solidFill>
              <w14:schemeClr w14:val="tx1"/>
            </w14:solidFill>
          </w14:textFill>
        </w:rPr>
      </w:pPr>
    </w:p>
    <w:p w14:paraId="05FC367A">
      <w:pPr>
        <w:pStyle w:val="20"/>
        <w:rPr>
          <w:rFonts w:hint="eastAsia" w:eastAsia="宋体"/>
          <w:color w:val="000000" w:themeColor="text1"/>
          <w:highlight w:val="none"/>
          <w:lang w:eastAsia="zh-CN"/>
          <w14:textFill>
            <w14:solidFill>
              <w14:schemeClr w14:val="tx1"/>
            </w14:solidFill>
          </w14:textFill>
        </w:rPr>
      </w:pPr>
    </w:p>
    <w:p w14:paraId="4D83FA30">
      <w:pPr>
        <w:jc w:val="center"/>
        <w:rPr>
          <w:rFonts w:hint="eastAsia"/>
          <w:b/>
          <w:bCs/>
          <w:color w:val="000000" w:themeColor="text1"/>
          <w:sz w:val="36"/>
          <w:highlight w:val="none"/>
          <w:lang w:val="en-US" w:eastAsia="zh-CN"/>
          <w14:textFill>
            <w14:solidFill>
              <w14:schemeClr w14:val="tx1"/>
            </w14:solidFill>
          </w14:textFill>
        </w:rPr>
      </w:pPr>
      <w:r>
        <w:rPr>
          <w:rFonts w:hint="eastAsia"/>
          <w:b/>
          <w:bCs/>
          <w:color w:val="000000" w:themeColor="text1"/>
          <w:sz w:val="36"/>
          <w:highlight w:val="none"/>
          <w:lang w:val="en-US" w:eastAsia="zh-CN"/>
          <w14:textFill>
            <w14:solidFill>
              <w14:schemeClr w14:val="tx1"/>
            </w14:solidFill>
          </w14:textFill>
        </w:rPr>
        <w:t>委 托 书</w:t>
      </w:r>
    </w:p>
    <w:p w14:paraId="2641F5F0">
      <w:pPr>
        <w:pStyle w:val="20"/>
        <w:rPr>
          <w:rFonts w:hint="eastAsia" w:ascii="Times New Roman" w:hAnsi="Times New Roman" w:cs="Times New Roman"/>
          <w:color w:val="000000" w:themeColor="text1"/>
          <w:sz w:val="28"/>
          <w:szCs w:val="28"/>
          <w:highlight w:val="none"/>
          <w14:textFill>
            <w14:solidFill>
              <w14:schemeClr w14:val="tx1"/>
            </w14:solidFill>
          </w14:textFill>
        </w:rPr>
      </w:pPr>
    </w:p>
    <w:p w14:paraId="56B81DC8">
      <w:pPr>
        <w:pStyle w:val="20"/>
        <w:rPr>
          <w:rFonts w:hint="eastAsia" w:ascii="Times New Roman" w:hAnsi="Times New Roman" w:cs="Times New Roman"/>
          <w:color w:val="000000" w:themeColor="text1"/>
          <w:sz w:val="28"/>
          <w:szCs w:val="28"/>
          <w:highlight w:val="none"/>
          <w14:textFill>
            <w14:solidFill>
              <w14:schemeClr w14:val="tx1"/>
            </w14:solidFill>
          </w14:textFill>
        </w:rPr>
      </w:pPr>
    </w:p>
    <w:p w14:paraId="0267E511">
      <w:pP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eastAsia" w:ascii="Times New Roman" w:hAnsi="Times New Roman" w:cs="Times New Roman"/>
          <w:b w:val="0"/>
          <w:bCs w:val="0"/>
          <w:color w:val="auto"/>
          <w:sz w:val="28"/>
          <w:szCs w:val="28"/>
          <w:highlight w:val="none"/>
          <w:lang w:eastAsia="zh-CN"/>
        </w:rPr>
        <w:t>陕西海蓝环保</w:t>
      </w:r>
      <w:r>
        <w:rPr>
          <w:rFonts w:hint="default" w:ascii="Times New Roman" w:hAnsi="Times New Roman" w:eastAsia="宋体" w:cs="Times New Roman"/>
          <w:b w:val="0"/>
          <w:bCs w:val="0"/>
          <w:color w:val="auto"/>
          <w:sz w:val="28"/>
          <w:szCs w:val="28"/>
          <w:highlight w:val="none"/>
          <w:lang w:eastAsia="zh-CN"/>
        </w:rPr>
        <w:t>科技有限公司</w:t>
      </w:r>
      <w:r>
        <w:rPr>
          <w:rFonts w:hint="eastAsia" w:ascii="Times New Roman" w:hAnsi="Times New Roman" w:cs="Times New Roman"/>
          <w:color w:val="000000" w:themeColor="text1"/>
          <w:sz w:val="28"/>
          <w:szCs w:val="28"/>
          <w:highlight w:val="none"/>
          <w:lang w:eastAsia="zh-CN"/>
          <w14:textFill>
            <w14:solidFill>
              <w14:schemeClr w14:val="tx1"/>
            </w14:solidFill>
          </w14:textFill>
        </w:rPr>
        <w:t>：</w:t>
      </w:r>
    </w:p>
    <w:p w14:paraId="312A45D1">
      <w:pPr>
        <w:keepNext w:val="0"/>
        <w:keepLines w:val="0"/>
        <w:pageBreakBefore w:val="0"/>
        <w:widowControl w:val="0"/>
        <w:kinsoku/>
        <w:wordWrap/>
        <w:overflowPunct/>
        <w:topLinePunct w:val="0"/>
        <w:autoSpaceDE/>
        <w:autoSpaceDN/>
        <w:bidi w:val="0"/>
        <w:adjustRightInd/>
        <w:snapToGrid/>
        <w:ind w:firstLine="570" w:firstLineChars="200"/>
        <w:textAlignment w:val="auto"/>
        <w:rPr>
          <w:rFonts w:hint="eastAsia" w:ascii="Times New Roman" w:hAnsi="Times New Roman" w:cs="Times New Roman"/>
          <w:color w:val="000000" w:themeColor="text1"/>
          <w:sz w:val="28"/>
          <w:szCs w:val="28"/>
          <w:highlight w:val="none"/>
          <w14:textFill>
            <w14:solidFill>
              <w14:schemeClr w14:val="tx1"/>
            </w14:solidFill>
          </w14:textFill>
        </w:rPr>
      </w:pPr>
      <w:r>
        <w:rPr>
          <w:rFonts w:hint="eastAsia" w:ascii="Times New Roman" w:hAnsi="Times New Roman" w:cs="Times New Roman"/>
          <w:color w:val="000000" w:themeColor="text1"/>
          <w:sz w:val="28"/>
          <w:szCs w:val="28"/>
          <w:highlight w:val="none"/>
          <w14:textFill>
            <w14:solidFill>
              <w14:schemeClr w14:val="tx1"/>
            </w14:solidFill>
          </w14:textFill>
        </w:rPr>
        <w:t>根据《中华人民共和国环境保护法》、《中华人民共和国环境影响评价法》和《建设项目环境保护管理条例》，我</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院</w:t>
      </w:r>
      <w:r>
        <w:rPr>
          <w:rFonts w:hint="eastAsia" w:ascii="Times New Roman" w:hAnsi="Times New Roman" w:cs="Times New Roman"/>
          <w:color w:val="000000" w:themeColor="text1"/>
          <w:sz w:val="28"/>
          <w:szCs w:val="28"/>
          <w:highlight w:val="none"/>
          <w14:textFill>
            <w14:solidFill>
              <w14:schemeClr w14:val="tx1"/>
            </w14:solidFill>
          </w14:textFill>
        </w:rPr>
        <w:t>委托贵公司对“</w:t>
      </w:r>
      <w:r>
        <w:rPr>
          <w:rFonts w:hint="eastAsia" w:ascii="Times New Roman" w:hAnsi="Times New Roman" w:cs="Times New Roman"/>
          <w:color w:val="000000" w:themeColor="text1"/>
          <w:sz w:val="28"/>
          <w:szCs w:val="28"/>
          <w:highlight w:val="none"/>
          <w:lang w:eastAsia="zh-CN"/>
          <w14:textFill>
            <w14:solidFill>
              <w14:schemeClr w14:val="tx1"/>
            </w14:solidFill>
          </w14:textFill>
        </w:rPr>
        <w:t>渑池县中医院精神卫生和心理健康防治中心项目</w:t>
      </w:r>
      <w:r>
        <w:rPr>
          <w:rFonts w:hint="eastAsia" w:ascii="Times New Roman" w:hAnsi="Times New Roman" w:cs="Times New Roman"/>
          <w:color w:val="000000" w:themeColor="text1"/>
          <w:sz w:val="28"/>
          <w:szCs w:val="28"/>
          <w:highlight w:val="none"/>
          <w14:textFill>
            <w14:solidFill>
              <w14:schemeClr w14:val="tx1"/>
            </w14:solidFill>
          </w14:textFill>
        </w:rPr>
        <w:t>”环境影响评价文件进行编制，并承诺对提供的“</w:t>
      </w:r>
      <w:r>
        <w:rPr>
          <w:rFonts w:hint="eastAsia" w:ascii="Times New Roman" w:hAnsi="Times New Roman" w:cs="Times New Roman"/>
          <w:color w:val="000000" w:themeColor="text1"/>
          <w:sz w:val="28"/>
          <w:szCs w:val="28"/>
          <w:highlight w:val="none"/>
          <w:lang w:eastAsia="zh-CN"/>
          <w14:textFill>
            <w14:solidFill>
              <w14:schemeClr w14:val="tx1"/>
            </w14:solidFill>
          </w14:textFill>
        </w:rPr>
        <w:t>渑池县中医院精神卫生和心理健康防治中心项目</w:t>
      </w:r>
      <w:r>
        <w:rPr>
          <w:rFonts w:hint="eastAsia" w:ascii="Times New Roman" w:hAnsi="Times New Roman" w:cs="Times New Roman"/>
          <w:color w:val="000000" w:themeColor="text1"/>
          <w:sz w:val="28"/>
          <w:szCs w:val="28"/>
          <w:highlight w:val="none"/>
          <w14:textFill>
            <w14:solidFill>
              <w14:schemeClr w14:val="tx1"/>
            </w14:solidFill>
          </w14:textFill>
        </w:rPr>
        <w:t>”所有资料的真实性、准确性、有效性负责。望你公司接收委托后，尽快组织有关技术人员开展编制工作。</w:t>
      </w:r>
    </w:p>
    <w:p w14:paraId="15B4994C">
      <w:pPr>
        <w:pStyle w:val="20"/>
        <w:rPr>
          <w:rFonts w:hint="eastAsia"/>
          <w:color w:val="000000" w:themeColor="text1"/>
          <w:highlight w:val="none"/>
          <w14:textFill>
            <w14:solidFill>
              <w14:schemeClr w14:val="tx1"/>
            </w14:solidFill>
          </w14:textFill>
        </w:rPr>
      </w:pPr>
    </w:p>
    <w:p w14:paraId="0CB01E18">
      <w:pPr>
        <w:rPr>
          <w:rFonts w:ascii="Times New Roman" w:hAnsi="Times New Roman" w:cs="Times New Roman"/>
          <w:color w:val="000000" w:themeColor="text1"/>
          <w:sz w:val="28"/>
          <w:szCs w:val="28"/>
          <w:highlight w:val="none"/>
          <w14:textFill>
            <w14:solidFill>
              <w14:schemeClr w14:val="tx1"/>
            </w14:solidFill>
          </w14:textFill>
        </w:rPr>
      </w:pPr>
    </w:p>
    <w:p w14:paraId="5DD457C2">
      <w:pPr>
        <w:pStyle w:val="20"/>
        <w:jc w:val="center"/>
        <w:rPr>
          <w:rFonts w:hint="eastAsia" w:ascii="Times New Roman" w:hAnsi="Times New Roman" w:cs="Times New Roman"/>
          <w:color w:val="000000" w:themeColor="text1"/>
          <w:sz w:val="28"/>
          <w:szCs w:val="28"/>
          <w:highlight w:val="none"/>
          <w14:textFill>
            <w14:solidFill>
              <w14:schemeClr w14:val="tx1"/>
            </w14:solidFill>
          </w14:textFill>
        </w:rPr>
      </w:pP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 xml:space="preserve">                             委托单位（盖章）：</w:t>
      </w:r>
    </w:p>
    <w:p w14:paraId="5D5431DF">
      <w:pPr>
        <w:pStyle w:val="20"/>
        <w:jc w:val="cente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 xml:space="preserve">                               2023年9月</w:t>
      </w:r>
    </w:p>
    <w:p w14:paraId="3E852ACC">
      <w:pPr>
        <w:jc w:val="both"/>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color w:val="000000" w:themeColor="text1"/>
          <w:highlight w:val="none"/>
          <w14:textFill>
            <w14:solidFill>
              <w14:schemeClr w14:val="tx1"/>
            </w14:solidFill>
          </w14:textFill>
        </w:rPr>
        <w:br w:type="page"/>
      </w:r>
      <w:r>
        <w:rPr>
          <w:rFonts w:hint="default" w:ascii="Times New Roman" w:hAnsi="Times New Roman" w:cs="Times New Roman"/>
          <w:b/>
          <w:color w:val="000000" w:themeColor="text1"/>
          <w:sz w:val="24"/>
          <w:szCs w:val="24"/>
          <w:highlight w:val="none"/>
          <w:lang w:eastAsia="zh-CN"/>
          <w14:textFill>
            <w14:solidFill>
              <w14:schemeClr w14:val="tx1"/>
            </w14:solidFill>
          </w14:textFill>
        </w:rPr>
        <w:t>附件</w:t>
      </w:r>
      <w:r>
        <w:rPr>
          <w:rFonts w:hint="eastAsia" w:ascii="Times New Roman" w:hAnsi="Times New Roman"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
          <w:color w:val="000000" w:themeColor="text1"/>
          <w:sz w:val="24"/>
          <w:szCs w:val="24"/>
          <w:highlight w:val="none"/>
          <w:lang w:val="en-US" w:eastAsia="zh-CN"/>
          <w14:textFill>
            <w14:solidFill>
              <w14:schemeClr w14:val="tx1"/>
            </w14:solidFill>
          </w14:textFill>
        </w:rPr>
        <w:t>可研报告批复</w:t>
      </w:r>
    </w:p>
    <w:p w14:paraId="5C67616B">
      <w:pPr>
        <w:rPr>
          <w:color w:val="000000" w:themeColor="text1"/>
          <w:highlight w:val="none"/>
          <w14:textFill>
            <w14:solidFill>
              <w14:schemeClr w14:val="tx1"/>
            </w14:solidFill>
          </w14:textFill>
        </w:rPr>
      </w:pPr>
    </w:p>
    <w:p w14:paraId="5D016C59">
      <w:pPr>
        <w:pStyle w:val="2"/>
        <w:ind w:left="0" w:leftChars="0" w:firstLine="0" w:firstLineChars="0"/>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drawing>
          <wp:inline distT="0" distB="0" distL="114300" distR="114300">
            <wp:extent cx="5648325" cy="7908290"/>
            <wp:effectExtent l="0" t="0" r="9525" b="16510"/>
            <wp:docPr id="42" name="图片 42" descr="b74fc863f6846cb06e3a5483cfbd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b74fc863f6846cb06e3a5483cfbde2e"/>
                    <pic:cNvPicPr>
                      <a:picLocks noChangeAspect="1"/>
                    </pic:cNvPicPr>
                  </pic:nvPicPr>
                  <pic:blipFill>
                    <a:blip r:embed="rId61"/>
                    <a:srcRect l="7948" t="6471" r="3680" b="6232"/>
                    <a:stretch>
                      <a:fillRect/>
                    </a:stretch>
                  </pic:blipFill>
                  <pic:spPr>
                    <a:xfrm>
                      <a:off x="0" y="0"/>
                      <a:ext cx="5648325" cy="7908290"/>
                    </a:xfrm>
                    <a:prstGeom prst="rect">
                      <a:avLst/>
                    </a:prstGeom>
                  </pic:spPr>
                </pic:pic>
              </a:graphicData>
            </a:graphic>
          </wp:inline>
        </w:drawing>
      </w:r>
      <w:r>
        <w:rPr>
          <w:rFonts w:hint="default"/>
          <w:color w:val="000000" w:themeColor="text1"/>
          <w:highlight w:val="none"/>
          <w:lang w:val="en-US" w:eastAsia="zh-CN"/>
          <w14:textFill>
            <w14:solidFill>
              <w14:schemeClr w14:val="tx1"/>
            </w14:solidFill>
          </w14:textFill>
        </w:rPr>
        <w:drawing>
          <wp:inline distT="0" distB="0" distL="114300" distR="114300">
            <wp:extent cx="5574665" cy="8271510"/>
            <wp:effectExtent l="0" t="0" r="6985" b="15240"/>
            <wp:docPr id="41" name="图片 41" descr="425408ec5af95405443e7a3ec852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25408ec5af95405443e7a3ec8529df"/>
                    <pic:cNvPicPr>
                      <a:picLocks noChangeAspect="1"/>
                    </pic:cNvPicPr>
                  </pic:nvPicPr>
                  <pic:blipFill>
                    <a:blip r:embed="rId62"/>
                    <a:srcRect t="5309" r="8289" b="6456"/>
                    <a:stretch>
                      <a:fillRect/>
                    </a:stretch>
                  </pic:blipFill>
                  <pic:spPr>
                    <a:xfrm>
                      <a:off x="0" y="0"/>
                      <a:ext cx="5574665" cy="8271510"/>
                    </a:xfrm>
                    <a:prstGeom prst="rect">
                      <a:avLst/>
                    </a:prstGeom>
                  </pic:spPr>
                </pic:pic>
              </a:graphicData>
            </a:graphic>
          </wp:inline>
        </w:drawing>
      </w:r>
      <w:r>
        <w:rPr>
          <w:rFonts w:hint="default"/>
          <w:color w:val="000000" w:themeColor="text1"/>
          <w:highlight w:val="none"/>
          <w:lang w:val="en-US" w:eastAsia="zh-CN"/>
          <w14:textFill>
            <w14:solidFill>
              <w14:schemeClr w14:val="tx1"/>
            </w14:solidFill>
          </w14:textFill>
        </w:rPr>
        <w:drawing>
          <wp:inline distT="0" distB="0" distL="114300" distR="114300">
            <wp:extent cx="5431155" cy="8228330"/>
            <wp:effectExtent l="0" t="0" r="17145" b="1270"/>
            <wp:docPr id="51" name="图片 51" descr="4076a84096efc7521488a11774c7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076a84096efc7521488a11774c7bcd"/>
                    <pic:cNvPicPr>
                      <a:picLocks noChangeAspect="1"/>
                    </pic:cNvPicPr>
                  </pic:nvPicPr>
                  <pic:blipFill>
                    <a:blip r:embed="rId63"/>
                    <a:srcRect l="7167" t="2309" r="7303" b="6263"/>
                    <a:stretch>
                      <a:fillRect/>
                    </a:stretch>
                  </pic:blipFill>
                  <pic:spPr>
                    <a:xfrm>
                      <a:off x="0" y="0"/>
                      <a:ext cx="5431155" cy="8228330"/>
                    </a:xfrm>
                    <a:prstGeom prst="rect">
                      <a:avLst/>
                    </a:prstGeom>
                  </pic:spPr>
                </pic:pic>
              </a:graphicData>
            </a:graphic>
          </wp:inline>
        </w:drawing>
      </w:r>
      <w:r>
        <w:rPr>
          <w:rFonts w:hint="default"/>
          <w:color w:val="000000" w:themeColor="text1"/>
          <w:highlight w:val="none"/>
          <w:lang w:val="en-US" w:eastAsia="zh-CN"/>
          <w14:textFill>
            <w14:solidFill>
              <w14:schemeClr w14:val="tx1"/>
            </w14:solidFill>
          </w14:textFill>
        </w:rPr>
        <w:br w:type="page"/>
      </w:r>
      <w:r>
        <w:rPr>
          <w:rFonts w:hint="eastAsia" w:ascii="Times New Roman" w:hAnsi="Times New Roman" w:cs="Times New Roman"/>
          <w:b/>
          <w:bCs/>
          <w:color w:val="000000" w:themeColor="text1"/>
          <w:highlight w:val="none"/>
          <w:lang w:val="en-US" w:eastAsia="zh-CN"/>
          <w14:textFill>
            <w14:solidFill>
              <w14:schemeClr w14:val="tx1"/>
            </w14:solidFill>
          </w14:textFill>
        </w:rPr>
        <w:t>附件3：建设用地批复</w:t>
      </w:r>
    </w:p>
    <w:p w14:paraId="258B21B0">
      <w:pPr>
        <w:rPr>
          <w:rFonts w:hint="eastAsia" w:ascii="Times New Roman" w:hAnsi="Times New Roman" w:cs="Times New Roman"/>
          <w:b/>
          <w:bCs/>
          <w:color w:val="000000" w:themeColor="text1"/>
          <w:highlight w:val="none"/>
          <w:lang w:val="en-US" w:eastAsia="zh-CN"/>
          <w14:textFill>
            <w14:solidFill>
              <w14:schemeClr w14:val="tx1"/>
            </w14:solidFill>
          </w14:textFill>
        </w:rPr>
      </w:pPr>
    </w:p>
    <w:p w14:paraId="5FDA13B1">
      <w:pPr>
        <w:pStyle w:val="2"/>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eastAsia="zh-CN"/>
          <w14:textFill>
            <w14:solidFill>
              <w14:schemeClr w14:val="tx1"/>
            </w14:solidFill>
          </w14:textFill>
        </w:rPr>
        <w:drawing>
          <wp:anchor distT="0" distB="0" distL="114300" distR="114300" simplePos="0" relativeHeight="251688960" behindDoc="1" locked="0" layoutInCell="1" allowOverlap="1">
            <wp:simplePos x="0" y="0"/>
            <wp:positionH relativeFrom="column">
              <wp:posOffset>365125</wp:posOffset>
            </wp:positionH>
            <wp:positionV relativeFrom="paragraph">
              <wp:posOffset>126365</wp:posOffset>
            </wp:positionV>
            <wp:extent cx="5152390" cy="7716520"/>
            <wp:effectExtent l="0" t="0" r="10160" b="0"/>
            <wp:wrapNone/>
            <wp:docPr id="75" name="图片 75"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007"/>
                    <pic:cNvPicPr>
                      <a:picLocks noChangeAspect="1"/>
                    </pic:cNvPicPr>
                  </pic:nvPicPr>
                  <pic:blipFill>
                    <a:blip r:embed="rId64">
                      <a:clrChange>
                        <a:clrFrom>
                          <a:srgbClr val="FBFAFB">
                            <a:alpha val="100000"/>
                          </a:srgbClr>
                        </a:clrFrom>
                        <a:clrTo>
                          <a:srgbClr val="FBFAFB">
                            <a:alpha val="100000"/>
                            <a:alpha val="0"/>
                          </a:srgbClr>
                        </a:clrTo>
                      </a:clrChange>
                    </a:blip>
                    <a:srcRect l="8730" t="12034" r="10483"/>
                    <a:stretch>
                      <a:fillRect/>
                    </a:stretch>
                  </pic:blipFill>
                  <pic:spPr>
                    <a:xfrm>
                      <a:off x="0" y="0"/>
                      <a:ext cx="5152390" cy="7716520"/>
                    </a:xfrm>
                    <a:prstGeom prst="rect">
                      <a:avLst/>
                    </a:prstGeom>
                  </pic:spPr>
                </pic:pic>
              </a:graphicData>
            </a:graphic>
          </wp:anchor>
        </w:drawing>
      </w:r>
    </w:p>
    <w:p w14:paraId="6D952CA2">
      <w:pPr>
        <w:jc w:val="center"/>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drawing>
          <wp:inline distT="0" distB="0" distL="114300" distR="114300">
            <wp:extent cx="5181600" cy="7878445"/>
            <wp:effectExtent l="0" t="0" r="0" b="8255"/>
            <wp:docPr id="76" name="图片 76"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008"/>
                    <pic:cNvPicPr>
                      <a:picLocks noChangeAspect="1"/>
                    </pic:cNvPicPr>
                  </pic:nvPicPr>
                  <pic:blipFill>
                    <a:blip r:embed="rId65">
                      <a:clrChange>
                        <a:clrFrom>
                          <a:srgbClr val="F9F9F9">
                            <a:alpha val="100000"/>
                          </a:srgbClr>
                        </a:clrFrom>
                        <a:clrTo>
                          <a:srgbClr val="F9F9F9">
                            <a:alpha val="100000"/>
                            <a:alpha val="0"/>
                          </a:srgbClr>
                        </a:clrTo>
                      </a:clrChange>
                    </a:blip>
                    <a:srcRect l="7231" t="13323" r="18071" b="4118"/>
                    <a:stretch>
                      <a:fillRect/>
                    </a:stretch>
                  </pic:blipFill>
                  <pic:spPr>
                    <a:xfrm>
                      <a:off x="0" y="0"/>
                      <a:ext cx="5181600" cy="7878445"/>
                    </a:xfrm>
                    <a:prstGeom prst="rect">
                      <a:avLst/>
                    </a:prstGeom>
                  </pic:spPr>
                </pic:pic>
              </a:graphicData>
            </a:graphic>
          </wp:inline>
        </w:drawing>
      </w:r>
      <w:r>
        <w:rPr>
          <w:rFonts w:hint="eastAsia" w:ascii="Times New Roman" w:hAnsi="Times New Roman" w:cs="Times New Roman"/>
          <w:b/>
          <w:bCs/>
          <w:color w:val="000000" w:themeColor="text1"/>
          <w:highlight w:val="none"/>
          <w:lang w:val="en-US" w:eastAsia="zh-CN"/>
          <w14:textFill>
            <w14:solidFill>
              <w14:schemeClr w14:val="tx1"/>
            </w14:solidFill>
          </w14:textFill>
        </w:rPr>
        <w:drawing>
          <wp:inline distT="0" distB="0" distL="114300" distR="114300">
            <wp:extent cx="5450205" cy="8181340"/>
            <wp:effectExtent l="0" t="0" r="0" b="10160"/>
            <wp:docPr id="77" name="图片 77"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009"/>
                    <pic:cNvPicPr>
                      <a:picLocks noChangeAspect="1"/>
                    </pic:cNvPicPr>
                  </pic:nvPicPr>
                  <pic:blipFill>
                    <a:blip r:embed="rId66">
                      <a:clrChange>
                        <a:clrFrom>
                          <a:srgbClr val="F2F2F4">
                            <a:alpha val="100000"/>
                          </a:srgbClr>
                        </a:clrFrom>
                        <a:clrTo>
                          <a:srgbClr val="F2F2F4">
                            <a:alpha val="100000"/>
                            <a:alpha val="0"/>
                          </a:srgbClr>
                        </a:clrTo>
                      </a:clrChange>
                    </a:blip>
                    <a:srcRect l="9056" t="6965" r="10610" b="5391"/>
                    <a:stretch>
                      <a:fillRect/>
                    </a:stretch>
                  </pic:blipFill>
                  <pic:spPr>
                    <a:xfrm>
                      <a:off x="0" y="0"/>
                      <a:ext cx="5450205" cy="8181340"/>
                    </a:xfrm>
                    <a:prstGeom prst="rect">
                      <a:avLst/>
                    </a:prstGeom>
                  </pic:spPr>
                </pic:pic>
              </a:graphicData>
            </a:graphic>
          </wp:inline>
        </w:drawing>
      </w:r>
      <w:r>
        <w:rPr>
          <w:rFonts w:hint="eastAsia" w:ascii="Times New Roman" w:hAnsi="Times New Roman" w:cs="Times New Roman"/>
          <w:b/>
          <w:bCs/>
          <w:color w:val="000000" w:themeColor="text1"/>
          <w:highlight w:val="none"/>
          <w:lang w:val="en-US" w:eastAsia="zh-CN"/>
          <w14:textFill>
            <w14:solidFill>
              <w14:schemeClr w14:val="tx1"/>
            </w14:solidFill>
          </w14:textFill>
        </w:rPr>
        <w:drawing>
          <wp:inline distT="0" distB="0" distL="114300" distR="114300">
            <wp:extent cx="5423535" cy="7740650"/>
            <wp:effectExtent l="0" t="0" r="5715" b="0"/>
            <wp:docPr id="78" name="图片 78"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010"/>
                    <pic:cNvPicPr>
                      <a:picLocks noChangeAspect="1"/>
                    </pic:cNvPicPr>
                  </pic:nvPicPr>
                  <pic:blipFill>
                    <a:blip r:embed="rId67">
                      <a:clrChange>
                        <a:clrFrom>
                          <a:srgbClr val="F8F8F8">
                            <a:alpha val="100000"/>
                          </a:srgbClr>
                        </a:clrFrom>
                        <a:clrTo>
                          <a:srgbClr val="F8F8F8">
                            <a:alpha val="100000"/>
                            <a:alpha val="0"/>
                          </a:srgbClr>
                        </a:clrTo>
                      </a:clrChange>
                    </a:blip>
                    <a:srcRect l="11270" t="17940" r="9614"/>
                    <a:stretch>
                      <a:fillRect/>
                    </a:stretch>
                  </pic:blipFill>
                  <pic:spPr>
                    <a:xfrm>
                      <a:off x="0" y="0"/>
                      <a:ext cx="5423535" cy="7740650"/>
                    </a:xfrm>
                    <a:prstGeom prst="rect">
                      <a:avLst/>
                    </a:prstGeom>
                  </pic:spPr>
                </pic:pic>
              </a:graphicData>
            </a:graphic>
          </wp:inline>
        </w:drawing>
      </w:r>
      <w:r>
        <w:rPr>
          <w:rFonts w:hint="eastAsia" w:ascii="Times New Roman" w:hAnsi="Times New Roman" w:cs="Times New Roman"/>
          <w:b/>
          <w:bCs/>
          <w:color w:val="000000" w:themeColor="text1"/>
          <w:highlight w:val="none"/>
          <w:lang w:val="en-US" w:eastAsia="zh-CN"/>
          <w14:textFill>
            <w14:solidFill>
              <w14:schemeClr w14:val="tx1"/>
            </w14:solidFill>
          </w14:textFill>
        </w:rPr>
        <w:drawing>
          <wp:inline distT="0" distB="0" distL="114300" distR="114300">
            <wp:extent cx="5565775" cy="6372225"/>
            <wp:effectExtent l="0" t="0" r="15875" b="9525"/>
            <wp:docPr id="79" name="图片 79"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011"/>
                    <pic:cNvPicPr>
                      <a:picLocks noChangeAspect="1"/>
                    </pic:cNvPicPr>
                  </pic:nvPicPr>
                  <pic:blipFill>
                    <a:blip r:embed="rId68">
                      <a:clrChange>
                        <a:clrFrom>
                          <a:srgbClr val="F8F8FA">
                            <a:alpha val="100000"/>
                          </a:srgbClr>
                        </a:clrFrom>
                        <a:clrTo>
                          <a:srgbClr val="F8F8FA">
                            <a:alpha val="100000"/>
                            <a:alpha val="0"/>
                          </a:srgbClr>
                        </a:clrTo>
                      </a:clrChange>
                    </a:blip>
                    <a:srcRect l="8453" t="3193" r="9293" b="28358"/>
                    <a:stretch>
                      <a:fillRect/>
                    </a:stretch>
                  </pic:blipFill>
                  <pic:spPr>
                    <a:xfrm>
                      <a:off x="0" y="0"/>
                      <a:ext cx="5565775" cy="6372225"/>
                    </a:xfrm>
                    <a:prstGeom prst="rect">
                      <a:avLst/>
                    </a:prstGeom>
                  </pic:spPr>
                </pic:pic>
              </a:graphicData>
            </a:graphic>
          </wp:inline>
        </w:drawing>
      </w:r>
    </w:p>
    <w:p w14:paraId="60966589">
      <w:pPr>
        <w:rPr>
          <w:rFonts w:hint="default" w:ascii="Times New Roman" w:hAnsi="Times New Roman" w:cs="Times New Roman"/>
          <w:b/>
          <w:color w:val="000000" w:themeColor="text1"/>
          <w:sz w:val="24"/>
          <w:szCs w:val="24"/>
          <w:highlight w:val="none"/>
          <w:lang w:eastAsia="zh-CN"/>
          <w14:textFill>
            <w14:solidFill>
              <w14:schemeClr w14:val="tx1"/>
            </w14:solidFill>
          </w14:textFill>
        </w:rPr>
      </w:pPr>
      <w:r>
        <w:rPr>
          <w:rFonts w:hint="default" w:ascii="Times New Roman" w:hAnsi="Times New Roman" w:cs="Times New Roman"/>
          <w:b/>
          <w:color w:val="000000" w:themeColor="text1"/>
          <w:sz w:val="24"/>
          <w:szCs w:val="24"/>
          <w:highlight w:val="none"/>
          <w:lang w:eastAsia="zh-CN"/>
          <w14:textFill>
            <w14:solidFill>
              <w14:schemeClr w14:val="tx1"/>
            </w14:solidFill>
          </w14:textFill>
        </w:rPr>
        <w:br w:type="page"/>
      </w:r>
    </w:p>
    <w:p w14:paraId="0553DB13">
      <w:pPr>
        <w:jc w:val="left"/>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color w:val="000000" w:themeColor="text1"/>
          <w:sz w:val="24"/>
          <w:szCs w:val="24"/>
          <w:highlight w:val="none"/>
          <w:lang w:eastAsia="zh-CN"/>
          <w14:textFill>
            <w14:solidFill>
              <w14:schemeClr w14:val="tx1"/>
            </w14:solidFill>
          </w14:textFill>
        </w:rPr>
        <w:t>附件</w:t>
      </w:r>
      <w:r>
        <w:rPr>
          <w:rFonts w:hint="eastAsia" w:ascii="Times New Roman" w:hAnsi="Times New Roman"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b/>
          <w:color w:val="000000" w:themeColor="text1"/>
          <w:sz w:val="24"/>
          <w:szCs w:val="24"/>
          <w:highlight w:val="none"/>
          <w:lang w:val="en-US" w:eastAsia="zh-CN"/>
          <w14:textFill>
            <w14:solidFill>
              <w14:schemeClr w14:val="tx1"/>
            </w14:solidFill>
          </w14:textFill>
        </w:rPr>
        <w:t>现有工程及在建工程环保手续</w:t>
      </w:r>
    </w:p>
    <w:p w14:paraId="7A7697A0">
      <w:pPr>
        <w:pStyle w:val="191"/>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drawing>
          <wp:inline distT="0" distB="0" distL="114300" distR="114300">
            <wp:extent cx="5276850" cy="8167370"/>
            <wp:effectExtent l="0" t="0" r="0" b="5080"/>
            <wp:docPr id="30" name="图片 30" descr="环评审批意见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环评审批意见_页面_1"/>
                    <pic:cNvPicPr>
                      <a:picLocks noChangeAspect="1"/>
                    </pic:cNvPicPr>
                  </pic:nvPicPr>
                  <pic:blipFill>
                    <a:blip r:embed="rId69">
                      <a:clrChange>
                        <a:clrFrom>
                          <a:srgbClr val="EBECF0">
                            <a:alpha val="100000"/>
                          </a:srgbClr>
                        </a:clrFrom>
                        <a:clrTo>
                          <a:srgbClr val="EBECF0">
                            <a:alpha val="100000"/>
                            <a:alpha val="0"/>
                          </a:srgbClr>
                        </a:clrTo>
                      </a:clrChange>
                    </a:blip>
                    <a:srcRect l="17204" t="13310" r="16220" b="13822"/>
                    <a:stretch>
                      <a:fillRect/>
                    </a:stretch>
                  </pic:blipFill>
                  <pic:spPr>
                    <a:xfrm>
                      <a:off x="0" y="0"/>
                      <a:ext cx="5276850" cy="8167370"/>
                    </a:xfrm>
                    <a:prstGeom prst="rect">
                      <a:avLst/>
                    </a:prstGeom>
                  </pic:spPr>
                </pic:pic>
              </a:graphicData>
            </a:graphic>
          </wp:inline>
        </w:drawing>
      </w:r>
      <w:r>
        <w:rPr>
          <w:rFonts w:hint="default"/>
          <w:color w:val="000000" w:themeColor="text1"/>
          <w:highlight w:val="none"/>
          <w:lang w:val="en-US" w:eastAsia="zh-CN"/>
          <w14:textFill>
            <w14:solidFill>
              <w14:schemeClr w14:val="tx1"/>
            </w14:solidFill>
          </w14:textFill>
        </w:rPr>
        <w:drawing>
          <wp:inline distT="0" distB="0" distL="114300" distR="114300">
            <wp:extent cx="5197475" cy="8342630"/>
            <wp:effectExtent l="0" t="0" r="3175" b="1270"/>
            <wp:docPr id="31" name="图片 31" descr="环评审批意见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环评审批意见_页面_2"/>
                    <pic:cNvPicPr>
                      <a:picLocks noChangeAspect="1"/>
                    </pic:cNvPicPr>
                  </pic:nvPicPr>
                  <pic:blipFill>
                    <a:blip r:embed="rId70">
                      <a:clrChange>
                        <a:clrFrom>
                          <a:srgbClr val="E8EAE9">
                            <a:alpha val="100000"/>
                          </a:srgbClr>
                        </a:clrFrom>
                        <a:clrTo>
                          <a:srgbClr val="E8EAE9">
                            <a:alpha val="100000"/>
                            <a:alpha val="0"/>
                          </a:srgbClr>
                        </a:clrTo>
                      </a:clrChange>
                    </a:blip>
                    <a:srcRect l="15609" t="13678" r="20020" b="13270"/>
                    <a:stretch>
                      <a:fillRect/>
                    </a:stretch>
                  </pic:blipFill>
                  <pic:spPr>
                    <a:xfrm>
                      <a:off x="0" y="0"/>
                      <a:ext cx="5197475" cy="8342630"/>
                    </a:xfrm>
                    <a:prstGeom prst="rect">
                      <a:avLst/>
                    </a:prstGeom>
                  </pic:spPr>
                </pic:pic>
              </a:graphicData>
            </a:graphic>
          </wp:inline>
        </w:drawing>
      </w:r>
      <w:r>
        <w:rPr>
          <w:rFonts w:hint="default"/>
          <w:color w:val="000000" w:themeColor="text1"/>
          <w:highlight w:val="none"/>
          <w:lang w:val="en-US" w:eastAsia="zh-CN"/>
          <w14:textFill>
            <w14:solidFill>
              <w14:schemeClr w14:val="tx1"/>
            </w14:solidFill>
          </w14:textFill>
        </w:rPr>
        <w:drawing>
          <wp:inline distT="0" distB="0" distL="114300" distR="114300">
            <wp:extent cx="5326380" cy="8315325"/>
            <wp:effectExtent l="0" t="0" r="7620" b="9525"/>
            <wp:docPr id="35" name="图片 35" descr="环评审批意见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环评审批意见_页面_3"/>
                    <pic:cNvPicPr>
                      <a:picLocks noChangeAspect="1"/>
                    </pic:cNvPicPr>
                  </pic:nvPicPr>
                  <pic:blipFill>
                    <a:blip r:embed="rId71">
                      <a:clrChange>
                        <a:clrFrom>
                          <a:srgbClr val="DBE0E3">
                            <a:alpha val="100000"/>
                          </a:srgbClr>
                        </a:clrFrom>
                        <a:clrTo>
                          <a:srgbClr val="DBE0E3">
                            <a:alpha val="100000"/>
                            <a:alpha val="0"/>
                          </a:srgbClr>
                        </a:clrTo>
                      </a:clrChange>
                    </a:blip>
                    <a:srcRect l="17116" t="11998" r="17245" b="15550"/>
                    <a:stretch>
                      <a:fillRect/>
                    </a:stretch>
                  </pic:blipFill>
                  <pic:spPr>
                    <a:xfrm>
                      <a:off x="0" y="0"/>
                      <a:ext cx="5326380" cy="8315325"/>
                    </a:xfrm>
                    <a:prstGeom prst="rect">
                      <a:avLst/>
                    </a:prstGeom>
                  </pic:spPr>
                </pic:pic>
              </a:graphicData>
            </a:graphic>
          </wp:inline>
        </w:drawing>
      </w:r>
      <w:r>
        <w:rPr>
          <w:rFonts w:hint="default"/>
          <w:color w:val="000000" w:themeColor="text1"/>
          <w:highlight w:val="none"/>
          <w:lang w:val="en-US" w:eastAsia="zh-CN"/>
          <w14:textFill>
            <w14:solidFill>
              <w14:schemeClr w14:val="tx1"/>
            </w14:solidFill>
          </w14:textFill>
        </w:rPr>
        <w:drawing>
          <wp:inline distT="0" distB="0" distL="114300" distR="114300">
            <wp:extent cx="4860290" cy="8481060"/>
            <wp:effectExtent l="0" t="0" r="16510" b="15240"/>
            <wp:docPr id="37" name="图片 37" descr="环评审批意见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环评审批意见_页面_4"/>
                    <pic:cNvPicPr>
                      <a:picLocks noChangeAspect="1"/>
                    </pic:cNvPicPr>
                  </pic:nvPicPr>
                  <pic:blipFill>
                    <a:blip r:embed="rId72">
                      <a:clrChange>
                        <a:clrFrom>
                          <a:srgbClr val="DCDDE1">
                            <a:alpha val="100000"/>
                          </a:srgbClr>
                        </a:clrFrom>
                        <a:clrTo>
                          <a:srgbClr val="DCDDE1">
                            <a:alpha val="100000"/>
                            <a:alpha val="0"/>
                          </a:srgbClr>
                        </a:clrTo>
                      </a:clrChange>
                    </a:blip>
                    <a:srcRect l="18357" t="10990" r="22234" b="15717"/>
                    <a:stretch>
                      <a:fillRect/>
                    </a:stretch>
                  </pic:blipFill>
                  <pic:spPr>
                    <a:xfrm>
                      <a:off x="0" y="0"/>
                      <a:ext cx="4860290" cy="8481060"/>
                    </a:xfrm>
                    <a:prstGeom prst="rect">
                      <a:avLst/>
                    </a:prstGeom>
                  </pic:spPr>
                </pic:pic>
              </a:graphicData>
            </a:graphic>
          </wp:inline>
        </w:drawing>
      </w:r>
      <w:r>
        <w:rPr>
          <w:rFonts w:hint="default"/>
          <w:color w:val="000000" w:themeColor="text1"/>
          <w:highlight w:val="none"/>
          <w:lang w:val="en-US" w:eastAsia="zh-CN"/>
          <w14:textFill>
            <w14:solidFill>
              <w14:schemeClr w14:val="tx1"/>
            </w14:solidFill>
          </w14:textFill>
        </w:rPr>
        <w:drawing>
          <wp:inline distT="0" distB="0" distL="114300" distR="114300">
            <wp:extent cx="5490845" cy="8299450"/>
            <wp:effectExtent l="0" t="0" r="14605" b="6350"/>
            <wp:docPr id="58" name="图片 5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01"/>
                    <pic:cNvPicPr>
                      <a:picLocks noChangeAspect="1"/>
                    </pic:cNvPicPr>
                  </pic:nvPicPr>
                  <pic:blipFill>
                    <a:blip r:embed="rId73"/>
                    <a:srcRect l="6269" t="3233" r="5658"/>
                    <a:stretch>
                      <a:fillRect/>
                    </a:stretch>
                  </pic:blipFill>
                  <pic:spPr>
                    <a:xfrm>
                      <a:off x="0" y="0"/>
                      <a:ext cx="5490845" cy="8299450"/>
                    </a:xfrm>
                    <a:prstGeom prst="rect">
                      <a:avLst/>
                    </a:prstGeom>
                  </pic:spPr>
                </pic:pic>
              </a:graphicData>
            </a:graphic>
          </wp:inline>
        </w:drawing>
      </w:r>
      <w:r>
        <w:rPr>
          <w:rFonts w:hint="default"/>
          <w:color w:val="000000" w:themeColor="text1"/>
          <w:highlight w:val="none"/>
          <w:lang w:val="en-US" w:eastAsia="zh-CN"/>
          <w14:textFill>
            <w14:solidFill>
              <w14:schemeClr w14:val="tx1"/>
            </w14:solidFill>
          </w14:textFill>
        </w:rPr>
        <w:drawing>
          <wp:inline distT="0" distB="0" distL="114300" distR="114300">
            <wp:extent cx="5633085" cy="8318500"/>
            <wp:effectExtent l="0" t="0" r="5715" b="6350"/>
            <wp:docPr id="59" name="图片 5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02"/>
                    <pic:cNvPicPr>
                      <a:picLocks noChangeAspect="1"/>
                    </pic:cNvPicPr>
                  </pic:nvPicPr>
                  <pic:blipFill>
                    <a:blip r:embed="rId74"/>
                    <a:srcRect l="3384" t="1579" r="6337" b="1514"/>
                    <a:stretch>
                      <a:fillRect/>
                    </a:stretch>
                  </pic:blipFill>
                  <pic:spPr>
                    <a:xfrm>
                      <a:off x="0" y="0"/>
                      <a:ext cx="5633085" cy="8318500"/>
                    </a:xfrm>
                    <a:prstGeom prst="rect">
                      <a:avLst/>
                    </a:prstGeom>
                  </pic:spPr>
                </pic:pic>
              </a:graphicData>
            </a:graphic>
          </wp:inline>
        </w:drawing>
      </w:r>
      <w:r>
        <w:rPr>
          <w:rFonts w:hint="default"/>
          <w:color w:val="000000" w:themeColor="text1"/>
          <w:highlight w:val="none"/>
          <w:lang w:val="en-US" w:eastAsia="zh-CN"/>
          <w14:textFill>
            <w14:solidFill>
              <w14:schemeClr w14:val="tx1"/>
            </w14:solidFill>
          </w14:textFill>
        </w:rPr>
        <w:drawing>
          <wp:inline distT="0" distB="0" distL="114300" distR="114300">
            <wp:extent cx="5492750" cy="8286115"/>
            <wp:effectExtent l="0" t="0" r="12700" b="635"/>
            <wp:docPr id="80" name="图片 8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003"/>
                    <pic:cNvPicPr>
                      <a:picLocks noChangeAspect="1"/>
                    </pic:cNvPicPr>
                  </pic:nvPicPr>
                  <pic:blipFill>
                    <a:blip r:embed="rId75"/>
                    <a:srcRect l="3123" t="2903" r="8331"/>
                    <a:stretch>
                      <a:fillRect/>
                    </a:stretch>
                  </pic:blipFill>
                  <pic:spPr>
                    <a:xfrm>
                      <a:off x="0" y="0"/>
                      <a:ext cx="5492750" cy="8286115"/>
                    </a:xfrm>
                    <a:prstGeom prst="rect">
                      <a:avLst/>
                    </a:prstGeom>
                  </pic:spPr>
                </pic:pic>
              </a:graphicData>
            </a:graphic>
          </wp:inline>
        </w:drawing>
      </w:r>
      <w:r>
        <w:rPr>
          <w:rFonts w:hint="default"/>
          <w:color w:val="000000" w:themeColor="text1"/>
          <w:highlight w:val="none"/>
          <w:lang w:val="en-US" w:eastAsia="zh-CN"/>
          <w14:textFill>
            <w14:solidFill>
              <w14:schemeClr w14:val="tx1"/>
            </w14:solidFill>
          </w14:textFill>
        </w:rPr>
        <w:drawing>
          <wp:inline distT="0" distB="0" distL="114300" distR="114300">
            <wp:extent cx="5751195" cy="7879715"/>
            <wp:effectExtent l="0" t="0" r="1905" b="6985"/>
            <wp:docPr id="55" name="图片 5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01"/>
                    <pic:cNvPicPr>
                      <a:picLocks noChangeAspect="1"/>
                    </pic:cNvPicPr>
                  </pic:nvPicPr>
                  <pic:blipFill>
                    <a:blip r:embed="rId76"/>
                    <a:srcRect l="3293" t="5799" r="5488" b="3356"/>
                    <a:stretch>
                      <a:fillRect/>
                    </a:stretch>
                  </pic:blipFill>
                  <pic:spPr>
                    <a:xfrm>
                      <a:off x="0" y="0"/>
                      <a:ext cx="5751195" cy="7879715"/>
                    </a:xfrm>
                    <a:prstGeom prst="rect">
                      <a:avLst/>
                    </a:prstGeom>
                  </pic:spPr>
                </pic:pic>
              </a:graphicData>
            </a:graphic>
          </wp:inline>
        </w:drawing>
      </w:r>
      <w:r>
        <w:rPr>
          <w:rFonts w:hint="default"/>
          <w:color w:val="000000" w:themeColor="text1"/>
          <w:highlight w:val="none"/>
          <w:lang w:val="en-US" w:eastAsia="zh-CN"/>
          <w14:textFill>
            <w14:solidFill>
              <w14:schemeClr w14:val="tx1"/>
            </w14:solidFill>
          </w14:textFill>
        </w:rPr>
        <w:drawing>
          <wp:inline distT="0" distB="0" distL="114300" distR="114300">
            <wp:extent cx="5655310" cy="8456930"/>
            <wp:effectExtent l="0" t="0" r="2540" b="1270"/>
            <wp:docPr id="56" name="图片 56"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02"/>
                    <pic:cNvPicPr>
                      <a:picLocks noChangeAspect="1"/>
                    </pic:cNvPicPr>
                  </pic:nvPicPr>
                  <pic:blipFill>
                    <a:blip r:embed="rId77"/>
                    <a:srcRect l="4232" t="3899" r="7355"/>
                    <a:stretch>
                      <a:fillRect/>
                    </a:stretch>
                  </pic:blipFill>
                  <pic:spPr>
                    <a:xfrm>
                      <a:off x="0" y="0"/>
                      <a:ext cx="5655310" cy="8456930"/>
                    </a:xfrm>
                    <a:prstGeom prst="rect">
                      <a:avLst/>
                    </a:prstGeom>
                  </pic:spPr>
                </pic:pic>
              </a:graphicData>
            </a:graphic>
          </wp:inline>
        </w:drawing>
      </w:r>
    </w:p>
    <w:p w14:paraId="2B58C442">
      <w:pPr>
        <w:pStyle w:val="2"/>
        <w:ind w:left="0" w:leftChars="0" w:firstLine="0" w:firstLineChars="0"/>
        <w:rPr>
          <w:rFonts w:hint="default"/>
          <w:lang w:val="en-US" w:eastAsia="zh-CN"/>
        </w:rPr>
      </w:pPr>
      <w:r>
        <w:rPr>
          <w:rFonts w:hint="eastAsia" w:ascii="Times New Roman" w:hAnsi="Times New Roman" w:cs="Times New Roman"/>
          <w:b/>
          <w:bCs/>
          <w:color w:val="000000" w:themeColor="text1"/>
          <w:highlight w:val="none"/>
          <w:lang w:val="en-US" w:eastAsia="zh-CN"/>
          <w14:textFill>
            <w14:solidFill>
              <w14:schemeClr w14:val="tx1"/>
            </w14:solidFill>
          </w14:textFill>
        </w:rPr>
        <w:t>附件5：排污许可证</w:t>
      </w:r>
    </w:p>
    <w:p w14:paraId="2503CE0D">
      <w:pPr>
        <w:rPr>
          <w:rFonts w:hint="default"/>
          <w:lang w:val="en-US" w:eastAsia="zh-CN"/>
        </w:rPr>
      </w:pPr>
      <w:r>
        <w:rPr>
          <w:rFonts w:hint="default"/>
          <w:lang w:val="en-US" w:eastAsia="zh-CN"/>
        </w:rPr>
        <w:drawing>
          <wp:inline distT="0" distB="0" distL="114300" distR="114300">
            <wp:extent cx="5594350" cy="7889875"/>
            <wp:effectExtent l="0" t="0" r="6350" b="15875"/>
            <wp:docPr id="49" name="图片 49" descr="mmexport1701050651874_edit_141981937930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mmexport1701050651874_edit_1419819379304396"/>
                    <pic:cNvPicPr>
                      <a:picLocks noChangeAspect="1"/>
                    </pic:cNvPicPr>
                  </pic:nvPicPr>
                  <pic:blipFill>
                    <a:blip r:embed="rId78"/>
                    <a:stretch>
                      <a:fillRect/>
                    </a:stretch>
                  </pic:blipFill>
                  <pic:spPr>
                    <a:xfrm rot="10800000">
                      <a:off x="0" y="0"/>
                      <a:ext cx="5594350" cy="7889875"/>
                    </a:xfrm>
                    <a:prstGeom prst="rect">
                      <a:avLst/>
                    </a:prstGeom>
                  </pic:spPr>
                </pic:pic>
              </a:graphicData>
            </a:graphic>
          </wp:inline>
        </w:drawing>
      </w:r>
    </w:p>
    <w:p w14:paraId="331B9BEA">
      <w:pPr>
        <w:pStyle w:val="2"/>
        <w:ind w:left="0" w:leftChars="0" w:firstLine="0" w:firstLineChars="0"/>
        <w:rPr>
          <w:rFonts w:hint="eastAsia" w:ascii="Times New Roman" w:hAnsi="Times New Roman" w:cs="Times New Roman"/>
          <w:b/>
          <w:bCs/>
          <w:color w:val="000000" w:themeColor="text1"/>
          <w:highlight w:val="none"/>
          <w:lang w:val="en-US" w:eastAsia="zh-CN"/>
          <w14:textFill>
            <w14:solidFill>
              <w14:schemeClr w14:val="tx1"/>
            </w14:solidFill>
          </w14:textFill>
        </w:rPr>
      </w:pPr>
    </w:p>
    <w:p w14:paraId="7665F735">
      <w:pPr>
        <w:pStyle w:val="2"/>
        <w:ind w:left="0" w:leftChars="0" w:firstLine="0" w:firstLineChars="0"/>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附件6：监测报告</w:t>
      </w:r>
    </w:p>
    <w:p w14:paraId="2F1F4BC9">
      <w:pPr>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drawing>
          <wp:inline distT="0" distB="0" distL="114300" distR="114300">
            <wp:extent cx="5592445" cy="7608570"/>
            <wp:effectExtent l="0" t="0" r="8255" b="11430"/>
            <wp:docPr id="17" name="图片 17" descr="mmexport1701050566896_edit_141950138260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701050566896_edit_1419501382602531"/>
                    <pic:cNvPicPr>
                      <a:picLocks noChangeAspect="1"/>
                    </pic:cNvPicPr>
                  </pic:nvPicPr>
                  <pic:blipFill>
                    <a:blip r:embed="rId79"/>
                    <a:stretch>
                      <a:fillRect/>
                    </a:stretch>
                  </pic:blipFill>
                  <pic:spPr>
                    <a:xfrm>
                      <a:off x="0" y="0"/>
                      <a:ext cx="5592445" cy="7608570"/>
                    </a:xfrm>
                    <a:prstGeom prst="rect">
                      <a:avLst/>
                    </a:prstGeom>
                  </pic:spPr>
                </pic:pic>
              </a:graphicData>
            </a:graphic>
          </wp:inline>
        </w:drawing>
      </w:r>
      <w:r>
        <w:rPr>
          <w:rFonts w:hint="eastAsia"/>
          <w:color w:val="000000" w:themeColor="text1"/>
          <w:highlight w:val="none"/>
          <w:lang w:val="en-US" w:eastAsia="zh-CN"/>
          <w14:textFill>
            <w14:solidFill>
              <w14:schemeClr w14:val="tx1"/>
            </w14:solidFill>
          </w14:textFill>
        </w:rPr>
        <w:drawing>
          <wp:inline distT="0" distB="0" distL="114300" distR="114300">
            <wp:extent cx="5589270" cy="8050530"/>
            <wp:effectExtent l="0" t="0" r="11430" b="7620"/>
            <wp:docPr id="19" name="图片 19" descr="mmexport1701050574877_edit_141953830023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701050574877_edit_1419538300239072"/>
                    <pic:cNvPicPr>
                      <a:picLocks noChangeAspect="1"/>
                    </pic:cNvPicPr>
                  </pic:nvPicPr>
                  <pic:blipFill>
                    <a:blip r:embed="rId80"/>
                    <a:stretch>
                      <a:fillRect/>
                    </a:stretch>
                  </pic:blipFill>
                  <pic:spPr>
                    <a:xfrm>
                      <a:off x="0" y="0"/>
                      <a:ext cx="5589270" cy="8050530"/>
                    </a:xfrm>
                    <a:prstGeom prst="rect">
                      <a:avLst/>
                    </a:prstGeom>
                  </pic:spPr>
                </pic:pic>
              </a:graphicData>
            </a:graphic>
          </wp:inline>
        </w:drawing>
      </w:r>
      <w:r>
        <w:rPr>
          <w:rFonts w:hint="eastAsia"/>
          <w:color w:val="000000" w:themeColor="text1"/>
          <w:highlight w:val="none"/>
          <w:lang w:val="en-US" w:eastAsia="zh-CN"/>
          <w14:textFill>
            <w14:solidFill>
              <w14:schemeClr w14:val="tx1"/>
            </w14:solidFill>
          </w14:textFill>
        </w:rPr>
        <w:drawing>
          <wp:inline distT="0" distB="0" distL="114300" distR="114300">
            <wp:extent cx="5601335" cy="7815580"/>
            <wp:effectExtent l="0" t="0" r="18415" b="13970"/>
            <wp:docPr id="22" name="图片 22" descr="mmexport1701050582079_edit_141956149008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mexport1701050582079_edit_1419561490089612"/>
                    <pic:cNvPicPr>
                      <a:picLocks noChangeAspect="1"/>
                    </pic:cNvPicPr>
                  </pic:nvPicPr>
                  <pic:blipFill>
                    <a:blip r:embed="rId81"/>
                    <a:stretch>
                      <a:fillRect/>
                    </a:stretch>
                  </pic:blipFill>
                  <pic:spPr>
                    <a:xfrm>
                      <a:off x="0" y="0"/>
                      <a:ext cx="5601335" cy="7815580"/>
                    </a:xfrm>
                    <a:prstGeom prst="rect">
                      <a:avLst/>
                    </a:prstGeom>
                  </pic:spPr>
                </pic:pic>
              </a:graphicData>
            </a:graphic>
          </wp:inline>
        </w:drawing>
      </w:r>
      <w:r>
        <w:rPr>
          <w:rFonts w:hint="eastAsia"/>
          <w:color w:val="000000" w:themeColor="text1"/>
          <w:highlight w:val="none"/>
          <w:lang w:val="en-US" w:eastAsia="zh-CN"/>
          <w14:textFill>
            <w14:solidFill>
              <w14:schemeClr w14:val="tx1"/>
            </w14:solidFill>
          </w14:textFill>
        </w:rPr>
        <w:drawing>
          <wp:inline distT="0" distB="0" distL="114300" distR="114300">
            <wp:extent cx="5608320" cy="7548245"/>
            <wp:effectExtent l="0" t="0" r="11430" b="14605"/>
            <wp:docPr id="23" name="图片 23" descr="mmexport1701050589340_edit_141959336914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mexport1701050589340_edit_1419593369148998"/>
                    <pic:cNvPicPr>
                      <a:picLocks noChangeAspect="1"/>
                    </pic:cNvPicPr>
                  </pic:nvPicPr>
                  <pic:blipFill>
                    <a:blip r:embed="rId82"/>
                    <a:stretch>
                      <a:fillRect/>
                    </a:stretch>
                  </pic:blipFill>
                  <pic:spPr>
                    <a:xfrm>
                      <a:off x="0" y="0"/>
                      <a:ext cx="5608320" cy="7548245"/>
                    </a:xfrm>
                    <a:prstGeom prst="rect">
                      <a:avLst/>
                    </a:prstGeom>
                  </pic:spPr>
                </pic:pic>
              </a:graphicData>
            </a:graphic>
          </wp:inline>
        </w:drawing>
      </w:r>
      <w:r>
        <w:rPr>
          <w:rFonts w:hint="eastAsia"/>
          <w:color w:val="000000" w:themeColor="text1"/>
          <w:highlight w:val="none"/>
          <w:lang w:val="en-US" w:eastAsia="zh-CN"/>
          <w14:textFill>
            <w14:solidFill>
              <w14:schemeClr w14:val="tx1"/>
            </w14:solidFill>
          </w14:textFill>
        </w:rPr>
        <w:drawing>
          <wp:inline distT="0" distB="0" distL="114300" distR="114300">
            <wp:extent cx="5609590" cy="8348345"/>
            <wp:effectExtent l="0" t="0" r="10160" b="14605"/>
            <wp:docPr id="25" name="图片 25" descr="mmexport1701050598962_edit_141961841979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701050598962_edit_1419618419790769"/>
                    <pic:cNvPicPr>
                      <a:picLocks noChangeAspect="1"/>
                    </pic:cNvPicPr>
                  </pic:nvPicPr>
                  <pic:blipFill>
                    <a:blip r:embed="rId83"/>
                    <a:stretch>
                      <a:fillRect/>
                    </a:stretch>
                  </pic:blipFill>
                  <pic:spPr>
                    <a:xfrm>
                      <a:off x="0" y="0"/>
                      <a:ext cx="5609590" cy="8348345"/>
                    </a:xfrm>
                    <a:prstGeom prst="rect">
                      <a:avLst/>
                    </a:prstGeom>
                  </pic:spPr>
                </pic:pic>
              </a:graphicData>
            </a:graphic>
          </wp:inline>
        </w:drawing>
      </w:r>
      <w:r>
        <w:rPr>
          <w:rFonts w:hint="eastAsia"/>
          <w:color w:val="000000" w:themeColor="text1"/>
          <w:highlight w:val="none"/>
          <w:lang w:val="en-US" w:eastAsia="zh-CN"/>
          <w14:textFill>
            <w14:solidFill>
              <w14:schemeClr w14:val="tx1"/>
            </w14:solidFill>
          </w14:textFill>
        </w:rPr>
        <w:drawing>
          <wp:inline distT="0" distB="0" distL="114300" distR="114300">
            <wp:extent cx="5596255" cy="8258810"/>
            <wp:effectExtent l="0" t="0" r="4445" b="8890"/>
            <wp:docPr id="26" name="图片 26" descr="mmexport1701050604811_edit_141964178149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mexport1701050604811_edit_1419641781499078"/>
                    <pic:cNvPicPr>
                      <a:picLocks noChangeAspect="1"/>
                    </pic:cNvPicPr>
                  </pic:nvPicPr>
                  <pic:blipFill>
                    <a:blip r:embed="rId84"/>
                    <a:stretch>
                      <a:fillRect/>
                    </a:stretch>
                  </pic:blipFill>
                  <pic:spPr>
                    <a:xfrm>
                      <a:off x="0" y="0"/>
                      <a:ext cx="5596255" cy="8258810"/>
                    </a:xfrm>
                    <a:prstGeom prst="rect">
                      <a:avLst/>
                    </a:prstGeom>
                  </pic:spPr>
                </pic:pic>
              </a:graphicData>
            </a:graphic>
          </wp:inline>
        </w:drawing>
      </w:r>
      <w:r>
        <w:rPr>
          <w:rFonts w:hint="eastAsia"/>
          <w:color w:val="000000" w:themeColor="text1"/>
          <w:highlight w:val="none"/>
          <w:lang w:val="en-US" w:eastAsia="zh-CN"/>
          <w14:textFill>
            <w14:solidFill>
              <w14:schemeClr w14:val="tx1"/>
            </w14:solidFill>
          </w14:textFill>
        </w:rPr>
        <w:drawing>
          <wp:inline distT="0" distB="0" distL="114300" distR="114300">
            <wp:extent cx="5615305" cy="8131175"/>
            <wp:effectExtent l="0" t="0" r="4445" b="3175"/>
            <wp:docPr id="28" name="图片 28" descr="mmexport1701050610608_edit_1419671429289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mexport1701050610608_edit_1419671429289926"/>
                    <pic:cNvPicPr>
                      <a:picLocks noChangeAspect="1"/>
                    </pic:cNvPicPr>
                  </pic:nvPicPr>
                  <pic:blipFill>
                    <a:blip r:embed="rId85"/>
                    <a:stretch>
                      <a:fillRect/>
                    </a:stretch>
                  </pic:blipFill>
                  <pic:spPr>
                    <a:xfrm>
                      <a:off x="0" y="0"/>
                      <a:ext cx="5615305" cy="8131175"/>
                    </a:xfrm>
                    <a:prstGeom prst="rect">
                      <a:avLst/>
                    </a:prstGeom>
                  </pic:spPr>
                </pic:pic>
              </a:graphicData>
            </a:graphic>
          </wp:inline>
        </w:drawing>
      </w:r>
      <w:r>
        <w:rPr>
          <w:rFonts w:hint="eastAsia"/>
          <w:color w:val="000000" w:themeColor="text1"/>
          <w:highlight w:val="none"/>
          <w:lang w:val="en-US" w:eastAsia="zh-CN"/>
          <w14:textFill>
            <w14:solidFill>
              <w14:schemeClr w14:val="tx1"/>
            </w14:solidFill>
          </w14:textFill>
        </w:rPr>
        <w:drawing>
          <wp:inline distT="0" distB="0" distL="114300" distR="114300">
            <wp:extent cx="5584825" cy="7832725"/>
            <wp:effectExtent l="0" t="0" r="15875" b="15875"/>
            <wp:docPr id="38" name="图片 38" descr="mmexport1701050617133_edit_141970214220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701050617133_edit_1419702142206851"/>
                    <pic:cNvPicPr>
                      <a:picLocks noChangeAspect="1"/>
                    </pic:cNvPicPr>
                  </pic:nvPicPr>
                  <pic:blipFill>
                    <a:blip r:embed="rId86"/>
                    <a:stretch>
                      <a:fillRect/>
                    </a:stretch>
                  </pic:blipFill>
                  <pic:spPr>
                    <a:xfrm>
                      <a:off x="0" y="0"/>
                      <a:ext cx="5584825" cy="7832725"/>
                    </a:xfrm>
                    <a:prstGeom prst="rect">
                      <a:avLst/>
                    </a:prstGeom>
                  </pic:spPr>
                </pic:pic>
              </a:graphicData>
            </a:graphic>
          </wp:inline>
        </w:drawing>
      </w:r>
      <w:r>
        <w:rPr>
          <w:rFonts w:hint="eastAsia"/>
          <w:color w:val="000000" w:themeColor="text1"/>
          <w:highlight w:val="none"/>
          <w:lang w:val="en-US" w:eastAsia="zh-CN"/>
          <w14:textFill>
            <w14:solidFill>
              <w14:schemeClr w14:val="tx1"/>
            </w14:solidFill>
          </w14:textFill>
        </w:rPr>
        <w:drawing>
          <wp:inline distT="0" distB="0" distL="114300" distR="114300">
            <wp:extent cx="5612130" cy="8140700"/>
            <wp:effectExtent l="0" t="0" r="7620" b="12700"/>
            <wp:docPr id="43" name="图片 43" descr="mmexport1701050623132_edit_141972644504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mmexport1701050623132_edit_1419726445044006"/>
                    <pic:cNvPicPr>
                      <a:picLocks noChangeAspect="1"/>
                    </pic:cNvPicPr>
                  </pic:nvPicPr>
                  <pic:blipFill>
                    <a:blip r:embed="rId87"/>
                    <a:stretch>
                      <a:fillRect/>
                    </a:stretch>
                  </pic:blipFill>
                  <pic:spPr>
                    <a:xfrm>
                      <a:off x="0" y="0"/>
                      <a:ext cx="5612130" cy="8140700"/>
                    </a:xfrm>
                    <a:prstGeom prst="rect">
                      <a:avLst/>
                    </a:prstGeom>
                  </pic:spPr>
                </pic:pic>
              </a:graphicData>
            </a:graphic>
          </wp:inline>
        </w:drawing>
      </w:r>
      <w:r>
        <w:rPr>
          <w:rFonts w:hint="eastAsia"/>
          <w:color w:val="000000" w:themeColor="text1"/>
          <w:highlight w:val="none"/>
          <w:lang w:val="en-US" w:eastAsia="zh-CN"/>
          <w14:textFill>
            <w14:solidFill>
              <w14:schemeClr w14:val="tx1"/>
            </w14:solidFill>
          </w14:textFill>
        </w:rPr>
        <w:drawing>
          <wp:inline distT="0" distB="0" distL="114300" distR="114300">
            <wp:extent cx="5612765" cy="8054975"/>
            <wp:effectExtent l="0" t="0" r="6985" b="3175"/>
            <wp:docPr id="44" name="图片 44" descr="mmexport1701050629580_edit_141975179400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mmexport1701050629580_edit_1419751794008931"/>
                    <pic:cNvPicPr>
                      <a:picLocks noChangeAspect="1"/>
                    </pic:cNvPicPr>
                  </pic:nvPicPr>
                  <pic:blipFill>
                    <a:blip r:embed="rId88"/>
                    <a:stretch>
                      <a:fillRect/>
                    </a:stretch>
                  </pic:blipFill>
                  <pic:spPr>
                    <a:xfrm>
                      <a:off x="0" y="0"/>
                      <a:ext cx="5612765" cy="8054975"/>
                    </a:xfrm>
                    <a:prstGeom prst="rect">
                      <a:avLst/>
                    </a:prstGeom>
                  </pic:spPr>
                </pic:pic>
              </a:graphicData>
            </a:graphic>
          </wp:inline>
        </w:drawing>
      </w:r>
      <w:r>
        <w:rPr>
          <w:rFonts w:hint="eastAsia"/>
          <w:color w:val="000000" w:themeColor="text1"/>
          <w:highlight w:val="none"/>
          <w:lang w:val="en-US" w:eastAsia="zh-CN"/>
          <w14:textFill>
            <w14:solidFill>
              <w14:schemeClr w14:val="tx1"/>
            </w14:solidFill>
          </w14:textFill>
        </w:rPr>
        <w:drawing>
          <wp:inline distT="0" distB="0" distL="114300" distR="114300">
            <wp:extent cx="5612765" cy="8283575"/>
            <wp:effectExtent l="0" t="0" r="6985" b="3175"/>
            <wp:docPr id="45" name="图片 45" descr="mmexport1701050639817_edit_141977693701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mmexport1701050639817_edit_1419776937013932"/>
                    <pic:cNvPicPr>
                      <a:picLocks noChangeAspect="1"/>
                    </pic:cNvPicPr>
                  </pic:nvPicPr>
                  <pic:blipFill>
                    <a:blip r:embed="rId89"/>
                    <a:stretch>
                      <a:fillRect/>
                    </a:stretch>
                  </pic:blipFill>
                  <pic:spPr>
                    <a:xfrm>
                      <a:off x="0" y="0"/>
                      <a:ext cx="5612765" cy="8283575"/>
                    </a:xfrm>
                    <a:prstGeom prst="rect">
                      <a:avLst/>
                    </a:prstGeom>
                  </pic:spPr>
                </pic:pic>
              </a:graphicData>
            </a:graphic>
          </wp:inline>
        </w:drawing>
      </w:r>
      <w:r>
        <w:rPr>
          <w:rFonts w:hint="eastAsia"/>
          <w:color w:val="000000" w:themeColor="text1"/>
          <w:highlight w:val="none"/>
          <w:lang w:val="en-US" w:eastAsia="zh-CN"/>
          <w14:textFill>
            <w14:solidFill>
              <w14:schemeClr w14:val="tx1"/>
            </w14:solidFill>
          </w14:textFill>
        </w:rPr>
        <w:drawing>
          <wp:inline distT="0" distB="0" distL="114300" distR="114300">
            <wp:extent cx="5480050" cy="8517890"/>
            <wp:effectExtent l="0" t="0" r="6350" b="16510"/>
            <wp:docPr id="47" name="图片 47" descr="mmexport1701050645570_edit_141979614622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701050645570_edit_1419796146224626"/>
                    <pic:cNvPicPr>
                      <a:picLocks noChangeAspect="1"/>
                    </pic:cNvPicPr>
                  </pic:nvPicPr>
                  <pic:blipFill>
                    <a:blip r:embed="rId90"/>
                    <a:stretch>
                      <a:fillRect/>
                    </a:stretch>
                  </pic:blipFill>
                  <pic:spPr>
                    <a:xfrm>
                      <a:off x="0" y="0"/>
                      <a:ext cx="5480050" cy="8517890"/>
                    </a:xfrm>
                    <a:prstGeom prst="rect">
                      <a:avLst/>
                    </a:prstGeom>
                  </pic:spPr>
                </pic:pic>
              </a:graphicData>
            </a:graphic>
          </wp:inline>
        </w:drawing>
      </w:r>
      <w:r>
        <w:rPr>
          <w:rFonts w:hint="eastAsia" w:ascii="Times New Roman" w:hAnsi="Times New Roman" w:cs="Times New Roman"/>
          <w:b/>
          <w:bCs/>
          <w:color w:val="000000" w:themeColor="text1"/>
          <w:highlight w:val="none"/>
          <w:lang w:val="en-US" w:eastAsia="zh-CN"/>
          <w14:textFill>
            <w14:solidFill>
              <w14:schemeClr w14:val="tx1"/>
            </w14:solidFill>
          </w14:textFill>
        </w:rPr>
        <w:br w:type="page"/>
      </w:r>
    </w:p>
    <w:p w14:paraId="79977D28">
      <w:pPr>
        <w:pStyle w:val="2"/>
        <w:ind w:left="0" w:leftChars="0" w:firstLine="0" w:firstLineChars="0"/>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drawing>
          <wp:anchor distT="0" distB="0" distL="114300" distR="114300" simplePos="0" relativeHeight="251663360" behindDoc="1" locked="0" layoutInCell="1" allowOverlap="1">
            <wp:simplePos x="0" y="0"/>
            <wp:positionH relativeFrom="column">
              <wp:posOffset>155575</wp:posOffset>
            </wp:positionH>
            <wp:positionV relativeFrom="paragraph">
              <wp:posOffset>243840</wp:posOffset>
            </wp:positionV>
            <wp:extent cx="5572125" cy="8109585"/>
            <wp:effectExtent l="0" t="0" r="0" b="0"/>
            <wp:wrapNone/>
            <wp:docPr id="73" name="图片 73"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005"/>
                    <pic:cNvPicPr>
                      <a:picLocks noChangeAspect="1"/>
                    </pic:cNvPicPr>
                  </pic:nvPicPr>
                  <pic:blipFill>
                    <a:blip r:embed="rId91"/>
                    <a:srcRect l="3943" r="1530"/>
                    <a:stretch>
                      <a:fillRect/>
                    </a:stretch>
                  </pic:blipFill>
                  <pic:spPr>
                    <a:xfrm>
                      <a:off x="0" y="0"/>
                      <a:ext cx="5572125" cy="8109585"/>
                    </a:xfrm>
                    <a:prstGeom prst="rect">
                      <a:avLst/>
                    </a:prstGeom>
                  </pic:spPr>
                </pic:pic>
              </a:graphicData>
            </a:graphic>
          </wp:anchor>
        </w:drawing>
      </w:r>
      <w:r>
        <w:rPr>
          <w:rFonts w:hint="eastAsia" w:ascii="Times New Roman" w:hAnsi="Times New Roman" w:cs="Times New Roman"/>
          <w:b/>
          <w:bCs/>
          <w:color w:val="000000" w:themeColor="text1"/>
          <w:highlight w:val="none"/>
          <w:lang w:val="en-US" w:eastAsia="zh-CN"/>
          <w14:textFill>
            <w14:solidFill>
              <w14:schemeClr w14:val="tx1"/>
            </w14:solidFill>
          </w14:textFill>
        </w:rPr>
        <w:t>附件7：事业单位法人证书</w:t>
      </w:r>
    </w:p>
    <w:p w14:paraId="381696A1">
      <w:pPr>
        <w:rPr>
          <w:rFonts w:hint="eastAsia"/>
          <w:color w:val="000000" w:themeColor="text1"/>
          <w:highlight w:val="none"/>
          <w:lang w:val="en-US" w:eastAsia="zh-CN"/>
          <w14:textFill>
            <w14:solidFill>
              <w14:schemeClr w14:val="tx1"/>
            </w14:solidFill>
          </w14:textFill>
        </w:rPr>
      </w:pPr>
    </w:p>
    <w:p w14:paraId="2DDB9AC2">
      <w:pPr>
        <w:pStyle w:val="2"/>
        <w:ind w:left="0" w:leftChars="0" w:firstLine="0" w:firstLineChars="0"/>
        <w:rPr>
          <w:rFonts w:hint="eastAsia" w:ascii="Times New Roman" w:hAnsi="Times New Roman" w:cs="Times New Roman"/>
          <w:b/>
          <w:bCs/>
          <w:color w:val="000000" w:themeColor="text1"/>
          <w:highlight w:val="none"/>
          <w:lang w:val="en-US" w:eastAsia="zh-CN"/>
          <w14:textFill>
            <w14:solidFill>
              <w14:schemeClr w14:val="tx1"/>
            </w14:solidFill>
          </w14:textFill>
        </w:rPr>
      </w:pPr>
    </w:p>
    <w:p w14:paraId="5F50850E">
      <w:pPr>
        <w:pStyle w:val="2"/>
        <w:ind w:left="0" w:leftChars="0" w:firstLine="0" w:firstLineChars="0"/>
        <w:rPr>
          <w:rFonts w:hint="eastAsia" w:ascii="Times New Roman" w:hAnsi="Times New Roman" w:cs="Times New Roman"/>
          <w:b/>
          <w:bCs/>
          <w:color w:val="000000" w:themeColor="text1"/>
          <w:highlight w:val="none"/>
          <w:lang w:val="en-US" w:eastAsia="zh-CN"/>
          <w14:textFill>
            <w14:solidFill>
              <w14:schemeClr w14:val="tx1"/>
            </w14:solidFill>
          </w14:textFill>
        </w:rPr>
      </w:pPr>
    </w:p>
    <w:p w14:paraId="376E15E6">
      <w:pPr>
        <w:pStyle w:val="2"/>
        <w:ind w:left="0" w:leftChars="0" w:firstLine="0" w:firstLineChars="0"/>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br w:type="page"/>
      </w:r>
    </w:p>
    <w:p w14:paraId="24279014">
      <w:pPr>
        <w:pStyle w:val="2"/>
        <w:ind w:left="0" w:leftChars="0" w:firstLine="0" w:firstLineChars="0"/>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eastAsiaTheme="minorEastAsia"/>
          <w:color w:val="000000" w:themeColor="text1"/>
          <w:highlight w:val="none"/>
          <w:lang w:eastAsia="zh-CN"/>
          <w14:textFill>
            <w14:solidFill>
              <w14:schemeClr w14:val="tx1"/>
            </w14:solidFill>
          </w14:textFill>
        </w:rPr>
        <w:drawing>
          <wp:anchor distT="0" distB="0" distL="114300" distR="114300" simplePos="0" relativeHeight="251664384" behindDoc="1" locked="0" layoutInCell="1" allowOverlap="1">
            <wp:simplePos x="0" y="0"/>
            <wp:positionH relativeFrom="column">
              <wp:posOffset>-86360</wp:posOffset>
            </wp:positionH>
            <wp:positionV relativeFrom="paragraph">
              <wp:posOffset>251460</wp:posOffset>
            </wp:positionV>
            <wp:extent cx="5784215" cy="7956550"/>
            <wp:effectExtent l="0" t="0" r="6985" b="6350"/>
            <wp:wrapNone/>
            <wp:docPr id="74" name="图片 74"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006"/>
                    <pic:cNvPicPr>
                      <a:picLocks noChangeAspect="1"/>
                    </pic:cNvPicPr>
                  </pic:nvPicPr>
                  <pic:blipFill>
                    <a:blip r:embed="rId92"/>
                    <a:stretch>
                      <a:fillRect/>
                    </a:stretch>
                  </pic:blipFill>
                  <pic:spPr>
                    <a:xfrm>
                      <a:off x="0" y="0"/>
                      <a:ext cx="5784215" cy="7956550"/>
                    </a:xfrm>
                    <a:prstGeom prst="rect">
                      <a:avLst/>
                    </a:prstGeom>
                  </pic:spPr>
                </pic:pic>
              </a:graphicData>
            </a:graphic>
          </wp:anchor>
        </w:drawing>
      </w:r>
      <w:r>
        <w:rPr>
          <w:rFonts w:hint="eastAsia" w:ascii="Times New Roman" w:hAnsi="Times New Roman" w:cs="Times New Roman"/>
          <w:b/>
          <w:bCs/>
          <w:color w:val="000000" w:themeColor="text1"/>
          <w:highlight w:val="none"/>
          <w:lang w:val="en-US" w:eastAsia="zh-CN"/>
          <w14:textFill>
            <w14:solidFill>
              <w14:schemeClr w14:val="tx1"/>
            </w14:solidFill>
          </w14:textFill>
        </w:rPr>
        <w:t>附件8：医疗机构执业许可证</w:t>
      </w:r>
    </w:p>
    <w:p w14:paraId="08198273">
      <w:pPr>
        <w:rPr>
          <w:rFonts w:hint="eastAsia" w:ascii="Times New Roman" w:hAnsi="Times New Roman" w:cs="Times New Roman"/>
          <w:b/>
          <w:bCs/>
          <w:color w:val="000000" w:themeColor="text1"/>
          <w:highlight w:val="none"/>
          <w:lang w:val="en-US" w:eastAsia="zh-CN"/>
          <w14:textFill>
            <w14:solidFill>
              <w14:schemeClr w14:val="tx1"/>
            </w14:solidFill>
          </w14:textFill>
        </w:rPr>
      </w:pPr>
    </w:p>
    <w:p w14:paraId="53B2D047">
      <w:pPr>
        <w:pStyle w:val="2"/>
        <w:rPr>
          <w:rFonts w:hint="eastAsia"/>
          <w:color w:val="000000" w:themeColor="text1"/>
          <w:highlight w:val="none"/>
          <w:lang w:val="en-US" w:eastAsia="zh-CN"/>
          <w14:textFill>
            <w14:solidFill>
              <w14:schemeClr w14:val="tx1"/>
            </w14:solidFill>
          </w14:textFill>
        </w:rPr>
      </w:pPr>
    </w:p>
    <w:p w14:paraId="09956753">
      <w:pPr>
        <w:pStyle w:val="2"/>
        <w:ind w:left="0" w:leftChars="0" w:firstLine="0" w:firstLineChars="0"/>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br w:type="page"/>
      </w:r>
    </w:p>
    <w:p w14:paraId="1D5E7D6A">
      <w:pPr>
        <w:pStyle w:val="2"/>
        <w:ind w:left="0" w:leftChars="0" w:firstLine="0" w:firstLineChars="0"/>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drawing>
          <wp:anchor distT="0" distB="0" distL="114300" distR="114300" simplePos="0" relativeHeight="251689984" behindDoc="1" locked="0" layoutInCell="1" allowOverlap="1">
            <wp:simplePos x="0" y="0"/>
            <wp:positionH relativeFrom="column">
              <wp:posOffset>-285750</wp:posOffset>
            </wp:positionH>
            <wp:positionV relativeFrom="paragraph">
              <wp:posOffset>-92710</wp:posOffset>
            </wp:positionV>
            <wp:extent cx="6219190" cy="8804910"/>
            <wp:effectExtent l="0" t="0" r="10160" b="15240"/>
            <wp:wrapNone/>
            <wp:docPr id="50" name="图片 50" descr="mmexport1701399629090_edit_154858457191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701399629090_edit_1548584571916610"/>
                    <pic:cNvPicPr>
                      <a:picLocks noChangeAspect="1"/>
                    </pic:cNvPicPr>
                  </pic:nvPicPr>
                  <pic:blipFill>
                    <a:blip r:embed="rId93"/>
                    <a:stretch>
                      <a:fillRect/>
                    </a:stretch>
                  </pic:blipFill>
                  <pic:spPr>
                    <a:xfrm>
                      <a:off x="0" y="0"/>
                      <a:ext cx="6219190" cy="8804910"/>
                    </a:xfrm>
                    <a:prstGeom prst="rect">
                      <a:avLst/>
                    </a:prstGeom>
                  </pic:spPr>
                </pic:pic>
              </a:graphicData>
            </a:graphic>
          </wp:anchor>
        </w:drawing>
      </w:r>
      <w:r>
        <w:rPr>
          <w:rFonts w:hint="eastAsia" w:ascii="Times New Roman" w:hAnsi="Times New Roman" w:cs="Times New Roman"/>
          <w:b/>
          <w:bCs/>
          <w:color w:val="000000" w:themeColor="text1"/>
          <w:highlight w:val="none"/>
          <w:lang w:val="en-US" w:eastAsia="zh-CN"/>
          <w14:textFill>
            <w14:solidFill>
              <w14:schemeClr w14:val="tx1"/>
            </w14:solidFill>
          </w14:textFill>
        </w:rPr>
        <w:t>附件9：医疗废物收集运输集中处置劳务合同书</w:t>
      </w:r>
    </w:p>
    <w:p w14:paraId="6438A660">
      <w:pPr>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br w:type="page"/>
      </w:r>
      <w:r>
        <w:rPr>
          <w:rFonts w:hint="eastAsia" w:ascii="Times New Roman" w:hAnsi="Times New Roman" w:cs="Times New Roman"/>
          <w:b/>
          <w:bCs/>
          <w:color w:val="000000" w:themeColor="text1"/>
          <w:highlight w:val="none"/>
          <w:lang w:val="en-US" w:eastAsia="zh-CN"/>
          <w14:textFill>
            <w14:solidFill>
              <w14:schemeClr w14:val="tx1"/>
            </w14:solidFill>
          </w14:textFill>
        </w:rPr>
        <w:drawing>
          <wp:anchor distT="0" distB="0" distL="114300" distR="114300" simplePos="0" relativeHeight="251689984" behindDoc="0" locked="0" layoutInCell="1" allowOverlap="1">
            <wp:simplePos x="0" y="0"/>
            <wp:positionH relativeFrom="column">
              <wp:posOffset>-314325</wp:posOffset>
            </wp:positionH>
            <wp:positionV relativeFrom="paragraph">
              <wp:posOffset>-457200</wp:posOffset>
            </wp:positionV>
            <wp:extent cx="6505575" cy="9146540"/>
            <wp:effectExtent l="0" t="0" r="9525" b="16510"/>
            <wp:wrapNone/>
            <wp:docPr id="52" name="图片 52" descr="mmexport1701399633587_edit_154862118454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mmexport1701399633587_edit_1548621184540920"/>
                    <pic:cNvPicPr>
                      <a:picLocks noChangeAspect="1"/>
                    </pic:cNvPicPr>
                  </pic:nvPicPr>
                  <pic:blipFill>
                    <a:blip r:embed="rId94"/>
                    <a:stretch>
                      <a:fillRect/>
                    </a:stretch>
                  </pic:blipFill>
                  <pic:spPr>
                    <a:xfrm>
                      <a:off x="0" y="0"/>
                      <a:ext cx="6505575" cy="9146540"/>
                    </a:xfrm>
                    <a:prstGeom prst="rect">
                      <a:avLst/>
                    </a:prstGeom>
                  </pic:spPr>
                </pic:pic>
              </a:graphicData>
            </a:graphic>
          </wp:anchor>
        </w:drawing>
      </w:r>
      <w:r>
        <w:rPr>
          <w:rFonts w:hint="eastAsia" w:ascii="Times New Roman" w:hAnsi="Times New Roman" w:cs="Times New Roman"/>
          <w:b/>
          <w:bCs/>
          <w:color w:val="000000" w:themeColor="text1"/>
          <w:highlight w:val="none"/>
          <w:lang w:val="en-US" w:eastAsia="zh-CN"/>
          <w14:textFill>
            <w14:solidFill>
              <w14:schemeClr w14:val="tx1"/>
            </w14:solidFill>
          </w14:textFill>
        </w:rPr>
        <w:br w:type="page"/>
      </w:r>
    </w:p>
    <w:p w14:paraId="62766F0A">
      <w:pPr>
        <w:rPr>
          <w:rFonts w:hint="eastAsia"/>
          <w:lang w:val="en-US" w:eastAsia="zh-CN"/>
        </w:rPr>
      </w:pPr>
      <w:r>
        <w:rPr>
          <w:rFonts w:hint="eastAsia"/>
          <w:lang w:val="en-US" w:eastAsia="zh-CN"/>
        </w:rPr>
        <w:drawing>
          <wp:anchor distT="0" distB="0" distL="114300" distR="114300" simplePos="0" relativeHeight="251691008" behindDoc="0" locked="0" layoutInCell="1" allowOverlap="1">
            <wp:simplePos x="0" y="0"/>
            <wp:positionH relativeFrom="column">
              <wp:posOffset>-552450</wp:posOffset>
            </wp:positionH>
            <wp:positionV relativeFrom="paragraph">
              <wp:posOffset>-350520</wp:posOffset>
            </wp:positionV>
            <wp:extent cx="6674485" cy="8895715"/>
            <wp:effectExtent l="0" t="0" r="12065" b="635"/>
            <wp:wrapNone/>
            <wp:docPr id="53" name="图片 53" descr="mmexport1701399639800_edit_154864167015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mmexport1701399639800_edit_1548641670158152"/>
                    <pic:cNvPicPr>
                      <a:picLocks noChangeAspect="1"/>
                    </pic:cNvPicPr>
                  </pic:nvPicPr>
                  <pic:blipFill>
                    <a:blip r:embed="rId95"/>
                    <a:stretch>
                      <a:fillRect/>
                    </a:stretch>
                  </pic:blipFill>
                  <pic:spPr>
                    <a:xfrm>
                      <a:off x="0" y="0"/>
                      <a:ext cx="6674485" cy="8895715"/>
                    </a:xfrm>
                    <a:prstGeom prst="rect">
                      <a:avLst/>
                    </a:prstGeom>
                  </pic:spPr>
                </pic:pic>
              </a:graphicData>
            </a:graphic>
          </wp:anchor>
        </w:drawing>
      </w:r>
      <w:r>
        <w:rPr>
          <w:rFonts w:hint="eastAsia"/>
          <w:lang w:val="en-US" w:eastAsia="zh-CN"/>
        </w:rPr>
        <w:br w:type="page"/>
      </w:r>
    </w:p>
    <w:p w14:paraId="4D67618D">
      <w:pPr>
        <w:rPr>
          <w:rFonts w:hint="eastAsia"/>
          <w:lang w:val="en-US" w:eastAsia="zh-CN"/>
        </w:rPr>
      </w:pPr>
      <w:r>
        <w:rPr>
          <w:rFonts w:hint="eastAsia"/>
          <w:lang w:val="en-US" w:eastAsia="zh-CN"/>
        </w:rPr>
        <w:drawing>
          <wp:anchor distT="0" distB="0" distL="114300" distR="114300" simplePos="0" relativeHeight="251692032" behindDoc="0" locked="0" layoutInCell="1" allowOverlap="1">
            <wp:simplePos x="0" y="0"/>
            <wp:positionH relativeFrom="column">
              <wp:posOffset>-352425</wp:posOffset>
            </wp:positionH>
            <wp:positionV relativeFrom="paragraph">
              <wp:posOffset>-400050</wp:posOffset>
            </wp:positionV>
            <wp:extent cx="6487795" cy="8993505"/>
            <wp:effectExtent l="0" t="0" r="8255" b="17145"/>
            <wp:wrapNone/>
            <wp:docPr id="54" name="图片 54" descr="mmexport1701399643579_edit_154866178989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mmexport1701399643579_edit_1548661789893845"/>
                    <pic:cNvPicPr>
                      <a:picLocks noChangeAspect="1"/>
                    </pic:cNvPicPr>
                  </pic:nvPicPr>
                  <pic:blipFill>
                    <a:blip r:embed="rId96"/>
                    <a:stretch>
                      <a:fillRect/>
                    </a:stretch>
                  </pic:blipFill>
                  <pic:spPr>
                    <a:xfrm>
                      <a:off x="0" y="0"/>
                      <a:ext cx="6487795" cy="8993505"/>
                    </a:xfrm>
                    <a:prstGeom prst="rect">
                      <a:avLst/>
                    </a:prstGeom>
                  </pic:spPr>
                </pic:pic>
              </a:graphicData>
            </a:graphic>
          </wp:anchor>
        </w:drawing>
      </w:r>
      <w:r>
        <w:rPr>
          <w:rFonts w:hint="eastAsia"/>
          <w:lang w:val="en-US" w:eastAsia="zh-CN"/>
        </w:rPr>
        <w:br w:type="page"/>
      </w:r>
    </w:p>
    <w:p w14:paraId="115F6568">
      <w:pPr>
        <w:pStyle w:val="2"/>
        <w:ind w:left="0" w:leftChars="0" w:firstLine="0" w:firstLineChars="0"/>
        <w:rPr>
          <w:rFonts w:hint="eastAsia" w:ascii="Times New Roman" w:hAnsi="Times New Roman" w:cs="Times New Roman"/>
          <w:b/>
          <w:bCs/>
          <w:color w:val="000000" w:themeColor="text1"/>
          <w:highlight w:val="none"/>
          <w:lang w:val="en-US" w:eastAsia="zh-CN"/>
          <w14:textFill>
            <w14:solidFill>
              <w14:schemeClr w14:val="tx1"/>
            </w14:solidFill>
          </w14:textFill>
        </w:rPr>
      </w:pPr>
      <w:r>
        <w:rPr>
          <w:rFonts w:hint="eastAsia"/>
          <w:color w:val="000000" w:themeColor="text1"/>
          <w:sz w:val="36"/>
          <w:highlight w:val="none"/>
          <w:lang w:val="en-US" w:eastAsia="zh-CN"/>
          <w14:textFill>
            <w14:solidFill>
              <w14:schemeClr w14:val="tx1"/>
            </w14:solidFill>
          </w14:textFill>
        </w:rPr>
        <w:drawing>
          <wp:anchor distT="0" distB="0" distL="114300" distR="114300" simplePos="0" relativeHeight="251702272" behindDoc="0" locked="0" layoutInCell="1" allowOverlap="1">
            <wp:simplePos x="0" y="0"/>
            <wp:positionH relativeFrom="column">
              <wp:posOffset>-466725</wp:posOffset>
            </wp:positionH>
            <wp:positionV relativeFrom="paragraph">
              <wp:posOffset>304800</wp:posOffset>
            </wp:positionV>
            <wp:extent cx="6438900" cy="8858250"/>
            <wp:effectExtent l="0" t="0" r="0" b="0"/>
            <wp:wrapNone/>
            <wp:docPr id="70" name="图片 70"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011"/>
                    <pic:cNvPicPr>
                      <a:picLocks noChangeAspect="1"/>
                    </pic:cNvPicPr>
                  </pic:nvPicPr>
                  <pic:blipFill>
                    <a:blip r:embed="rId97"/>
                    <a:stretch>
                      <a:fillRect/>
                    </a:stretch>
                  </pic:blipFill>
                  <pic:spPr>
                    <a:xfrm>
                      <a:off x="0" y="0"/>
                      <a:ext cx="6438900" cy="8858250"/>
                    </a:xfrm>
                    <a:prstGeom prst="rect">
                      <a:avLst/>
                    </a:prstGeom>
                  </pic:spPr>
                </pic:pic>
              </a:graphicData>
            </a:graphic>
          </wp:anchor>
        </w:drawing>
      </w:r>
      <w:r>
        <w:rPr>
          <w:rFonts w:hint="eastAsia" w:ascii="Times New Roman" w:hAnsi="Times New Roman" w:cs="Times New Roman"/>
          <w:b/>
          <w:bCs/>
          <w:color w:val="000000" w:themeColor="text1"/>
          <w:highlight w:val="none"/>
          <w:lang w:val="en-US" w:eastAsia="zh-CN"/>
          <w14:textFill>
            <w14:solidFill>
              <w14:schemeClr w14:val="tx1"/>
            </w14:solidFill>
          </w14:textFill>
        </w:rPr>
        <w:t>附件10：确认书</w:t>
      </w:r>
    </w:p>
    <w:p w14:paraId="2EF438C4">
      <w:pPr>
        <w:jc w:val="center"/>
        <w:rPr>
          <w:rFonts w:hint="eastAsia"/>
          <w:color w:val="000000" w:themeColor="text1"/>
          <w:sz w:val="36"/>
          <w:highlight w:val="none"/>
          <w:lang w:val="en-US" w:eastAsia="zh-CN"/>
          <w14:textFill>
            <w14:solidFill>
              <w14:schemeClr w14:val="tx1"/>
            </w14:solidFill>
          </w14:textFill>
        </w:rPr>
      </w:pPr>
    </w:p>
    <w:p w14:paraId="3173A3C1">
      <w:pPr>
        <w:jc w:val="center"/>
        <w:rPr>
          <w:rFonts w:hint="eastAsia"/>
          <w:color w:val="000000" w:themeColor="text1"/>
          <w:sz w:val="36"/>
          <w:highlight w:val="none"/>
          <w:lang w:val="en-US" w:eastAsia="zh-CN"/>
          <w14:textFill>
            <w14:solidFill>
              <w14:schemeClr w14:val="tx1"/>
            </w14:solidFill>
          </w14:textFill>
        </w:rPr>
      </w:pPr>
    </w:p>
    <w:p w14:paraId="491882A6">
      <w:pPr>
        <w:jc w:val="center"/>
        <w:rPr>
          <w:rFonts w:hint="eastAsia" w:eastAsia="宋体"/>
          <w:b/>
          <w:bCs/>
          <w:color w:val="000000" w:themeColor="text1"/>
          <w:sz w:val="36"/>
          <w:highlight w:val="none"/>
          <w:lang w:val="en-US" w:eastAsia="zh-CN"/>
          <w14:textFill>
            <w14:solidFill>
              <w14:schemeClr w14:val="tx1"/>
            </w14:solidFill>
          </w14:textFill>
        </w:rPr>
      </w:pPr>
      <w:r>
        <w:rPr>
          <w:rFonts w:hint="eastAsia"/>
          <w:b/>
          <w:bCs/>
          <w:color w:val="000000" w:themeColor="text1"/>
          <w:sz w:val="36"/>
          <w:highlight w:val="none"/>
          <w:lang w:val="en-US" w:eastAsia="zh-CN"/>
          <w14:textFill>
            <w14:solidFill>
              <w14:schemeClr w14:val="tx1"/>
            </w14:solidFill>
          </w14:textFill>
        </w:rPr>
        <w:t>确 认 书</w:t>
      </w:r>
    </w:p>
    <w:p w14:paraId="11E5CFFA">
      <w:pPr>
        <w:rPr>
          <w:color w:val="000000" w:themeColor="text1"/>
          <w:sz w:val="36"/>
          <w:highlight w:val="none"/>
          <w14:textFill>
            <w14:solidFill>
              <w14:schemeClr w14:val="tx1"/>
            </w14:solidFill>
          </w14:textFill>
        </w:rPr>
      </w:pPr>
    </w:p>
    <w:p w14:paraId="5E67571C">
      <w:pPr>
        <w:keepNext w:val="0"/>
        <w:keepLines w:val="0"/>
        <w:pageBreakBefore w:val="0"/>
        <w:widowControl w:val="0"/>
        <w:kinsoku/>
        <w:wordWrap/>
        <w:overflowPunct/>
        <w:topLinePunct w:val="0"/>
        <w:autoSpaceDE/>
        <w:autoSpaceDN/>
        <w:bidi w:val="0"/>
        <w:adjustRightInd/>
        <w:snapToGrid/>
        <w:ind w:firstLine="570" w:firstLineChars="200"/>
        <w:textAlignment w:val="auto"/>
        <w:rPr>
          <w:rFonts w:hint="eastAsia" w:ascii="Times New Roman" w:hAnsi="Times New Roman"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cs="Times New Roman"/>
          <w:color w:val="000000" w:themeColor="text1"/>
          <w:sz w:val="28"/>
          <w:szCs w:val="28"/>
          <w:highlight w:val="none"/>
          <w:lang w:eastAsia="zh-CN"/>
          <w14:textFill>
            <w14:solidFill>
              <w14:schemeClr w14:val="tx1"/>
            </w14:solidFill>
          </w14:textFill>
        </w:rPr>
        <w:t>渑池县中医院精神卫生和心理健康防治中心项目</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环境影响评价报告经我单位确认，报告中所述内容与我院拟建项目实际情况一致；我单位对所提供资料的准确性和真实性负责，如存在隐瞒和假报等情况及由此导致的一切后果，我单位负全部责任。</w:t>
      </w:r>
    </w:p>
    <w:p w14:paraId="7D5268F3">
      <w:pPr>
        <w:keepNext w:val="0"/>
        <w:keepLines w:val="0"/>
        <w:pageBreakBefore w:val="0"/>
        <w:widowControl w:val="0"/>
        <w:kinsoku/>
        <w:wordWrap/>
        <w:overflowPunct/>
        <w:topLinePunct w:val="0"/>
        <w:autoSpaceDE/>
        <w:autoSpaceDN/>
        <w:bidi w:val="0"/>
        <w:adjustRightInd/>
        <w:snapToGrid/>
        <w:ind w:firstLine="570" w:firstLineChars="200"/>
        <w:textAlignment w:val="auto"/>
        <w:rPr>
          <w:rFonts w:hint="eastAsia" w:ascii="Times New Roman" w:hAnsi="Times New Roman" w:cs="Times New Roman"/>
          <w:color w:val="000000" w:themeColor="text1"/>
          <w:sz w:val="28"/>
          <w:szCs w:val="28"/>
          <w:highlight w:val="none"/>
          <w:lang w:val="en-US" w:eastAsia="zh-CN"/>
          <w14:textFill>
            <w14:solidFill>
              <w14:schemeClr w14:val="tx1"/>
            </w14:solidFill>
          </w14:textFill>
        </w:rPr>
      </w:pPr>
    </w:p>
    <w:p w14:paraId="06BFA526">
      <w:pPr>
        <w:pStyle w:val="20"/>
        <w:rPr>
          <w:rFonts w:hint="eastAsia"/>
          <w:color w:val="000000" w:themeColor="text1"/>
          <w:highlight w:val="none"/>
          <w:lang w:val="en-US" w:eastAsia="zh-CN"/>
          <w14:textFill>
            <w14:solidFill>
              <w14:schemeClr w14:val="tx1"/>
            </w14:solidFill>
          </w14:textFill>
        </w:rPr>
      </w:pPr>
    </w:p>
    <w:p w14:paraId="4FDB306B">
      <w:pPr>
        <w:keepNext w:val="0"/>
        <w:keepLines w:val="0"/>
        <w:pageBreakBefore w:val="0"/>
        <w:widowControl w:val="0"/>
        <w:kinsoku/>
        <w:wordWrap/>
        <w:overflowPunct/>
        <w:topLinePunct w:val="0"/>
        <w:autoSpaceDE/>
        <w:autoSpaceDN/>
        <w:bidi w:val="0"/>
        <w:adjustRightInd/>
        <w:snapToGrid/>
        <w:ind w:firstLine="570" w:firstLineChars="200"/>
        <w:textAlignment w:val="auto"/>
        <w:rPr>
          <w:rFonts w:hint="eastAsia" w:ascii="Times New Roman" w:hAnsi="Times New Roman" w:cs="Times New Roman"/>
          <w:color w:val="000000" w:themeColor="text1"/>
          <w:sz w:val="28"/>
          <w:szCs w:val="28"/>
          <w:highlight w:val="none"/>
          <w:lang w:val="en-US" w:eastAsia="zh-CN"/>
          <w14:textFill>
            <w14:solidFill>
              <w14:schemeClr w14:val="tx1"/>
            </w14:solidFill>
          </w14:textFill>
        </w:rPr>
      </w:pPr>
    </w:p>
    <w:p w14:paraId="428C61D9">
      <w:pPr>
        <w:keepNext w:val="0"/>
        <w:keepLines w:val="0"/>
        <w:pageBreakBefore w:val="0"/>
        <w:widowControl w:val="0"/>
        <w:kinsoku/>
        <w:wordWrap/>
        <w:overflowPunct/>
        <w:topLinePunct w:val="0"/>
        <w:autoSpaceDE/>
        <w:autoSpaceDN/>
        <w:bidi w:val="0"/>
        <w:adjustRightInd/>
        <w:snapToGrid/>
        <w:ind w:firstLine="570" w:firstLineChars="200"/>
        <w:jc w:val="center"/>
        <w:textAlignment w:val="auto"/>
        <w:rPr>
          <w:rFonts w:hint="eastAsia" w:ascii="Times New Roman" w:hAnsi="Times New Roman"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 xml:space="preserve">                           企业名称（盖章）：</w:t>
      </w:r>
    </w:p>
    <w:p w14:paraId="1258F897">
      <w:pPr>
        <w:rPr>
          <w:color w:val="000000" w:themeColor="text1"/>
          <w:sz w:val="36"/>
          <w:highlight w:val="none"/>
          <w14:textFill>
            <w14:solidFill>
              <w14:schemeClr w14:val="tx1"/>
            </w14:solidFill>
          </w14:textFill>
        </w:rPr>
      </w:pP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 xml:space="preserve">                                          2023年12月</w:t>
      </w:r>
    </w:p>
    <w:p w14:paraId="1A3B191B">
      <w:pPr>
        <w:jc w:val="center"/>
        <w:rPr>
          <w:rFonts w:hint="default"/>
          <w:color w:val="000000" w:themeColor="text1"/>
          <w:sz w:val="36"/>
          <w:highlight w:val="none"/>
          <w:lang w:val="en-US" w:eastAsia="zh-CN"/>
          <w14:textFill>
            <w14:solidFill>
              <w14:schemeClr w14:val="tx1"/>
            </w14:solidFill>
          </w14:textFill>
        </w:rPr>
      </w:pPr>
    </w:p>
    <w:sectPr>
      <w:pgSz w:w="11906" w:h="16838"/>
      <w:pgMar w:top="1701" w:right="1531" w:bottom="1701" w:left="1531" w:header="964" w:footer="794" w:gutter="0"/>
      <w:pgBorders>
        <w:top w:val="none" w:sz="0" w:space="0"/>
        <w:left w:val="none" w:sz="0" w:space="0"/>
        <w:bottom w:val="none" w:sz="0" w:space="0"/>
        <w:right w:val="none" w:sz="0" w:space="0"/>
      </w:pgBorders>
      <w:pgNumType w:fmt="decimal"/>
      <w:cols w:space="0" w:num="1"/>
      <w:titlePg/>
      <w:rtlGutter w:val="0"/>
      <w:docGrid w:type="linesAndChars" w:linePitch="312" w:charSpace="111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Lucida Sans Unicode">
    <w:panose1 w:val="020B0602030504020204"/>
    <w:charset w:val="00"/>
    <w:family w:val="swiss"/>
    <w:pitch w:val="default"/>
    <w:sig w:usb0="80001AFF" w:usb1="0000396B" w:usb2="00000000" w:usb3="00000000" w:csb0="200000BF" w:csb1="D7F70000"/>
  </w:font>
  <w:font w:name="Impact">
    <w:panose1 w:val="020B080603090205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auto"/>
    <w:pitch w:val="default"/>
    <w:sig w:usb0="00000000" w:usb1="00000000" w:usb2="00000000" w:usb3="00000000" w:csb0="80000000" w:csb1="00000000"/>
  </w:font>
  <w:font w:name="Segoe UI Emoji">
    <w:panose1 w:val="020B0502040204020203"/>
    <w:charset w:val="00"/>
    <w:family w:val="swiss"/>
    <w:pitch w:val="default"/>
    <w:sig w:usb0="00000001" w:usb1="02000000" w:usb2="00000000" w:usb3="00000000" w:csb0="00000001" w:csb1="00000000"/>
  </w:font>
  <w:font w:name="华文宋体">
    <w:altName w:val="宋体"/>
    <w:panose1 w:val="02010600040101010101"/>
    <w:charset w:val="86"/>
    <w:family w:val="auto"/>
    <w:pitch w:val="default"/>
    <w:sig w:usb0="00000000" w:usb1="00000000" w:usb2="00000000" w:usb3="00000000" w:csb0="0004009F" w:csb1="DFD7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1FD0D">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59F13">
    <w:pPr>
      <w:pStyle w:val="23"/>
      <w:framePr w:wrap="around" w:vAnchor="text" w:hAnchor="margin" w:xAlign="center" w:y="1"/>
      <w:rPr>
        <w:rStyle w:val="39"/>
      </w:rPr>
    </w:pPr>
    <w:r>
      <w:fldChar w:fldCharType="begin"/>
    </w:r>
    <w:r>
      <w:rPr>
        <w:rStyle w:val="39"/>
      </w:rPr>
      <w:instrText xml:space="preserve">PAGE  </w:instrText>
    </w:r>
    <w:r>
      <w:fldChar w:fldCharType="end"/>
    </w:r>
  </w:p>
  <w:p w14:paraId="23A1391B">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C389D">
    <w:pPr>
      <w:pStyle w:val="2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-200025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57B9F">
                          <w:pPr>
                            <w:pStyle w:val="23"/>
                            <w:jc w:val="center"/>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Fonts w:ascii="宋体" w:hAnsi="宋体"/>
                              <w:sz w:val="26"/>
                              <w:szCs w:val="26"/>
                            </w:rPr>
                            <w:fldChar w:fldCharType="begin"/>
                          </w:r>
                          <w:r>
                            <w:rPr>
                              <w:rStyle w:val="39"/>
                              <w:rFonts w:ascii="宋体" w:hAnsi="宋体"/>
                              <w:sz w:val="26"/>
                              <w:szCs w:val="26"/>
                            </w:rPr>
                            <w:instrText xml:space="preserve">PAGE  </w:instrText>
                          </w:r>
                          <w:r>
                            <w:rPr>
                              <w:rFonts w:ascii="宋体" w:hAnsi="宋体"/>
                              <w:sz w:val="26"/>
                              <w:szCs w:val="26"/>
                            </w:rPr>
                            <w:fldChar w:fldCharType="separate"/>
                          </w:r>
                          <w:r>
                            <w:rPr>
                              <w:rStyle w:val="39"/>
                              <w:rFonts w:ascii="宋体" w:hAnsi="宋体"/>
                              <w:sz w:val="26"/>
                              <w:szCs w:val="26"/>
                            </w:rPr>
                            <w:t>1</w:t>
                          </w:r>
                          <w:r>
                            <w:rPr>
                              <w:rFonts w:ascii="宋体" w:hAnsi="宋体"/>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5.75pt;height:144pt;width:144pt;mso-position-horizontal:center;mso-position-horizontal-relative:margin;mso-wrap-style:none;z-index:251659264;mso-width-relative:page;mso-height-relative:page;" filled="f" stroked="f" coordsize="21600,21600" o:gfxdata="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4krw1gAAAAg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14:paraId="28B57B9F">
                    <w:pPr>
                      <w:pStyle w:val="23"/>
                      <w:jc w:val="center"/>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Fonts w:ascii="宋体" w:hAnsi="宋体"/>
                        <w:sz w:val="26"/>
                        <w:szCs w:val="26"/>
                      </w:rPr>
                      <w:fldChar w:fldCharType="begin"/>
                    </w:r>
                    <w:r>
                      <w:rPr>
                        <w:rStyle w:val="39"/>
                        <w:rFonts w:ascii="宋体" w:hAnsi="宋体"/>
                        <w:sz w:val="26"/>
                        <w:szCs w:val="26"/>
                      </w:rPr>
                      <w:instrText xml:space="preserve">PAGE  </w:instrText>
                    </w:r>
                    <w:r>
                      <w:rPr>
                        <w:rFonts w:ascii="宋体" w:hAnsi="宋体"/>
                        <w:sz w:val="26"/>
                        <w:szCs w:val="26"/>
                      </w:rPr>
                      <w:fldChar w:fldCharType="separate"/>
                    </w:r>
                    <w:r>
                      <w:rPr>
                        <w:rStyle w:val="39"/>
                        <w:rFonts w:ascii="宋体" w:hAnsi="宋体"/>
                        <w:sz w:val="26"/>
                        <w:szCs w:val="26"/>
                      </w:rPr>
                      <w:t>1</w:t>
                    </w:r>
                    <w:r>
                      <w:rPr>
                        <w:rFonts w:ascii="宋体" w:hAnsi="宋体"/>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BBA1E">
    <w:pPr>
      <w:pStyle w:val="2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-200025</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BC87C1">
                          <w:pPr>
                            <w:pStyle w:val="23"/>
                            <w:jc w:val="center"/>
                            <w:rPr>
                              <w:rStyle w:val="39"/>
                              <w:rFonts w:hint="default" w:ascii="Times New Roman" w:hAnsi="Times New Roman" w:cs="Times New Roman"/>
                              <w:sz w:val="21"/>
                              <w:szCs w:val="21"/>
                            </w:rPr>
                          </w:pPr>
                          <w:r>
                            <w:rPr>
                              <w:rStyle w:val="39"/>
                              <w:rFonts w:hint="default" w:ascii="Times New Roman" w:hAnsi="Times New Roman" w:cs="Times New Roman"/>
                              <w:sz w:val="21"/>
                              <w:szCs w:val="21"/>
                            </w:rPr>
                            <w:t xml:space="preserve">—  </w:t>
                          </w:r>
                          <w:r>
                            <w:rPr>
                              <w:rFonts w:hint="default" w:ascii="Times New Roman" w:hAnsi="Times New Roman" w:cs="Times New Roman"/>
                              <w:sz w:val="21"/>
                              <w:szCs w:val="21"/>
                            </w:rPr>
                            <w:fldChar w:fldCharType="begin"/>
                          </w:r>
                          <w:r>
                            <w:rPr>
                              <w:rStyle w:val="39"/>
                              <w:rFonts w:hint="default" w:ascii="Times New Roman" w:hAnsi="Times New Roman" w:cs="Times New Roman"/>
                              <w:sz w:val="21"/>
                              <w:szCs w:val="21"/>
                            </w:rPr>
                            <w:instrText xml:space="preserve">PAGE  </w:instrText>
                          </w:r>
                          <w:r>
                            <w:rPr>
                              <w:rFonts w:hint="default" w:ascii="Times New Roman" w:hAnsi="Times New Roman" w:cs="Times New Roman"/>
                              <w:sz w:val="21"/>
                              <w:szCs w:val="21"/>
                            </w:rPr>
                            <w:fldChar w:fldCharType="separate"/>
                          </w:r>
                          <w:r>
                            <w:rPr>
                              <w:rStyle w:val="39"/>
                              <w:rFonts w:hint="default" w:ascii="Times New Roman" w:hAnsi="Times New Roman" w:cs="Times New Roman"/>
                              <w:sz w:val="21"/>
                              <w:szCs w:val="21"/>
                            </w:rPr>
                            <w:t>36</w:t>
                          </w:r>
                          <w:r>
                            <w:rPr>
                              <w:rFonts w:hint="default" w:ascii="Times New Roman" w:hAnsi="Times New Roman" w:cs="Times New Roman"/>
                              <w:sz w:val="21"/>
                              <w:szCs w:val="21"/>
                            </w:rPr>
                            <w:fldChar w:fldCharType="end"/>
                          </w:r>
                          <w:r>
                            <w:rPr>
                              <w:rStyle w:val="39"/>
                              <w:rFonts w:hint="default" w:ascii="Times New Roman" w:hAnsi="Times New Roman" w:cs="Times New Roman"/>
                              <w:sz w:val="21"/>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5.75pt;height:144pt;width:144pt;mso-position-horizontal:center;mso-position-horizontal-relative:margin;mso-wrap-style:none;z-index:251660288;mso-width-relative:page;mso-height-relative:page;" filled="f" stroked="f" coordsize="21600,21600" o:gfxdata="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niSvDWAAAACAEAAA8AAAAAAAAAAQAgAAAAIgAAAGRycy9kb3ducmV2LnhtbFBL&#10;AQIUABQAAAAIAIdO4kC989aEMQIAAGMEAAAOAAAAAAAAAAEAIAAAACUBAABkcnMvZTJvRG9jLnht&#10;bFBLBQYAAAAABgAGAFkBAADIBQAAAAA=&#10;">
              <v:fill on="f" focussize="0,0"/>
              <v:stroke on="f" weight="0.5pt"/>
              <v:imagedata o:title=""/>
              <o:lock v:ext="edit" aspectratio="f"/>
              <v:textbox inset="0mm,0mm,0mm,0mm" style="mso-fit-shape-to-text:t;">
                <w:txbxContent>
                  <w:p w14:paraId="29BC87C1">
                    <w:pPr>
                      <w:pStyle w:val="23"/>
                      <w:jc w:val="center"/>
                      <w:rPr>
                        <w:rStyle w:val="39"/>
                        <w:rFonts w:hint="default" w:ascii="Times New Roman" w:hAnsi="Times New Roman" w:cs="Times New Roman"/>
                        <w:sz w:val="21"/>
                        <w:szCs w:val="21"/>
                      </w:rPr>
                    </w:pPr>
                    <w:r>
                      <w:rPr>
                        <w:rStyle w:val="39"/>
                        <w:rFonts w:hint="default" w:ascii="Times New Roman" w:hAnsi="Times New Roman" w:cs="Times New Roman"/>
                        <w:sz w:val="21"/>
                        <w:szCs w:val="21"/>
                      </w:rPr>
                      <w:t xml:space="preserve">—  </w:t>
                    </w:r>
                    <w:r>
                      <w:rPr>
                        <w:rFonts w:hint="default" w:ascii="Times New Roman" w:hAnsi="Times New Roman" w:cs="Times New Roman"/>
                        <w:sz w:val="21"/>
                        <w:szCs w:val="21"/>
                      </w:rPr>
                      <w:fldChar w:fldCharType="begin"/>
                    </w:r>
                    <w:r>
                      <w:rPr>
                        <w:rStyle w:val="39"/>
                        <w:rFonts w:hint="default" w:ascii="Times New Roman" w:hAnsi="Times New Roman" w:cs="Times New Roman"/>
                        <w:sz w:val="21"/>
                        <w:szCs w:val="21"/>
                      </w:rPr>
                      <w:instrText xml:space="preserve">PAGE  </w:instrText>
                    </w:r>
                    <w:r>
                      <w:rPr>
                        <w:rFonts w:hint="default" w:ascii="Times New Roman" w:hAnsi="Times New Roman" w:cs="Times New Roman"/>
                        <w:sz w:val="21"/>
                        <w:szCs w:val="21"/>
                      </w:rPr>
                      <w:fldChar w:fldCharType="separate"/>
                    </w:r>
                    <w:r>
                      <w:rPr>
                        <w:rStyle w:val="39"/>
                        <w:rFonts w:hint="default" w:ascii="Times New Roman" w:hAnsi="Times New Roman" w:cs="Times New Roman"/>
                        <w:sz w:val="21"/>
                        <w:szCs w:val="21"/>
                      </w:rPr>
                      <w:t>36</w:t>
                    </w:r>
                    <w:r>
                      <w:rPr>
                        <w:rFonts w:hint="default" w:ascii="Times New Roman" w:hAnsi="Times New Roman" w:cs="Times New Roman"/>
                        <w:sz w:val="21"/>
                        <w:szCs w:val="21"/>
                      </w:rPr>
                      <w:fldChar w:fldCharType="end"/>
                    </w:r>
                    <w:r>
                      <w:rPr>
                        <w:rStyle w:val="39"/>
                        <w:rFonts w:hint="default" w:ascii="Times New Roman" w:hAnsi="Times New Roman" w:cs="Times New Roman"/>
                        <w:sz w:val="21"/>
                        <w:szCs w:val="21"/>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65AD8">
    <w:pPr>
      <w:pStyle w:val="2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-200025</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5286A6">
                          <w:pPr>
                            <w:pStyle w:val="23"/>
                            <w:pBdr>
                              <w:between w:val="none" w:color="auto" w:sz="0" w:space="0"/>
                            </w:pBdr>
                          </w:pPr>
                          <w:r>
                            <w:fldChar w:fldCharType="begin"/>
                          </w:r>
                          <w:r>
                            <w:rPr>
                              <w:rStyle w:val="39"/>
                            </w:rPr>
                            <w:instrText xml:space="preserve"> PAGE  </w:instrText>
                          </w:r>
                          <w:r>
                            <w:fldChar w:fldCharType="separate"/>
                          </w:r>
                          <w:r>
                            <w:rPr>
                              <w:rStyle w:val="39"/>
                            </w:rP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5.75pt;height:144pt;width:144pt;mso-position-horizontal:center;mso-position-horizontal-relative:margin;mso-wrap-style:none;z-index:251661312;mso-width-relative:page;mso-height-relative:page;" filled="f" stroked="f" coordsize="21600,21600" o:gfxdata="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4krw1gAAAAgBAAAPAAAAAAAAAAEAIAAAACIAAABkcnMvZG93bnJldi54bWxQ&#10;SwECFAAUAAAACACHTuJAlt8PCTICAABjBAAADgAAAAAAAAABACAAAAAlAQAAZHJzL2Uyb0RvYy54&#10;bWxQSwUGAAAAAAYABgBZAQAAyQUAAAAA&#10;">
              <v:fill on="f" focussize="0,0"/>
              <v:stroke on="f" weight="0.5pt"/>
              <v:imagedata o:title=""/>
              <o:lock v:ext="edit" aspectratio="f"/>
              <v:textbox inset="0mm,0mm,0mm,0mm" style="mso-fit-shape-to-text:t;">
                <w:txbxContent>
                  <w:p w14:paraId="095286A6">
                    <w:pPr>
                      <w:pStyle w:val="23"/>
                      <w:pBdr>
                        <w:between w:val="none" w:color="auto" w:sz="0" w:space="0"/>
                      </w:pBdr>
                    </w:pPr>
                    <w:r>
                      <w:fldChar w:fldCharType="begin"/>
                    </w:r>
                    <w:r>
                      <w:rPr>
                        <w:rStyle w:val="39"/>
                      </w:rPr>
                      <w:instrText xml:space="preserve"> PAGE  </w:instrText>
                    </w:r>
                    <w:r>
                      <w:fldChar w:fldCharType="separate"/>
                    </w:r>
                    <w:r>
                      <w:rPr>
                        <w:rStyle w:val="39"/>
                      </w:rPr>
                      <w:t>39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75DD2">
    <w:pPr>
      <w:pStyle w:val="2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7BE66">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DA35E">
    <w:pPr>
      <w:pStyle w:val="2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4F06A">
    <w:pPr>
      <w:pStyle w:val="24"/>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28488"/>
    <w:multiLevelType w:val="singleLevel"/>
    <w:tmpl w:val="80628488"/>
    <w:lvl w:ilvl="0" w:tentative="0">
      <w:start w:val="5"/>
      <w:numFmt w:val="chineseCounting"/>
      <w:suff w:val="nothing"/>
      <w:lvlText w:val="%1、"/>
      <w:lvlJc w:val="left"/>
      <w:rPr>
        <w:rFonts w:hint="eastAsia"/>
      </w:rPr>
    </w:lvl>
  </w:abstractNum>
  <w:abstractNum w:abstractNumId="1">
    <w:nsid w:val="86F5FAB4"/>
    <w:multiLevelType w:val="singleLevel"/>
    <w:tmpl w:val="86F5FAB4"/>
    <w:lvl w:ilvl="0" w:tentative="0">
      <w:start w:val="3"/>
      <w:numFmt w:val="decimal"/>
      <w:suff w:val="nothing"/>
      <w:lvlText w:val="%1）"/>
      <w:lvlJc w:val="left"/>
    </w:lvl>
  </w:abstractNum>
  <w:abstractNum w:abstractNumId="2">
    <w:nsid w:val="8984F33C"/>
    <w:multiLevelType w:val="singleLevel"/>
    <w:tmpl w:val="8984F33C"/>
    <w:lvl w:ilvl="0" w:tentative="0">
      <w:start w:val="1"/>
      <w:numFmt w:val="decimal"/>
      <w:suff w:val="nothing"/>
      <w:lvlText w:val="（%1）"/>
      <w:lvlJc w:val="left"/>
    </w:lvl>
  </w:abstractNum>
  <w:abstractNum w:abstractNumId="3">
    <w:nsid w:val="B25BB11E"/>
    <w:multiLevelType w:val="singleLevel"/>
    <w:tmpl w:val="B25BB11E"/>
    <w:lvl w:ilvl="0" w:tentative="0">
      <w:start w:val="1"/>
      <w:numFmt w:val="decimal"/>
      <w:suff w:val="nothing"/>
      <w:lvlText w:val="（%1）"/>
      <w:lvlJc w:val="left"/>
      <w:rPr>
        <w:rFonts w:hint="default" w:ascii="Times New Roman" w:hAnsi="Times New Roman" w:cs="Times New Roman"/>
        <w:b w:val="0"/>
        <w:bCs w:val="0"/>
      </w:rPr>
    </w:lvl>
  </w:abstractNum>
  <w:abstractNum w:abstractNumId="4">
    <w:nsid w:val="BCBF717C"/>
    <w:multiLevelType w:val="singleLevel"/>
    <w:tmpl w:val="BCBF717C"/>
    <w:lvl w:ilvl="0" w:tentative="0">
      <w:start w:val="5"/>
      <w:numFmt w:val="decimal"/>
      <w:suff w:val="nothing"/>
      <w:lvlText w:val="（%1）"/>
      <w:lvlJc w:val="left"/>
    </w:lvl>
  </w:abstractNum>
  <w:abstractNum w:abstractNumId="5">
    <w:nsid w:val="C2BD032E"/>
    <w:multiLevelType w:val="singleLevel"/>
    <w:tmpl w:val="C2BD032E"/>
    <w:lvl w:ilvl="0" w:tentative="0">
      <w:start w:val="2"/>
      <w:numFmt w:val="decimal"/>
      <w:suff w:val="nothing"/>
      <w:lvlText w:val="（%1）"/>
      <w:lvlJc w:val="left"/>
    </w:lvl>
  </w:abstractNum>
  <w:abstractNum w:abstractNumId="6">
    <w:nsid w:val="16910024"/>
    <w:multiLevelType w:val="singleLevel"/>
    <w:tmpl w:val="16910024"/>
    <w:lvl w:ilvl="0" w:tentative="0">
      <w:start w:val="2"/>
      <w:numFmt w:val="decimal"/>
      <w:suff w:val="nothing"/>
      <w:lvlText w:val="（%1）"/>
      <w:lvlJc w:val="left"/>
    </w:lvl>
  </w:abstractNum>
  <w:abstractNum w:abstractNumId="7">
    <w:nsid w:val="4F5D6016"/>
    <w:multiLevelType w:val="singleLevel"/>
    <w:tmpl w:val="4F5D6016"/>
    <w:lvl w:ilvl="0" w:tentative="0">
      <w:start w:val="1"/>
      <w:numFmt w:val="decimal"/>
      <w:suff w:val="nothing"/>
      <w:lvlText w:val="（%1）"/>
      <w:lvlJc w:val="left"/>
    </w:lvl>
  </w:abstractNum>
  <w:abstractNum w:abstractNumId="8">
    <w:nsid w:val="56B52612"/>
    <w:multiLevelType w:val="multilevel"/>
    <w:tmpl w:val="56B52612"/>
    <w:lvl w:ilvl="0" w:tentative="0">
      <w:start w:val="1"/>
      <w:numFmt w:val="decimal"/>
      <w:lvlText w:val="表%1"/>
      <w:lvlJc w:val="center"/>
      <w:pPr>
        <w:ind w:left="0" w:firstLine="0"/>
      </w:pPr>
      <w:rPr>
        <w:rFonts w:hint="default" w:ascii="Times New Roman" w:hAnsi="Times New Roman" w:eastAsia="黑体"/>
        <w:b w:val="0"/>
        <w:color w:val="auto"/>
        <w:sz w:val="24"/>
        <w:szCs w:val="24"/>
        <w:u w:val="none"/>
        <w:lang w:val="en-US"/>
      </w:rPr>
    </w:lvl>
    <w:lvl w:ilvl="1" w:tentative="0">
      <w:start w:val="1"/>
      <w:numFmt w:val="lowerLetter"/>
      <w:lvlText w:val="%2)"/>
      <w:lvlJc w:val="left"/>
      <w:pPr>
        <w:ind w:left="840" w:hanging="420"/>
      </w:pPr>
      <w:rPr>
        <w:rFonts w:hint="eastAsia"/>
      </w:rPr>
    </w:lvl>
    <w:lvl w:ilvl="2" w:tentative="0">
      <w:start w:val="1"/>
      <w:numFmt w:val="none"/>
      <w:lvlText w:val="表"/>
      <w:lvlJc w:val="left"/>
      <w:pPr>
        <w:tabs>
          <w:tab w:val="left" w:pos="1260"/>
        </w:tabs>
        <w:ind w:left="1260" w:hanging="420"/>
      </w:pPr>
      <w:rPr>
        <w:rFonts w:hint="default" w:ascii="Times New Roman" w:hAnsi="Times New Roman" w:eastAsia="黑体"/>
        <w:b w:val="0"/>
        <w:color w:val="auto"/>
        <w:sz w:val="24"/>
        <w:szCs w:val="24"/>
        <w:u w:val="none"/>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6A569876"/>
    <w:multiLevelType w:val="singleLevel"/>
    <w:tmpl w:val="6A569876"/>
    <w:lvl w:ilvl="0" w:tentative="0">
      <w:start w:val="4"/>
      <w:numFmt w:val="decimal"/>
      <w:suff w:val="nothing"/>
      <w:lvlText w:val="%1、"/>
      <w:lvlJc w:val="left"/>
    </w:lvl>
  </w:abstractNum>
  <w:abstractNum w:abstractNumId="10">
    <w:nsid w:val="7AB3730A"/>
    <w:multiLevelType w:val="singleLevel"/>
    <w:tmpl w:val="7AB3730A"/>
    <w:lvl w:ilvl="0" w:tentative="0">
      <w:start w:val="1"/>
      <w:numFmt w:val="decimal"/>
      <w:suff w:val="nothing"/>
      <w:lvlText w:val="（%1）"/>
      <w:lvlJc w:val="left"/>
    </w:lvl>
  </w:abstractNum>
  <w:num w:numId="1">
    <w:abstractNumId w:val="8"/>
  </w:num>
  <w:num w:numId="2">
    <w:abstractNumId w:val="9"/>
  </w:num>
  <w:num w:numId="3">
    <w:abstractNumId w:val="4"/>
  </w:num>
  <w:num w:numId="4">
    <w:abstractNumId w:val="2"/>
  </w:num>
  <w:num w:numId="5">
    <w:abstractNumId w:val="3"/>
  </w:num>
  <w:num w:numId="6">
    <w:abstractNumId w:val="6"/>
  </w:num>
  <w:num w:numId="7">
    <w:abstractNumId w:val="5"/>
  </w:num>
  <w:num w:numId="8">
    <w:abstractNumId w:val="7"/>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HorizontalSpacing w:val="108"/>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xNjZkMWM1MDhjMzAzZTY3NGQyOTQ5MjUwNDQ1NTQifQ=="/>
  </w:docVars>
  <w:rsids>
    <w:rsidRoot w:val="00A14947"/>
    <w:rsid w:val="0000408C"/>
    <w:rsid w:val="000060B3"/>
    <w:rsid w:val="00010D8C"/>
    <w:rsid w:val="00014570"/>
    <w:rsid w:val="00016643"/>
    <w:rsid w:val="00033BEE"/>
    <w:rsid w:val="000349B3"/>
    <w:rsid w:val="00037E12"/>
    <w:rsid w:val="0004364B"/>
    <w:rsid w:val="00050E3E"/>
    <w:rsid w:val="0005244C"/>
    <w:rsid w:val="00056A77"/>
    <w:rsid w:val="00061B1F"/>
    <w:rsid w:val="00062C3C"/>
    <w:rsid w:val="00063696"/>
    <w:rsid w:val="00063DF6"/>
    <w:rsid w:val="00065208"/>
    <w:rsid w:val="000733C4"/>
    <w:rsid w:val="00074783"/>
    <w:rsid w:val="0008070B"/>
    <w:rsid w:val="000810AC"/>
    <w:rsid w:val="00081A02"/>
    <w:rsid w:val="00082231"/>
    <w:rsid w:val="00092D38"/>
    <w:rsid w:val="0009377B"/>
    <w:rsid w:val="000A20C9"/>
    <w:rsid w:val="000A4306"/>
    <w:rsid w:val="000B0004"/>
    <w:rsid w:val="000B058F"/>
    <w:rsid w:val="000B3F3A"/>
    <w:rsid w:val="000B4467"/>
    <w:rsid w:val="000B4DB9"/>
    <w:rsid w:val="000B5031"/>
    <w:rsid w:val="000B5438"/>
    <w:rsid w:val="000C09AC"/>
    <w:rsid w:val="000C6C4B"/>
    <w:rsid w:val="000C767F"/>
    <w:rsid w:val="000D3015"/>
    <w:rsid w:val="000D5A44"/>
    <w:rsid w:val="000E2547"/>
    <w:rsid w:val="000E3ED2"/>
    <w:rsid w:val="000F5863"/>
    <w:rsid w:val="00115F17"/>
    <w:rsid w:val="001162E1"/>
    <w:rsid w:val="001202BD"/>
    <w:rsid w:val="00131F42"/>
    <w:rsid w:val="001357F1"/>
    <w:rsid w:val="001369B6"/>
    <w:rsid w:val="00140FA8"/>
    <w:rsid w:val="00142FEB"/>
    <w:rsid w:val="00143823"/>
    <w:rsid w:val="00143A2D"/>
    <w:rsid w:val="00145052"/>
    <w:rsid w:val="00145A41"/>
    <w:rsid w:val="00145CA4"/>
    <w:rsid w:val="00145CB1"/>
    <w:rsid w:val="00151675"/>
    <w:rsid w:val="0015386E"/>
    <w:rsid w:val="0015417E"/>
    <w:rsid w:val="00154BC6"/>
    <w:rsid w:val="001570EE"/>
    <w:rsid w:val="00157435"/>
    <w:rsid w:val="00161BE5"/>
    <w:rsid w:val="00161FA5"/>
    <w:rsid w:val="00175020"/>
    <w:rsid w:val="0017504D"/>
    <w:rsid w:val="0017671A"/>
    <w:rsid w:val="00177422"/>
    <w:rsid w:val="0018350F"/>
    <w:rsid w:val="00184590"/>
    <w:rsid w:val="001855FB"/>
    <w:rsid w:val="001870D1"/>
    <w:rsid w:val="0018781E"/>
    <w:rsid w:val="0019262D"/>
    <w:rsid w:val="001A1B35"/>
    <w:rsid w:val="001A3C4C"/>
    <w:rsid w:val="001A48A2"/>
    <w:rsid w:val="001A6F61"/>
    <w:rsid w:val="001B5373"/>
    <w:rsid w:val="001B72B8"/>
    <w:rsid w:val="001B7DD0"/>
    <w:rsid w:val="001C0081"/>
    <w:rsid w:val="001C69B3"/>
    <w:rsid w:val="001D4D50"/>
    <w:rsid w:val="001D5595"/>
    <w:rsid w:val="001D7874"/>
    <w:rsid w:val="001D7F22"/>
    <w:rsid w:val="001E014E"/>
    <w:rsid w:val="001E1294"/>
    <w:rsid w:val="001F0F17"/>
    <w:rsid w:val="001F3347"/>
    <w:rsid w:val="001F44B3"/>
    <w:rsid w:val="001F69E4"/>
    <w:rsid w:val="00202716"/>
    <w:rsid w:val="00204822"/>
    <w:rsid w:val="002125B4"/>
    <w:rsid w:val="00214985"/>
    <w:rsid w:val="002155B8"/>
    <w:rsid w:val="0021672E"/>
    <w:rsid w:val="0021748E"/>
    <w:rsid w:val="0022335C"/>
    <w:rsid w:val="00223A8D"/>
    <w:rsid w:val="00224839"/>
    <w:rsid w:val="002249B2"/>
    <w:rsid w:val="00226574"/>
    <w:rsid w:val="002278EC"/>
    <w:rsid w:val="00230E85"/>
    <w:rsid w:val="0023280E"/>
    <w:rsid w:val="002361D3"/>
    <w:rsid w:val="002377D1"/>
    <w:rsid w:val="0024048F"/>
    <w:rsid w:val="00240D9E"/>
    <w:rsid w:val="002506BC"/>
    <w:rsid w:val="00254345"/>
    <w:rsid w:val="00255B5E"/>
    <w:rsid w:val="00260D24"/>
    <w:rsid w:val="00260FC4"/>
    <w:rsid w:val="0026307C"/>
    <w:rsid w:val="00264557"/>
    <w:rsid w:val="00270864"/>
    <w:rsid w:val="00273A2F"/>
    <w:rsid w:val="002805AB"/>
    <w:rsid w:val="00284204"/>
    <w:rsid w:val="00291773"/>
    <w:rsid w:val="002A168C"/>
    <w:rsid w:val="002A2AB4"/>
    <w:rsid w:val="002A3DC7"/>
    <w:rsid w:val="002B49E2"/>
    <w:rsid w:val="002B7B00"/>
    <w:rsid w:val="002B7C44"/>
    <w:rsid w:val="002C1837"/>
    <w:rsid w:val="002C1BA9"/>
    <w:rsid w:val="002C2B17"/>
    <w:rsid w:val="002D1C9F"/>
    <w:rsid w:val="002D3DD0"/>
    <w:rsid w:val="002E1F3A"/>
    <w:rsid w:val="002E298A"/>
    <w:rsid w:val="002E3C1F"/>
    <w:rsid w:val="002F1B3C"/>
    <w:rsid w:val="00301978"/>
    <w:rsid w:val="0030332C"/>
    <w:rsid w:val="00303646"/>
    <w:rsid w:val="003051C2"/>
    <w:rsid w:val="00312296"/>
    <w:rsid w:val="00314F0E"/>
    <w:rsid w:val="00317D7F"/>
    <w:rsid w:val="00320703"/>
    <w:rsid w:val="00321D8E"/>
    <w:rsid w:val="0032485F"/>
    <w:rsid w:val="00325928"/>
    <w:rsid w:val="00327C10"/>
    <w:rsid w:val="00331676"/>
    <w:rsid w:val="00332863"/>
    <w:rsid w:val="0033684D"/>
    <w:rsid w:val="00337B42"/>
    <w:rsid w:val="00341B42"/>
    <w:rsid w:val="0034348F"/>
    <w:rsid w:val="0035487F"/>
    <w:rsid w:val="00356653"/>
    <w:rsid w:val="0035743F"/>
    <w:rsid w:val="0035747B"/>
    <w:rsid w:val="00357BE2"/>
    <w:rsid w:val="0036170C"/>
    <w:rsid w:val="00366028"/>
    <w:rsid w:val="00366E0F"/>
    <w:rsid w:val="00366FC7"/>
    <w:rsid w:val="00374636"/>
    <w:rsid w:val="00381A72"/>
    <w:rsid w:val="00384676"/>
    <w:rsid w:val="003862D1"/>
    <w:rsid w:val="00390857"/>
    <w:rsid w:val="003955FF"/>
    <w:rsid w:val="003A4BF3"/>
    <w:rsid w:val="003A6E5F"/>
    <w:rsid w:val="003B420D"/>
    <w:rsid w:val="003B48E8"/>
    <w:rsid w:val="003C6C16"/>
    <w:rsid w:val="003D6C53"/>
    <w:rsid w:val="003D794D"/>
    <w:rsid w:val="003E3058"/>
    <w:rsid w:val="003E4764"/>
    <w:rsid w:val="003E76A9"/>
    <w:rsid w:val="003F0809"/>
    <w:rsid w:val="003F2893"/>
    <w:rsid w:val="003F617A"/>
    <w:rsid w:val="003F6A8C"/>
    <w:rsid w:val="003F755C"/>
    <w:rsid w:val="00401CEF"/>
    <w:rsid w:val="00406F01"/>
    <w:rsid w:val="00416D50"/>
    <w:rsid w:val="00416FD5"/>
    <w:rsid w:val="00417772"/>
    <w:rsid w:val="00420E6A"/>
    <w:rsid w:val="00424A50"/>
    <w:rsid w:val="00425A9E"/>
    <w:rsid w:val="00426D6B"/>
    <w:rsid w:val="00431929"/>
    <w:rsid w:val="00431E6C"/>
    <w:rsid w:val="00433CE7"/>
    <w:rsid w:val="00445F48"/>
    <w:rsid w:val="004521D8"/>
    <w:rsid w:val="00452738"/>
    <w:rsid w:val="00452765"/>
    <w:rsid w:val="00453515"/>
    <w:rsid w:val="00456091"/>
    <w:rsid w:val="0046550B"/>
    <w:rsid w:val="00466321"/>
    <w:rsid w:val="004668FA"/>
    <w:rsid w:val="00475CEC"/>
    <w:rsid w:val="00484B9B"/>
    <w:rsid w:val="004855F6"/>
    <w:rsid w:val="00485E1D"/>
    <w:rsid w:val="0048661E"/>
    <w:rsid w:val="00494670"/>
    <w:rsid w:val="00494871"/>
    <w:rsid w:val="004A209A"/>
    <w:rsid w:val="004A3823"/>
    <w:rsid w:val="004A5DDD"/>
    <w:rsid w:val="004A6499"/>
    <w:rsid w:val="004B099C"/>
    <w:rsid w:val="004C498B"/>
    <w:rsid w:val="004C56EE"/>
    <w:rsid w:val="004C755E"/>
    <w:rsid w:val="004E082E"/>
    <w:rsid w:val="004E2644"/>
    <w:rsid w:val="004E6946"/>
    <w:rsid w:val="004F1AD8"/>
    <w:rsid w:val="004F5541"/>
    <w:rsid w:val="004F6573"/>
    <w:rsid w:val="00500C2E"/>
    <w:rsid w:val="00502A19"/>
    <w:rsid w:val="005039CB"/>
    <w:rsid w:val="0050523A"/>
    <w:rsid w:val="0050558F"/>
    <w:rsid w:val="00506286"/>
    <w:rsid w:val="00510813"/>
    <w:rsid w:val="00511990"/>
    <w:rsid w:val="00511DE0"/>
    <w:rsid w:val="00514870"/>
    <w:rsid w:val="00514B9B"/>
    <w:rsid w:val="00517F02"/>
    <w:rsid w:val="00524303"/>
    <w:rsid w:val="005258A2"/>
    <w:rsid w:val="00526BAC"/>
    <w:rsid w:val="00531CED"/>
    <w:rsid w:val="005322EA"/>
    <w:rsid w:val="00540018"/>
    <w:rsid w:val="005401AE"/>
    <w:rsid w:val="00542E07"/>
    <w:rsid w:val="00545424"/>
    <w:rsid w:val="0054691D"/>
    <w:rsid w:val="00554A7B"/>
    <w:rsid w:val="0055572C"/>
    <w:rsid w:val="005559D6"/>
    <w:rsid w:val="0056106A"/>
    <w:rsid w:val="005627D0"/>
    <w:rsid w:val="005720AE"/>
    <w:rsid w:val="00594D77"/>
    <w:rsid w:val="00595641"/>
    <w:rsid w:val="005969E4"/>
    <w:rsid w:val="005A015E"/>
    <w:rsid w:val="005A06B7"/>
    <w:rsid w:val="005A1759"/>
    <w:rsid w:val="005A68A7"/>
    <w:rsid w:val="005C6B57"/>
    <w:rsid w:val="005D10E4"/>
    <w:rsid w:val="005D36AB"/>
    <w:rsid w:val="005D7611"/>
    <w:rsid w:val="00617CC3"/>
    <w:rsid w:val="00630351"/>
    <w:rsid w:val="006305E1"/>
    <w:rsid w:val="006319F1"/>
    <w:rsid w:val="00635204"/>
    <w:rsid w:val="006377A6"/>
    <w:rsid w:val="00637A3D"/>
    <w:rsid w:val="006411EF"/>
    <w:rsid w:val="00641799"/>
    <w:rsid w:val="00653308"/>
    <w:rsid w:val="00653FCF"/>
    <w:rsid w:val="00654598"/>
    <w:rsid w:val="006748B8"/>
    <w:rsid w:val="006775C3"/>
    <w:rsid w:val="0068146A"/>
    <w:rsid w:val="00682302"/>
    <w:rsid w:val="0069290A"/>
    <w:rsid w:val="00695FE9"/>
    <w:rsid w:val="0069775A"/>
    <w:rsid w:val="00697813"/>
    <w:rsid w:val="006A0895"/>
    <w:rsid w:val="006A3EE8"/>
    <w:rsid w:val="006A42BF"/>
    <w:rsid w:val="006A67AB"/>
    <w:rsid w:val="006A72BF"/>
    <w:rsid w:val="006B03F2"/>
    <w:rsid w:val="006B16D2"/>
    <w:rsid w:val="006B37DC"/>
    <w:rsid w:val="006B42E8"/>
    <w:rsid w:val="006B4F68"/>
    <w:rsid w:val="006C0592"/>
    <w:rsid w:val="006C272E"/>
    <w:rsid w:val="006C5479"/>
    <w:rsid w:val="006C5AE7"/>
    <w:rsid w:val="006D0587"/>
    <w:rsid w:val="006D13B5"/>
    <w:rsid w:val="006D6FBB"/>
    <w:rsid w:val="006E119B"/>
    <w:rsid w:val="006E12FF"/>
    <w:rsid w:val="006E48B9"/>
    <w:rsid w:val="006E607E"/>
    <w:rsid w:val="006F329D"/>
    <w:rsid w:val="007064A3"/>
    <w:rsid w:val="00706C5D"/>
    <w:rsid w:val="00706D8C"/>
    <w:rsid w:val="00711BEF"/>
    <w:rsid w:val="00713A00"/>
    <w:rsid w:val="00721F3B"/>
    <w:rsid w:val="00723693"/>
    <w:rsid w:val="0072469C"/>
    <w:rsid w:val="00726DAE"/>
    <w:rsid w:val="00730630"/>
    <w:rsid w:val="00732922"/>
    <w:rsid w:val="007421A6"/>
    <w:rsid w:val="007432C5"/>
    <w:rsid w:val="00744EA2"/>
    <w:rsid w:val="0075162E"/>
    <w:rsid w:val="0075355E"/>
    <w:rsid w:val="00753ED8"/>
    <w:rsid w:val="00754034"/>
    <w:rsid w:val="007543DD"/>
    <w:rsid w:val="00756556"/>
    <w:rsid w:val="007618C4"/>
    <w:rsid w:val="00763088"/>
    <w:rsid w:val="00763320"/>
    <w:rsid w:val="00767980"/>
    <w:rsid w:val="00770B19"/>
    <w:rsid w:val="0077463F"/>
    <w:rsid w:val="00774BEA"/>
    <w:rsid w:val="00781F8F"/>
    <w:rsid w:val="007836EA"/>
    <w:rsid w:val="00784CDA"/>
    <w:rsid w:val="007870AB"/>
    <w:rsid w:val="007906C4"/>
    <w:rsid w:val="0079383E"/>
    <w:rsid w:val="007940EA"/>
    <w:rsid w:val="007967E8"/>
    <w:rsid w:val="007A0AC3"/>
    <w:rsid w:val="007A0F32"/>
    <w:rsid w:val="007A2170"/>
    <w:rsid w:val="007A22BF"/>
    <w:rsid w:val="007A3323"/>
    <w:rsid w:val="007B0378"/>
    <w:rsid w:val="007B72B8"/>
    <w:rsid w:val="007B7A58"/>
    <w:rsid w:val="007C21B5"/>
    <w:rsid w:val="007C3298"/>
    <w:rsid w:val="007D2D10"/>
    <w:rsid w:val="007E11B8"/>
    <w:rsid w:val="007E159B"/>
    <w:rsid w:val="007E4BD2"/>
    <w:rsid w:val="008008A3"/>
    <w:rsid w:val="00801393"/>
    <w:rsid w:val="00802F88"/>
    <w:rsid w:val="008034DC"/>
    <w:rsid w:val="008124F5"/>
    <w:rsid w:val="0081293E"/>
    <w:rsid w:val="00815465"/>
    <w:rsid w:val="00817E9A"/>
    <w:rsid w:val="00824433"/>
    <w:rsid w:val="008306BD"/>
    <w:rsid w:val="00831785"/>
    <w:rsid w:val="00831A80"/>
    <w:rsid w:val="00833743"/>
    <w:rsid w:val="008340A4"/>
    <w:rsid w:val="008462DA"/>
    <w:rsid w:val="00854009"/>
    <w:rsid w:val="0087135F"/>
    <w:rsid w:val="00872D94"/>
    <w:rsid w:val="00873D27"/>
    <w:rsid w:val="00875E98"/>
    <w:rsid w:val="0087732D"/>
    <w:rsid w:val="00880364"/>
    <w:rsid w:val="00882A61"/>
    <w:rsid w:val="00891592"/>
    <w:rsid w:val="00891E9E"/>
    <w:rsid w:val="008921ED"/>
    <w:rsid w:val="008A10F8"/>
    <w:rsid w:val="008A2F68"/>
    <w:rsid w:val="008B112A"/>
    <w:rsid w:val="008B4FA6"/>
    <w:rsid w:val="008B5282"/>
    <w:rsid w:val="008B7030"/>
    <w:rsid w:val="008B7C17"/>
    <w:rsid w:val="008C2D01"/>
    <w:rsid w:val="008C40E6"/>
    <w:rsid w:val="008D0F7A"/>
    <w:rsid w:val="008D68E4"/>
    <w:rsid w:val="008E0506"/>
    <w:rsid w:val="008E0CFF"/>
    <w:rsid w:val="008E3E7E"/>
    <w:rsid w:val="008E5D6B"/>
    <w:rsid w:val="008E76F0"/>
    <w:rsid w:val="008F15FE"/>
    <w:rsid w:val="008F2D29"/>
    <w:rsid w:val="008F5187"/>
    <w:rsid w:val="008F6047"/>
    <w:rsid w:val="008F60D8"/>
    <w:rsid w:val="00902727"/>
    <w:rsid w:val="0090312B"/>
    <w:rsid w:val="009068A8"/>
    <w:rsid w:val="00910192"/>
    <w:rsid w:val="00916984"/>
    <w:rsid w:val="0091736D"/>
    <w:rsid w:val="00922968"/>
    <w:rsid w:val="0093037A"/>
    <w:rsid w:val="00935AE0"/>
    <w:rsid w:val="00935D3F"/>
    <w:rsid w:val="00935D4B"/>
    <w:rsid w:val="0094154D"/>
    <w:rsid w:val="0095155F"/>
    <w:rsid w:val="00952454"/>
    <w:rsid w:val="00954429"/>
    <w:rsid w:val="009563CE"/>
    <w:rsid w:val="00957B77"/>
    <w:rsid w:val="009628DD"/>
    <w:rsid w:val="00965345"/>
    <w:rsid w:val="0096719A"/>
    <w:rsid w:val="00967D27"/>
    <w:rsid w:val="00976328"/>
    <w:rsid w:val="0097680D"/>
    <w:rsid w:val="00982438"/>
    <w:rsid w:val="0098404C"/>
    <w:rsid w:val="00985283"/>
    <w:rsid w:val="00995992"/>
    <w:rsid w:val="009A03E5"/>
    <w:rsid w:val="009A0F3B"/>
    <w:rsid w:val="009A1BB4"/>
    <w:rsid w:val="009A2628"/>
    <w:rsid w:val="009A3200"/>
    <w:rsid w:val="009B0897"/>
    <w:rsid w:val="009B6DEE"/>
    <w:rsid w:val="009B7BD9"/>
    <w:rsid w:val="009C2F17"/>
    <w:rsid w:val="009C7DD5"/>
    <w:rsid w:val="009D1202"/>
    <w:rsid w:val="009E227D"/>
    <w:rsid w:val="009E5019"/>
    <w:rsid w:val="009E7804"/>
    <w:rsid w:val="009F141C"/>
    <w:rsid w:val="009F22BA"/>
    <w:rsid w:val="009F68DC"/>
    <w:rsid w:val="00A04F1B"/>
    <w:rsid w:val="00A0501B"/>
    <w:rsid w:val="00A077A4"/>
    <w:rsid w:val="00A127AC"/>
    <w:rsid w:val="00A14947"/>
    <w:rsid w:val="00A17A8D"/>
    <w:rsid w:val="00A30283"/>
    <w:rsid w:val="00A306AE"/>
    <w:rsid w:val="00A325B2"/>
    <w:rsid w:val="00A32A83"/>
    <w:rsid w:val="00A368DB"/>
    <w:rsid w:val="00A36F25"/>
    <w:rsid w:val="00A37364"/>
    <w:rsid w:val="00A423AA"/>
    <w:rsid w:val="00A53EC6"/>
    <w:rsid w:val="00A55C0F"/>
    <w:rsid w:val="00A561DF"/>
    <w:rsid w:val="00A57631"/>
    <w:rsid w:val="00A67566"/>
    <w:rsid w:val="00A732D8"/>
    <w:rsid w:val="00A73616"/>
    <w:rsid w:val="00A84E2A"/>
    <w:rsid w:val="00A8713F"/>
    <w:rsid w:val="00A90BA1"/>
    <w:rsid w:val="00A96AF0"/>
    <w:rsid w:val="00A97A9A"/>
    <w:rsid w:val="00AA061E"/>
    <w:rsid w:val="00AA0671"/>
    <w:rsid w:val="00AA2531"/>
    <w:rsid w:val="00AB1E09"/>
    <w:rsid w:val="00AB5330"/>
    <w:rsid w:val="00AB7747"/>
    <w:rsid w:val="00AC14CE"/>
    <w:rsid w:val="00AC2A56"/>
    <w:rsid w:val="00AC63BD"/>
    <w:rsid w:val="00AD055E"/>
    <w:rsid w:val="00AD1CF5"/>
    <w:rsid w:val="00AD47A7"/>
    <w:rsid w:val="00AD6364"/>
    <w:rsid w:val="00AD6BFF"/>
    <w:rsid w:val="00AE403C"/>
    <w:rsid w:val="00AE46C9"/>
    <w:rsid w:val="00AF0CBF"/>
    <w:rsid w:val="00AF257F"/>
    <w:rsid w:val="00AF33CF"/>
    <w:rsid w:val="00AF42AF"/>
    <w:rsid w:val="00AF4D50"/>
    <w:rsid w:val="00AF6179"/>
    <w:rsid w:val="00B1295A"/>
    <w:rsid w:val="00B176EA"/>
    <w:rsid w:val="00B20A45"/>
    <w:rsid w:val="00B22C5C"/>
    <w:rsid w:val="00B24F30"/>
    <w:rsid w:val="00B31ABF"/>
    <w:rsid w:val="00B33BE3"/>
    <w:rsid w:val="00B43747"/>
    <w:rsid w:val="00B53B5D"/>
    <w:rsid w:val="00B6055E"/>
    <w:rsid w:val="00B6317D"/>
    <w:rsid w:val="00B7723F"/>
    <w:rsid w:val="00B80534"/>
    <w:rsid w:val="00B8433C"/>
    <w:rsid w:val="00B87491"/>
    <w:rsid w:val="00BA10D5"/>
    <w:rsid w:val="00BA1F64"/>
    <w:rsid w:val="00BA29E9"/>
    <w:rsid w:val="00BA63A1"/>
    <w:rsid w:val="00BA7142"/>
    <w:rsid w:val="00BB237C"/>
    <w:rsid w:val="00BB41A3"/>
    <w:rsid w:val="00BC32DC"/>
    <w:rsid w:val="00BC35B6"/>
    <w:rsid w:val="00BC3FE1"/>
    <w:rsid w:val="00BC5883"/>
    <w:rsid w:val="00BC67AF"/>
    <w:rsid w:val="00BD1B51"/>
    <w:rsid w:val="00BD4596"/>
    <w:rsid w:val="00BE1405"/>
    <w:rsid w:val="00BE2C2D"/>
    <w:rsid w:val="00BE312D"/>
    <w:rsid w:val="00BE32F1"/>
    <w:rsid w:val="00BF1C20"/>
    <w:rsid w:val="00BF4209"/>
    <w:rsid w:val="00C001F1"/>
    <w:rsid w:val="00C04AA7"/>
    <w:rsid w:val="00C0720A"/>
    <w:rsid w:val="00C10578"/>
    <w:rsid w:val="00C13568"/>
    <w:rsid w:val="00C135BC"/>
    <w:rsid w:val="00C15C95"/>
    <w:rsid w:val="00C16EB7"/>
    <w:rsid w:val="00C17E36"/>
    <w:rsid w:val="00C2474E"/>
    <w:rsid w:val="00C2596A"/>
    <w:rsid w:val="00C27537"/>
    <w:rsid w:val="00C328FE"/>
    <w:rsid w:val="00C33507"/>
    <w:rsid w:val="00C35454"/>
    <w:rsid w:val="00C4409D"/>
    <w:rsid w:val="00C44E72"/>
    <w:rsid w:val="00C45A06"/>
    <w:rsid w:val="00C46D2F"/>
    <w:rsid w:val="00C47E5B"/>
    <w:rsid w:val="00C532C3"/>
    <w:rsid w:val="00C56C3B"/>
    <w:rsid w:val="00C5717E"/>
    <w:rsid w:val="00C61E4B"/>
    <w:rsid w:val="00C64BFF"/>
    <w:rsid w:val="00C650E5"/>
    <w:rsid w:val="00C704E9"/>
    <w:rsid w:val="00C716CD"/>
    <w:rsid w:val="00C71E23"/>
    <w:rsid w:val="00C74C9A"/>
    <w:rsid w:val="00C757A4"/>
    <w:rsid w:val="00C763C9"/>
    <w:rsid w:val="00C80057"/>
    <w:rsid w:val="00C82232"/>
    <w:rsid w:val="00C82913"/>
    <w:rsid w:val="00C83EFE"/>
    <w:rsid w:val="00C93622"/>
    <w:rsid w:val="00C972B1"/>
    <w:rsid w:val="00CA1E15"/>
    <w:rsid w:val="00CA2CCE"/>
    <w:rsid w:val="00CA43FD"/>
    <w:rsid w:val="00CA7EF8"/>
    <w:rsid w:val="00CB1087"/>
    <w:rsid w:val="00CB1A3A"/>
    <w:rsid w:val="00CB235C"/>
    <w:rsid w:val="00CB5F75"/>
    <w:rsid w:val="00CC489B"/>
    <w:rsid w:val="00CD1842"/>
    <w:rsid w:val="00CD2BCD"/>
    <w:rsid w:val="00CD3A4C"/>
    <w:rsid w:val="00CE10E9"/>
    <w:rsid w:val="00CE2910"/>
    <w:rsid w:val="00CE2ABD"/>
    <w:rsid w:val="00CE5393"/>
    <w:rsid w:val="00CF27D9"/>
    <w:rsid w:val="00CF3149"/>
    <w:rsid w:val="00CF36BE"/>
    <w:rsid w:val="00CF6000"/>
    <w:rsid w:val="00CF6178"/>
    <w:rsid w:val="00CF77C2"/>
    <w:rsid w:val="00D003F3"/>
    <w:rsid w:val="00D02EA5"/>
    <w:rsid w:val="00D0364F"/>
    <w:rsid w:val="00D06834"/>
    <w:rsid w:val="00D07B52"/>
    <w:rsid w:val="00D11B2F"/>
    <w:rsid w:val="00D1631B"/>
    <w:rsid w:val="00D308ED"/>
    <w:rsid w:val="00D36D86"/>
    <w:rsid w:val="00D428AA"/>
    <w:rsid w:val="00D44BC4"/>
    <w:rsid w:val="00D46582"/>
    <w:rsid w:val="00D50A34"/>
    <w:rsid w:val="00D53EFA"/>
    <w:rsid w:val="00D57A28"/>
    <w:rsid w:val="00D629BB"/>
    <w:rsid w:val="00D64BBE"/>
    <w:rsid w:val="00D66B68"/>
    <w:rsid w:val="00D719C4"/>
    <w:rsid w:val="00D7434F"/>
    <w:rsid w:val="00D94A7C"/>
    <w:rsid w:val="00D95896"/>
    <w:rsid w:val="00D9594F"/>
    <w:rsid w:val="00DA1AA5"/>
    <w:rsid w:val="00DB2983"/>
    <w:rsid w:val="00DC0DE0"/>
    <w:rsid w:val="00DC1257"/>
    <w:rsid w:val="00DC3DC0"/>
    <w:rsid w:val="00DC4F3B"/>
    <w:rsid w:val="00DC5B2B"/>
    <w:rsid w:val="00DD318D"/>
    <w:rsid w:val="00DD6E10"/>
    <w:rsid w:val="00DF2E12"/>
    <w:rsid w:val="00DF514A"/>
    <w:rsid w:val="00DF6690"/>
    <w:rsid w:val="00DF6804"/>
    <w:rsid w:val="00E0358D"/>
    <w:rsid w:val="00E04323"/>
    <w:rsid w:val="00E05540"/>
    <w:rsid w:val="00E05B78"/>
    <w:rsid w:val="00E070A2"/>
    <w:rsid w:val="00E155A3"/>
    <w:rsid w:val="00E161C7"/>
    <w:rsid w:val="00E23C5D"/>
    <w:rsid w:val="00E25865"/>
    <w:rsid w:val="00E26324"/>
    <w:rsid w:val="00E2656A"/>
    <w:rsid w:val="00E3154C"/>
    <w:rsid w:val="00E32F5E"/>
    <w:rsid w:val="00E339CB"/>
    <w:rsid w:val="00E34BF7"/>
    <w:rsid w:val="00E412D0"/>
    <w:rsid w:val="00E50FFA"/>
    <w:rsid w:val="00E546D2"/>
    <w:rsid w:val="00E56322"/>
    <w:rsid w:val="00E60982"/>
    <w:rsid w:val="00E62C62"/>
    <w:rsid w:val="00E64E5B"/>
    <w:rsid w:val="00E654C1"/>
    <w:rsid w:val="00E65D97"/>
    <w:rsid w:val="00E667A3"/>
    <w:rsid w:val="00E71709"/>
    <w:rsid w:val="00E72A5A"/>
    <w:rsid w:val="00E73354"/>
    <w:rsid w:val="00E75031"/>
    <w:rsid w:val="00E9242D"/>
    <w:rsid w:val="00E92589"/>
    <w:rsid w:val="00EA2B3F"/>
    <w:rsid w:val="00EB35E8"/>
    <w:rsid w:val="00EB5255"/>
    <w:rsid w:val="00EB5C47"/>
    <w:rsid w:val="00EB5E78"/>
    <w:rsid w:val="00EB77CA"/>
    <w:rsid w:val="00ED0639"/>
    <w:rsid w:val="00EE277A"/>
    <w:rsid w:val="00EE38E1"/>
    <w:rsid w:val="00EF2C97"/>
    <w:rsid w:val="00EF2F36"/>
    <w:rsid w:val="00EF4755"/>
    <w:rsid w:val="00EF6BC2"/>
    <w:rsid w:val="00EF7135"/>
    <w:rsid w:val="00F027DB"/>
    <w:rsid w:val="00F0638D"/>
    <w:rsid w:val="00F07D35"/>
    <w:rsid w:val="00F13537"/>
    <w:rsid w:val="00F14A7A"/>
    <w:rsid w:val="00F22717"/>
    <w:rsid w:val="00F22985"/>
    <w:rsid w:val="00F3383E"/>
    <w:rsid w:val="00F4015B"/>
    <w:rsid w:val="00F465A7"/>
    <w:rsid w:val="00F47993"/>
    <w:rsid w:val="00F50B7C"/>
    <w:rsid w:val="00F5186E"/>
    <w:rsid w:val="00F51D3A"/>
    <w:rsid w:val="00F522CC"/>
    <w:rsid w:val="00F550E6"/>
    <w:rsid w:val="00F644EF"/>
    <w:rsid w:val="00F65A6A"/>
    <w:rsid w:val="00F67B0C"/>
    <w:rsid w:val="00F74345"/>
    <w:rsid w:val="00F76584"/>
    <w:rsid w:val="00F77FBD"/>
    <w:rsid w:val="00F80A0A"/>
    <w:rsid w:val="00F80A43"/>
    <w:rsid w:val="00F82935"/>
    <w:rsid w:val="00F82B19"/>
    <w:rsid w:val="00F85865"/>
    <w:rsid w:val="00F9212D"/>
    <w:rsid w:val="00F964ED"/>
    <w:rsid w:val="00F965DA"/>
    <w:rsid w:val="00FA226D"/>
    <w:rsid w:val="00FA406A"/>
    <w:rsid w:val="00FA5AE7"/>
    <w:rsid w:val="00FA6185"/>
    <w:rsid w:val="00FB503A"/>
    <w:rsid w:val="00FB516C"/>
    <w:rsid w:val="00FB535A"/>
    <w:rsid w:val="00FB6C23"/>
    <w:rsid w:val="00FC0DBA"/>
    <w:rsid w:val="00FD0236"/>
    <w:rsid w:val="00FD18F4"/>
    <w:rsid w:val="00FD54DB"/>
    <w:rsid w:val="00FD5F73"/>
    <w:rsid w:val="00FD619F"/>
    <w:rsid w:val="00FD7331"/>
    <w:rsid w:val="00FF5849"/>
    <w:rsid w:val="01290F7E"/>
    <w:rsid w:val="015D1E09"/>
    <w:rsid w:val="01613579"/>
    <w:rsid w:val="01667A72"/>
    <w:rsid w:val="017E5DB5"/>
    <w:rsid w:val="01A41C76"/>
    <w:rsid w:val="02697903"/>
    <w:rsid w:val="02A13A3D"/>
    <w:rsid w:val="02B01CF0"/>
    <w:rsid w:val="02F96569"/>
    <w:rsid w:val="03327FFF"/>
    <w:rsid w:val="03567AE8"/>
    <w:rsid w:val="03D3029D"/>
    <w:rsid w:val="03EA7B21"/>
    <w:rsid w:val="04167762"/>
    <w:rsid w:val="046F1CD6"/>
    <w:rsid w:val="04EA40B0"/>
    <w:rsid w:val="05862C73"/>
    <w:rsid w:val="05AF0906"/>
    <w:rsid w:val="05F83EAE"/>
    <w:rsid w:val="05FF1FBE"/>
    <w:rsid w:val="06346962"/>
    <w:rsid w:val="063E7D85"/>
    <w:rsid w:val="067973BB"/>
    <w:rsid w:val="06C13A1E"/>
    <w:rsid w:val="06D526A5"/>
    <w:rsid w:val="07293586"/>
    <w:rsid w:val="07295285"/>
    <w:rsid w:val="07371D0B"/>
    <w:rsid w:val="075B63F5"/>
    <w:rsid w:val="07636392"/>
    <w:rsid w:val="07770C56"/>
    <w:rsid w:val="07F661F3"/>
    <w:rsid w:val="085D62A0"/>
    <w:rsid w:val="08CC664F"/>
    <w:rsid w:val="092217DD"/>
    <w:rsid w:val="093A7294"/>
    <w:rsid w:val="09696ECC"/>
    <w:rsid w:val="0996584F"/>
    <w:rsid w:val="09C00F4F"/>
    <w:rsid w:val="0A263993"/>
    <w:rsid w:val="0A2D3AC2"/>
    <w:rsid w:val="0A3D23CE"/>
    <w:rsid w:val="0A663D59"/>
    <w:rsid w:val="0AA72E41"/>
    <w:rsid w:val="0AA755DF"/>
    <w:rsid w:val="0AA965EA"/>
    <w:rsid w:val="0AC713E3"/>
    <w:rsid w:val="0B0557E8"/>
    <w:rsid w:val="0B096297"/>
    <w:rsid w:val="0B120D44"/>
    <w:rsid w:val="0BD27BF6"/>
    <w:rsid w:val="0BEB5A72"/>
    <w:rsid w:val="0C196F63"/>
    <w:rsid w:val="0C2A3EAC"/>
    <w:rsid w:val="0C3B3C7D"/>
    <w:rsid w:val="0C437A6D"/>
    <w:rsid w:val="0C6F08DE"/>
    <w:rsid w:val="0C9908B9"/>
    <w:rsid w:val="0CAB2EAE"/>
    <w:rsid w:val="0CAE3729"/>
    <w:rsid w:val="0CC30535"/>
    <w:rsid w:val="0D1C6001"/>
    <w:rsid w:val="0D621C7D"/>
    <w:rsid w:val="0D663A6D"/>
    <w:rsid w:val="0D9109A3"/>
    <w:rsid w:val="0DB967B0"/>
    <w:rsid w:val="0DDB3C48"/>
    <w:rsid w:val="0E414845"/>
    <w:rsid w:val="0E73034D"/>
    <w:rsid w:val="0EA8240F"/>
    <w:rsid w:val="0F13775A"/>
    <w:rsid w:val="0F475837"/>
    <w:rsid w:val="0F581CBB"/>
    <w:rsid w:val="0F5F45FE"/>
    <w:rsid w:val="0F994737"/>
    <w:rsid w:val="0F9A112B"/>
    <w:rsid w:val="10561B58"/>
    <w:rsid w:val="106D2F64"/>
    <w:rsid w:val="10955E55"/>
    <w:rsid w:val="10B63710"/>
    <w:rsid w:val="10F10820"/>
    <w:rsid w:val="110B22AD"/>
    <w:rsid w:val="111C2F7A"/>
    <w:rsid w:val="11665CA1"/>
    <w:rsid w:val="116D6B46"/>
    <w:rsid w:val="1180685D"/>
    <w:rsid w:val="123A1B23"/>
    <w:rsid w:val="125464CA"/>
    <w:rsid w:val="12704669"/>
    <w:rsid w:val="127B4751"/>
    <w:rsid w:val="12A45495"/>
    <w:rsid w:val="12C64E47"/>
    <w:rsid w:val="13951726"/>
    <w:rsid w:val="139F6F1B"/>
    <w:rsid w:val="13AB5210"/>
    <w:rsid w:val="13E7447D"/>
    <w:rsid w:val="14396509"/>
    <w:rsid w:val="143B6659"/>
    <w:rsid w:val="14D75A5A"/>
    <w:rsid w:val="14DD2C3C"/>
    <w:rsid w:val="15311BDE"/>
    <w:rsid w:val="15BC0CDE"/>
    <w:rsid w:val="16087E1D"/>
    <w:rsid w:val="16B25BDD"/>
    <w:rsid w:val="174303D0"/>
    <w:rsid w:val="17701D14"/>
    <w:rsid w:val="17735226"/>
    <w:rsid w:val="17901071"/>
    <w:rsid w:val="17DA26AB"/>
    <w:rsid w:val="18760DAA"/>
    <w:rsid w:val="189F624C"/>
    <w:rsid w:val="18B36C0A"/>
    <w:rsid w:val="18DD5001"/>
    <w:rsid w:val="19285350"/>
    <w:rsid w:val="193321D3"/>
    <w:rsid w:val="19461B87"/>
    <w:rsid w:val="195011A4"/>
    <w:rsid w:val="199936AE"/>
    <w:rsid w:val="19AA0921"/>
    <w:rsid w:val="19CA2F22"/>
    <w:rsid w:val="19EF0452"/>
    <w:rsid w:val="1A1C66C0"/>
    <w:rsid w:val="1A42393B"/>
    <w:rsid w:val="1A991EA7"/>
    <w:rsid w:val="1AAD45DE"/>
    <w:rsid w:val="1AE42F80"/>
    <w:rsid w:val="1B046F80"/>
    <w:rsid w:val="1B3267B5"/>
    <w:rsid w:val="1B40161D"/>
    <w:rsid w:val="1B441859"/>
    <w:rsid w:val="1B6606B1"/>
    <w:rsid w:val="1C5E7925"/>
    <w:rsid w:val="1CE62E58"/>
    <w:rsid w:val="1CFD070F"/>
    <w:rsid w:val="1D0E53B1"/>
    <w:rsid w:val="1D5F6196"/>
    <w:rsid w:val="1D6132A5"/>
    <w:rsid w:val="1D806DCA"/>
    <w:rsid w:val="1D8E56D5"/>
    <w:rsid w:val="1E1B4C2F"/>
    <w:rsid w:val="1E7A43DA"/>
    <w:rsid w:val="1EC50E71"/>
    <w:rsid w:val="1F2E611F"/>
    <w:rsid w:val="1F456136"/>
    <w:rsid w:val="1FB614E4"/>
    <w:rsid w:val="1FE7539E"/>
    <w:rsid w:val="1FF73A1D"/>
    <w:rsid w:val="200F6B7B"/>
    <w:rsid w:val="20343C8A"/>
    <w:rsid w:val="20671BE0"/>
    <w:rsid w:val="207246E5"/>
    <w:rsid w:val="20963CB8"/>
    <w:rsid w:val="20A81A1B"/>
    <w:rsid w:val="20B07FB6"/>
    <w:rsid w:val="20B646FB"/>
    <w:rsid w:val="20E34147"/>
    <w:rsid w:val="211C5025"/>
    <w:rsid w:val="212479AA"/>
    <w:rsid w:val="213B74B1"/>
    <w:rsid w:val="213F000F"/>
    <w:rsid w:val="214A69CD"/>
    <w:rsid w:val="215A2310"/>
    <w:rsid w:val="217842C6"/>
    <w:rsid w:val="21933D3C"/>
    <w:rsid w:val="21B6608B"/>
    <w:rsid w:val="21CF30A0"/>
    <w:rsid w:val="21DE318A"/>
    <w:rsid w:val="21DF2C72"/>
    <w:rsid w:val="21EF5B80"/>
    <w:rsid w:val="222C024C"/>
    <w:rsid w:val="22576990"/>
    <w:rsid w:val="226E4798"/>
    <w:rsid w:val="2272042F"/>
    <w:rsid w:val="228A1F0C"/>
    <w:rsid w:val="229D410E"/>
    <w:rsid w:val="22F47480"/>
    <w:rsid w:val="23225680"/>
    <w:rsid w:val="233E3A27"/>
    <w:rsid w:val="23A14B60"/>
    <w:rsid w:val="23D23177"/>
    <w:rsid w:val="23DE1C48"/>
    <w:rsid w:val="240210CD"/>
    <w:rsid w:val="2488620E"/>
    <w:rsid w:val="24BF09F7"/>
    <w:rsid w:val="252D53FE"/>
    <w:rsid w:val="25E924D6"/>
    <w:rsid w:val="25EC2D81"/>
    <w:rsid w:val="2606714D"/>
    <w:rsid w:val="260B3FBC"/>
    <w:rsid w:val="270C55DF"/>
    <w:rsid w:val="277057A2"/>
    <w:rsid w:val="283F228F"/>
    <w:rsid w:val="284B73CE"/>
    <w:rsid w:val="28796798"/>
    <w:rsid w:val="28807C9C"/>
    <w:rsid w:val="28C70391"/>
    <w:rsid w:val="29206EB8"/>
    <w:rsid w:val="29595666"/>
    <w:rsid w:val="29827BC1"/>
    <w:rsid w:val="29874881"/>
    <w:rsid w:val="29995B51"/>
    <w:rsid w:val="29E325E0"/>
    <w:rsid w:val="2A452503"/>
    <w:rsid w:val="2AAB0C91"/>
    <w:rsid w:val="2BA936A8"/>
    <w:rsid w:val="2C0442DA"/>
    <w:rsid w:val="2C315A5A"/>
    <w:rsid w:val="2C4B1C25"/>
    <w:rsid w:val="2C52679E"/>
    <w:rsid w:val="2C6D343E"/>
    <w:rsid w:val="2C747879"/>
    <w:rsid w:val="2CB010C4"/>
    <w:rsid w:val="2CEC31AD"/>
    <w:rsid w:val="2CF17A45"/>
    <w:rsid w:val="2D3724F1"/>
    <w:rsid w:val="2D7B4196"/>
    <w:rsid w:val="2D9E56F5"/>
    <w:rsid w:val="2DEE5F6F"/>
    <w:rsid w:val="2E667F96"/>
    <w:rsid w:val="2E744F16"/>
    <w:rsid w:val="2E8226AB"/>
    <w:rsid w:val="2EC85A55"/>
    <w:rsid w:val="2ED300C7"/>
    <w:rsid w:val="2F0C1BCA"/>
    <w:rsid w:val="2F0F561A"/>
    <w:rsid w:val="2FD065E6"/>
    <w:rsid w:val="2FD96870"/>
    <w:rsid w:val="30043908"/>
    <w:rsid w:val="300B642F"/>
    <w:rsid w:val="30580BC9"/>
    <w:rsid w:val="30667818"/>
    <w:rsid w:val="30AE21AB"/>
    <w:rsid w:val="31120FD6"/>
    <w:rsid w:val="311E2ED7"/>
    <w:rsid w:val="315619EE"/>
    <w:rsid w:val="315C449C"/>
    <w:rsid w:val="317470D2"/>
    <w:rsid w:val="31B60A85"/>
    <w:rsid w:val="31B82709"/>
    <w:rsid w:val="31D05482"/>
    <w:rsid w:val="320C537B"/>
    <w:rsid w:val="32400B34"/>
    <w:rsid w:val="32536ED5"/>
    <w:rsid w:val="328E6953"/>
    <w:rsid w:val="32985A3A"/>
    <w:rsid w:val="329E6876"/>
    <w:rsid w:val="32AA7658"/>
    <w:rsid w:val="32B37EA5"/>
    <w:rsid w:val="32B46040"/>
    <w:rsid w:val="33072A6A"/>
    <w:rsid w:val="333015F2"/>
    <w:rsid w:val="334B6320"/>
    <w:rsid w:val="33A02132"/>
    <w:rsid w:val="33B63324"/>
    <w:rsid w:val="33D934D4"/>
    <w:rsid w:val="33F83E45"/>
    <w:rsid w:val="33FE2F6A"/>
    <w:rsid w:val="340E07E5"/>
    <w:rsid w:val="34235BF7"/>
    <w:rsid w:val="3467256C"/>
    <w:rsid w:val="34C1582D"/>
    <w:rsid w:val="34C50DA2"/>
    <w:rsid w:val="34E87A58"/>
    <w:rsid w:val="3536731A"/>
    <w:rsid w:val="358C5FA8"/>
    <w:rsid w:val="35C15DF1"/>
    <w:rsid w:val="35E548A3"/>
    <w:rsid w:val="3605059E"/>
    <w:rsid w:val="36074A7F"/>
    <w:rsid w:val="365C2D9F"/>
    <w:rsid w:val="36635C2C"/>
    <w:rsid w:val="366D3AC9"/>
    <w:rsid w:val="369205A4"/>
    <w:rsid w:val="36923549"/>
    <w:rsid w:val="369B4A10"/>
    <w:rsid w:val="36B75FBF"/>
    <w:rsid w:val="36BD0C45"/>
    <w:rsid w:val="37233431"/>
    <w:rsid w:val="37990723"/>
    <w:rsid w:val="37A74FD1"/>
    <w:rsid w:val="37CE06A1"/>
    <w:rsid w:val="37D84C54"/>
    <w:rsid w:val="37DC1C8D"/>
    <w:rsid w:val="37E00298"/>
    <w:rsid w:val="380C2D0A"/>
    <w:rsid w:val="385750F0"/>
    <w:rsid w:val="38641AB7"/>
    <w:rsid w:val="388D2FD0"/>
    <w:rsid w:val="38B302F9"/>
    <w:rsid w:val="38CB6DB8"/>
    <w:rsid w:val="38DF04DF"/>
    <w:rsid w:val="38F12CD3"/>
    <w:rsid w:val="38F94775"/>
    <w:rsid w:val="38FE7A29"/>
    <w:rsid w:val="390B15DD"/>
    <w:rsid w:val="392971ED"/>
    <w:rsid w:val="39325651"/>
    <w:rsid w:val="3A0E0035"/>
    <w:rsid w:val="3A872856"/>
    <w:rsid w:val="3A890D97"/>
    <w:rsid w:val="3AA33FA3"/>
    <w:rsid w:val="3AC141E6"/>
    <w:rsid w:val="3B320494"/>
    <w:rsid w:val="3B3763D1"/>
    <w:rsid w:val="3C0E2679"/>
    <w:rsid w:val="3C2F5AB2"/>
    <w:rsid w:val="3C2F6E1E"/>
    <w:rsid w:val="3C4F64BA"/>
    <w:rsid w:val="3C576603"/>
    <w:rsid w:val="3CDA245A"/>
    <w:rsid w:val="3CDD1423"/>
    <w:rsid w:val="3CF37B96"/>
    <w:rsid w:val="3D1045C9"/>
    <w:rsid w:val="3D170E22"/>
    <w:rsid w:val="3D1A79CC"/>
    <w:rsid w:val="3D1E06B7"/>
    <w:rsid w:val="3D271C45"/>
    <w:rsid w:val="3D2A5C4A"/>
    <w:rsid w:val="3D61234F"/>
    <w:rsid w:val="3D853747"/>
    <w:rsid w:val="3DA73085"/>
    <w:rsid w:val="3DB0162F"/>
    <w:rsid w:val="3E2F216B"/>
    <w:rsid w:val="3E6B0AC8"/>
    <w:rsid w:val="3ED25CC2"/>
    <w:rsid w:val="3ED93972"/>
    <w:rsid w:val="3EDA0523"/>
    <w:rsid w:val="3EDC0EA4"/>
    <w:rsid w:val="3F2317EC"/>
    <w:rsid w:val="3F3167B6"/>
    <w:rsid w:val="3F91390E"/>
    <w:rsid w:val="40037546"/>
    <w:rsid w:val="400F3C36"/>
    <w:rsid w:val="4042208B"/>
    <w:rsid w:val="406108D4"/>
    <w:rsid w:val="407A6407"/>
    <w:rsid w:val="40EC4FDD"/>
    <w:rsid w:val="40ED7556"/>
    <w:rsid w:val="4134715C"/>
    <w:rsid w:val="41392D68"/>
    <w:rsid w:val="419C73DA"/>
    <w:rsid w:val="41A437D5"/>
    <w:rsid w:val="4200449D"/>
    <w:rsid w:val="423A3BCC"/>
    <w:rsid w:val="424E57D2"/>
    <w:rsid w:val="427137C6"/>
    <w:rsid w:val="42940086"/>
    <w:rsid w:val="42AE0E26"/>
    <w:rsid w:val="42B26C49"/>
    <w:rsid w:val="433A6FE6"/>
    <w:rsid w:val="43462F7B"/>
    <w:rsid w:val="43480868"/>
    <w:rsid w:val="4350713C"/>
    <w:rsid w:val="435F3AD6"/>
    <w:rsid w:val="436653E0"/>
    <w:rsid w:val="43BC143C"/>
    <w:rsid w:val="43C4431A"/>
    <w:rsid w:val="43C44F29"/>
    <w:rsid w:val="43EE35BD"/>
    <w:rsid w:val="446F7EC3"/>
    <w:rsid w:val="44B951CC"/>
    <w:rsid w:val="44CD14E0"/>
    <w:rsid w:val="44D160F0"/>
    <w:rsid w:val="44DB4D59"/>
    <w:rsid w:val="44DD37CB"/>
    <w:rsid w:val="44F20B0B"/>
    <w:rsid w:val="452E5F4C"/>
    <w:rsid w:val="45612018"/>
    <w:rsid w:val="45671EA4"/>
    <w:rsid w:val="45700D00"/>
    <w:rsid w:val="458946E9"/>
    <w:rsid w:val="4597723C"/>
    <w:rsid w:val="45A47C0E"/>
    <w:rsid w:val="45E02B54"/>
    <w:rsid w:val="46577FD6"/>
    <w:rsid w:val="465A4023"/>
    <w:rsid w:val="46645B06"/>
    <w:rsid w:val="468E4089"/>
    <w:rsid w:val="469A6C0E"/>
    <w:rsid w:val="46D60F57"/>
    <w:rsid w:val="46D955A7"/>
    <w:rsid w:val="46EC7473"/>
    <w:rsid w:val="47133957"/>
    <w:rsid w:val="47A07E0C"/>
    <w:rsid w:val="480B0318"/>
    <w:rsid w:val="4870272E"/>
    <w:rsid w:val="493840B9"/>
    <w:rsid w:val="49962A4E"/>
    <w:rsid w:val="49AE0D67"/>
    <w:rsid w:val="49DC7715"/>
    <w:rsid w:val="49DF63D4"/>
    <w:rsid w:val="49F07291"/>
    <w:rsid w:val="4A023139"/>
    <w:rsid w:val="4A7B576F"/>
    <w:rsid w:val="4AF561A9"/>
    <w:rsid w:val="4B18702F"/>
    <w:rsid w:val="4BE44D6D"/>
    <w:rsid w:val="4BFA47F8"/>
    <w:rsid w:val="4C48306B"/>
    <w:rsid w:val="4C4A0649"/>
    <w:rsid w:val="4C7E5ECA"/>
    <w:rsid w:val="4C876AA5"/>
    <w:rsid w:val="4D0E00FB"/>
    <w:rsid w:val="4D176606"/>
    <w:rsid w:val="4D532D26"/>
    <w:rsid w:val="4DEC4FB0"/>
    <w:rsid w:val="4E075D8A"/>
    <w:rsid w:val="4EB92E46"/>
    <w:rsid w:val="4EC00FAD"/>
    <w:rsid w:val="4EFD7B10"/>
    <w:rsid w:val="4F1F399B"/>
    <w:rsid w:val="4F2F717A"/>
    <w:rsid w:val="4F3C3CA5"/>
    <w:rsid w:val="4F5510CA"/>
    <w:rsid w:val="4F5A2125"/>
    <w:rsid w:val="4F9843DC"/>
    <w:rsid w:val="4FC62A8C"/>
    <w:rsid w:val="4FE20F0D"/>
    <w:rsid w:val="4FE51552"/>
    <w:rsid w:val="4FE931DF"/>
    <w:rsid w:val="4FF73E01"/>
    <w:rsid w:val="50261E0D"/>
    <w:rsid w:val="50504C4B"/>
    <w:rsid w:val="506C03E2"/>
    <w:rsid w:val="5077674B"/>
    <w:rsid w:val="509C6E7C"/>
    <w:rsid w:val="50AA53A8"/>
    <w:rsid w:val="50BD0797"/>
    <w:rsid w:val="50F173CF"/>
    <w:rsid w:val="51492FD1"/>
    <w:rsid w:val="51606922"/>
    <w:rsid w:val="5162104E"/>
    <w:rsid w:val="516A12D3"/>
    <w:rsid w:val="52982886"/>
    <w:rsid w:val="52AA08CB"/>
    <w:rsid w:val="52CD657C"/>
    <w:rsid w:val="52DD483F"/>
    <w:rsid w:val="52E63E8A"/>
    <w:rsid w:val="53153F11"/>
    <w:rsid w:val="5361118B"/>
    <w:rsid w:val="53A039CC"/>
    <w:rsid w:val="53A1505A"/>
    <w:rsid w:val="53DF44A0"/>
    <w:rsid w:val="54063E08"/>
    <w:rsid w:val="543437E8"/>
    <w:rsid w:val="546450D5"/>
    <w:rsid w:val="54AB0F92"/>
    <w:rsid w:val="54F73313"/>
    <w:rsid w:val="54F80955"/>
    <w:rsid w:val="55115C72"/>
    <w:rsid w:val="55271600"/>
    <w:rsid w:val="555170A7"/>
    <w:rsid w:val="55690B1F"/>
    <w:rsid w:val="5587536D"/>
    <w:rsid w:val="559B174B"/>
    <w:rsid w:val="55A417D6"/>
    <w:rsid w:val="55CE0CF4"/>
    <w:rsid w:val="55E67F10"/>
    <w:rsid w:val="56036E86"/>
    <w:rsid w:val="560F5C7D"/>
    <w:rsid w:val="5659590A"/>
    <w:rsid w:val="56B22A9C"/>
    <w:rsid w:val="56F36568"/>
    <w:rsid w:val="57B72A76"/>
    <w:rsid w:val="57C3426C"/>
    <w:rsid w:val="57CE1F93"/>
    <w:rsid w:val="588743D1"/>
    <w:rsid w:val="5887701A"/>
    <w:rsid w:val="588A7A3B"/>
    <w:rsid w:val="58B8154B"/>
    <w:rsid w:val="58FF0638"/>
    <w:rsid w:val="592F60CC"/>
    <w:rsid w:val="59C0439F"/>
    <w:rsid w:val="59D06E3B"/>
    <w:rsid w:val="59E6661A"/>
    <w:rsid w:val="5A186A60"/>
    <w:rsid w:val="5A3C7938"/>
    <w:rsid w:val="5A4E5A2A"/>
    <w:rsid w:val="5ABE2233"/>
    <w:rsid w:val="5B0D7DCF"/>
    <w:rsid w:val="5B2C1E06"/>
    <w:rsid w:val="5B746DD3"/>
    <w:rsid w:val="5BD43203"/>
    <w:rsid w:val="5BDF5D95"/>
    <w:rsid w:val="5BFE7528"/>
    <w:rsid w:val="5C867162"/>
    <w:rsid w:val="5C8A538F"/>
    <w:rsid w:val="5D565FE8"/>
    <w:rsid w:val="5D64480F"/>
    <w:rsid w:val="5D653AEE"/>
    <w:rsid w:val="5D8869D9"/>
    <w:rsid w:val="5E2467F1"/>
    <w:rsid w:val="5EA82A39"/>
    <w:rsid w:val="5F1A2B43"/>
    <w:rsid w:val="5F264999"/>
    <w:rsid w:val="5F2E6FB5"/>
    <w:rsid w:val="5F916E44"/>
    <w:rsid w:val="5FA76ED7"/>
    <w:rsid w:val="5FB837BB"/>
    <w:rsid w:val="5FD479CC"/>
    <w:rsid w:val="608D6462"/>
    <w:rsid w:val="60CC405A"/>
    <w:rsid w:val="60D372F6"/>
    <w:rsid w:val="60F70124"/>
    <w:rsid w:val="60FA3B33"/>
    <w:rsid w:val="61E215D8"/>
    <w:rsid w:val="61FF6256"/>
    <w:rsid w:val="62033D71"/>
    <w:rsid w:val="621B3775"/>
    <w:rsid w:val="62364782"/>
    <w:rsid w:val="624353D1"/>
    <w:rsid w:val="62B85A04"/>
    <w:rsid w:val="63051C4A"/>
    <w:rsid w:val="634B2673"/>
    <w:rsid w:val="6394356A"/>
    <w:rsid w:val="63946534"/>
    <w:rsid w:val="63C61B2C"/>
    <w:rsid w:val="63D40BE9"/>
    <w:rsid w:val="64102431"/>
    <w:rsid w:val="648D549D"/>
    <w:rsid w:val="64A5243A"/>
    <w:rsid w:val="64C74C55"/>
    <w:rsid w:val="64DA4B93"/>
    <w:rsid w:val="64F12FA2"/>
    <w:rsid w:val="64F531DE"/>
    <w:rsid w:val="65252E39"/>
    <w:rsid w:val="65363107"/>
    <w:rsid w:val="65373578"/>
    <w:rsid w:val="656917F3"/>
    <w:rsid w:val="657B3841"/>
    <w:rsid w:val="6585664B"/>
    <w:rsid w:val="65CA6ED8"/>
    <w:rsid w:val="65D56BA1"/>
    <w:rsid w:val="661E6DFF"/>
    <w:rsid w:val="66393E85"/>
    <w:rsid w:val="66920388"/>
    <w:rsid w:val="670A5DC3"/>
    <w:rsid w:val="671F124A"/>
    <w:rsid w:val="67276066"/>
    <w:rsid w:val="6768680C"/>
    <w:rsid w:val="677A33C6"/>
    <w:rsid w:val="67CE1767"/>
    <w:rsid w:val="681F6961"/>
    <w:rsid w:val="68334CE6"/>
    <w:rsid w:val="68610A2F"/>
    <w:rsid w:val="68805514"/>
    <w:rsid w:val="68EA5265"/>
    <w:rsid w:val="69316E2F"/>
    <w:rsid w:val="693D0ECF"/>
    <w:rsid w:val="694E2071"/>
    <w:rsid w:val="697008E4"/>
    <w:rsid w:val="69766163"/>
    <w:rsid w:val="697A3B33"/>
    <w:rsid w:val="697C6337"/>
    <w:rsid w:val="69D44760"/>
    <w:rsid w:val="69F94455"/>
    <w:rsid w:val="6A0F3D52"/>
    <w:rsid w:val="6A3D7B71"/>
    <w:rsid w:val="6A520EC7"/>
    <w:rsid w:val="6AAA1E21"/>
    <w:rsid w:val="6AC44117"/>
    <w:rsid w:val="6AF87E20"/>
    <w:rsid w:val="6B026A4E"/>
    <w:rsid w:val="6B08644A"/>
    <w:rsid w:val="6B143456"/>
    <w:rsid w:val="6B322639"/>
    <w:rsid w:val="6B9234D3"/>
    <w:rsid w:val="6B9E6138"/>
    <w:rsid w:val="6B9F73DB"/>
    <w:rsid w:val="6BE565FB"/>
    <w:rsid w:val="6C636C38"/>
    <w:rsid w:val="6C881201"/>
    <w:rsid w:val="6C942D67"/>
    <w:rsid w:val="6CD27749"/>
    <w:rsid w:val="6CE960C9"/>
    <w:rsid w:val="6D1B0CCE"/>
    <w:rsid w:val="6D3D643A"/>
    <w:rsid w:val="6D8C2DF4"/>
    <w:rsid w:val="6D973D98"/>
    <w:rsid w:val="6DB34098"/>
    <w:rsid w:val="6DB545B6"/>
    <w:rsid w:val="6DE02FB4"/>
    <w:rsid w:val="6E514CED"/>
    <w:rsid w:val="6EA37508"/>
    <w:rsid w:val="6EB563D5"/>
    <w:rsid w:val="6EBC67B8"/>
    <w:rsid w:val="6ED92677"/>
    <w:rsid w:val="6EE94C10"/>
    <w:rsid w:val="6F213FA1"/>
    <w:rsid w:val="6F225983"/>
    <w:rsid w:val="6F3D5CC5"/>
    <w:rsid w:val="6F782350"/>
    <w:rsid w:val="6FFC5590"/>
    <w:rsid w:val="701D25B8"/>
    <w:rsid w:val="70576021"/>
    <w:rsid w:val="706D1DD0"/>
    <w:rsid w:val="707B337B"/>
    <w:rsid w:val="70856B87"/>
    <w:rsid w:val="70D527EE"/>
    <w:rsid w:val="70ED79B3"/>
    <w:rsid w:val="711846B1"/>
    <w:rsid w:val="715B5300"/>
    <w:rsid w:val="7162526B"/>
    <w:rsid w:val="71D05A85"/>
    <w:rsid w:val="71D27F8A"/>
    <w:rsid w:val="71F11E67"/>
    <w:rsid w:val="72324555"/>
    <w:rsid w:val="72553024"/>
    <w:rsid w:val="730179B0"/>
    <w:rsid w:val="73122968"/>
    <w:rsid w:val="731F5D5E"/>
    <w:rsid w:val="73C51AD5"/>
    <w:rsid w:val="741E793C"/>
    <w:rsid w:val="745E3944"/>
    <w:rsid w:val="74E22286"/>
    <w:rsid w:val="75546968"/>
    <w:rsid w:val="755C1784"/>
    <w:rsid w:val="756B430C"/>
    <w:rsid w:val="75785319"/>
    <w:rsid w:val="75C4371E"/>
    <w:rsid w:val="75F87227"/>
    <w:rsid w:val="760F7725"/>
    <w:rsid w:val="7635099D"/>
    <w:rsid w:val="7666731C"/>
    <w:rsid w:val="77762421"/>
    <w:rsid w:val="77B56B1F"/>
    <w:rsid w:val="77EB4FD0"/>
    <w:rsid w:val="77FC7CAD"/>
    <w:rsid w:val="77FD490F"/>
    <w:rsid w:val="780F09F4"/>
    <w:rsid w:val="7852265D"/>
    <w:rsid w:val="78A90480"/>
    <w:rsid w:val="79113C44"/>
    <w:rsid w:val="794E428F"/>
    <w:rsid w:val="79BA188A"/>
    <w:rsid w:val="7A022DBD"/>
    <w:rsid w:val="7A364017"/>
    <w:rsid w:val="7A8265E1"/>
    <w:rsid w:val="7B331100"/>
    <w:rsid w:val="7B686D42"/>
    <w:rsid w:val="7B841746"/>
    <w:rsid w:val="7BB55E00"/>
    <w:rsid w:val="7BF23920"/>
    <w:rsid w:val="7C1618B1"/>
    <w:rsid w:val="7C3E7C33"/>
    <w:rsid w:val="7C6C5AC7"/>
    <w:rsid w:val="7C937EA1"/>
    <w:rsid w:val="7CA376E0"/>
    <w:rsid w:val="7CC6067F"/>
    <w:rsid w:val="7CC6544B"/>
    <w:rsid w:val="7CD82504"/>
    <w:rsid w:val="7D0239FF"/>
    <w:rsid w:val="7D5E40CD"/>
    <w:rsid w:val="7DCD56F2"/>
    <w:rsid w:val="7E8D42DF"/>
    <w:rsid w:val="7E9E7775"/>
    <w:rsid w:val="7EC32897"/>
    <w:rsid w:val="7F001CE7"/>
    <w:rsid w:val="7F037921"/>
    <w:rsid w:val="7FCE098C"/>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qFormat="1" w:uiPriority="39"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name="annotation reference"/>
    <w:lsdException w:unhideWhenUsed="0" w:uiPriority="0" w:semiHidden="0" w:name="line number" w:locked="1"/>
    <w:lsdException w:qFormat="1" w:unhideWhenUsed="0" w:uiPriority="0" w:semiHidden="0" w:name="page number" w:locked="1"/>
    <w:lsdException w:qFormat="1" w:uiPriority="99" w:semiHidden="0" w:name="endnote reference" w:locked="1"/>
    <w:lsdException w:qFormat="1" w:uiPriority="99"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qFormat="1"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59"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45"/>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46"/>
    <w:autoRedefine/>
    <w:qFormat/>
    <w:locked/>
    <w:uiPriority w:val="0"/>
    <w:pPr>
      <w:keepNext/>
      <w:keepLines/>
      <w:spacing w:before="260" w:after="260" w:line="413" w:lineRule="auto"/>
      <w:outlineLvl w:val="1"/>
    </w:pPr>
    <w:rPr>
      <w:rFonts w:ascii="Arial" w:hAnsi="Arial" w:eastAsia="黑体"/>
      <w:b/>
      <w:sz w:val="32"/>
      <w:szCs w:val="20"/>
    </w:rPr>
  </w:style>
  <w:style w:type="paragraph" w:styleId="5">
    <w:name w:val="heading 3"/>
    <w:basedOn w:val="1"/>
    <w:next w:val="1"/>
    <w:link w:val="47"/>
    <w:autoRedefine/>
    <w:qFormat/>
    <w:locked/>
    <w:uiPriority w:val="0"/>
    <w:pPr>
      <w:keepNext/>
      <w:keepLines/>
      <w:spacing w:before="260" w:after="260" w:line="413" w:lineRule="auto"/>
      <w:outlineLvl w:val="2"/>
    </w:pPr>
    <w:rPr>
      <w:b/>
      <w:sz w:val="32"/>
      <w:szCs w:val="20"/>
    </w:rPr>
  </w:style>
  <w:style w:type="paragraph" w:styleId="6">
    <w:name w:val="heading 4"/>
    <w:basedOn w:val="1"/>
    <w:next w:val="1"/>
    <w:link w:val="48"/>
    <w:autoRedefine/>
    <w:qFormat/>
    <w:locked/>
    <w:uiPriority w:val="0"/>
    <w:pPr>
      <w:keepNext/>
      <w:keepLines/>
      <w:spacing w:before="280" w:after="290" w:line="372" w:lineRule="auto"/>
      <w:outlineLvl w:val="3"/>
    </w:pPr>
    <w:rPr>
      <w:rFonts w:ascii="Arial" w:hAnsi="Arial" w:eastAsia="黑体"/>
      <w:b/>
      <w:sz w:val="28"/>
      <w:szCs w:val="20"/>
    </w:rPr>
  </w:style>
  <w:style w:type="paragraph" w:styleId="7">
    <w:name w:val="heading 5"/>
    <w:basedOn w:val="1"/>
    <w:next w:val="1"/>
    <w:link w:val="49"/>
    <w:autoRedefine/>
    <w:qFormat/>
    <w:locked/>
    <w:uiPriority w:val="0"/>
    <w:pPr>
      <w:keepNext/>
      <w:keepLines/>
      <w:spacing w:before="280" w:after="290" w:line="372" w:lineRule="auto"/>
      <w:outlineLvl w:val="4"/>
    </w:pPr>
    <w:rPr>
      <w:b/>
      <w:bCs/>
      <w:sz w:val="28"/>
      <w:szCs w:val="28"/>
    </w:rPr>
  </w:style>
  <w:style w:type="character" w:default="1" w:styleId="36">
    <w:name w:val="Default Paragraph Font"/>
    <w:autoRedefine/>
    <w:semiHidden/>
    <w:qFormat/>
    <w:uiPriority w:val="0"/>
  </w:style>
  <w:style w:type="table" w:default="1" w:styleId="34">
    <w:name w:val="Normal Table"/>
    <w:autoRedefine/>
    <w:semiHidden/>
    <w:qFormat/>
    <w:uiPriority w:val="0"/>
    <w:tblPr>
      <w:tblCellMar>
        <w:top w:w="0" w:type="dxa"/>
        <w:left w:w="108" w:type="dxa"/>
        <w:bottom w:w="0" w:type="dxa"/>
        <w:right w:w="108" w:type="dxa"/>
      </w:tblCellMar>
    </w:tblPr>
  </w:style>
  <w:style w:type="paragraph" w:styleId="2">
    <w:name w:val="Block Text"/>
    <w:basedOn w:val="1"/>
    <w:next w:val="1"/>
    <w:autoRedefine/>
    <w:qFormat/>
    <w:locked/>
    <w:uiPriority w:val="0"/>
    <w:pPr>
      <w:snapToGrid w:val="0"/>
      <w:spacing w:line="408" w:lineRule="auto"/>
      <w:ind w:left="-113" w:right="-510" w:firstLine="510"/>
    </w:pPr>
    <w:rPr>
      <w:sz w:val="24"/>
      <w:szCs w:val="20"/>
    </w:rPr>
  </w:style>
  <w:style w:type="paragraph" w:styleId="8">
    <w:name w:val="Note Heading"/>
    <w:basedOn w:val="1"/>
    <w:next w:val="1"/>
    <w:link w:val="50"/>
    <w:autoRedefine/>
    <w:qFormat/>
    <w:locked/>
    <w:uiPriority w:val="0"/>
    <w:pPr>
      <w:jc w:val="center"/>
    </w:pPr>
    <w:rPr>
      <w:rFonts w:ascii="Calibri" w:hAnsi="Calibri"/>
      <w:szCs w:val="22"/>
    </w:rPr>
  </w:style>
  <w:style w:type="paragraph" w:styleId="9">
    <w:name w:val="List Number"/>
    <w:basedOn w:val="1"/>
    <w:autoRedefine/>
    <w:qFormat/>
    <w:locked/>
    <w:uiPriority w:val="0"/>
    <w:pPr>
      <w:tabs>
        <w:tab w:val="left" w:pos="360"/>
      </w:tabs>
      <w:spacing w:line="400" w:lineRule="exact"/>
      <w:ind w:left="360" w:hanging="360"/>
      <w:jc w:val="center"/>
    </w:pPr>
    <w:rPr>
      <w:szCs w:val="20"/>
    </w:rPr>
  </w:style>
  <w:style w:type="paragraph" w:styleId="10">
    <w:name w:val="Normal Indent"/>
    <w:basedOn w:val="1"/>
    <w:link w:val="51"/>
    <w:autoRedefine/>
    <w:qFormat/>
    <w:locked/>
    <w:uiPriority w:val="0"/>
    <w:pPr>
      <w:ind w:firstLine="420"/>
    </w:pPr>
    <w:rPr>
      <w:rFonts w:ascii="Calibri" w:hAnsi="Calibri"/>
      <w:szCs w:val="22"/>
    </w:rPr>
  </w:style>
  <w:style w:type="paragraph" w:styleId="11">
    <w:name w:val="caption"/>
    <w:basedOn w:val="1"/>
    <w:next w:val="1"/>
    <w:autoRedefine/>
    <w:qFormat/>
    <w:locked/>
    <w:uiPriority w:val="0"/>
    <w:rPr>
      <w:rFonts w:ascii="Cambria" w:hAnsi="Cambria" w:eastAsia="黑体"/>
      <w:sz w:val="20"/>
      <w:szCs w:val="20"/>
    </w:rPr>
  </w:style>
  <w:style w:type="paragraph" w:styleId="12">
    <w:name w:val="Document Map"/>
    <w:basedOn w:val="1"/>
    <w:link w:val="52"/>
    <w:autoRedefine/>
    <w:qFormat/>
    <w:locked/>
    <w:uiPriority w:val="0"/>
    <w:pPr>
      <w:shd w:val="clear" w:color="auto" w:fill="000080"/>
    </w:pPr>
    <w:rPr>
      <w:rFonts w:ascii="Calibri" w:hAnsi="Calibri"/>
      <w:szCs w:val="22"/>
    </w:rPr>
  </w:style>
  <w:style w:type="paragraph" w:styleId="13">
    <w:name w:val="annotation text"/>
    <w:basedOn w:val="1"/>
    <w:link w:val="53"/>
    <w:autoRedefine/>
    <w:qFormat/>
    <w:uiPriority w:val="0"/>
    <w:pPr>
      <w:jc w:val="left"/>
    </w:pPr>
    <w:rPr>
      <w:kern w:val="0"/>
      <w:sz w:val="24"/>
      <w:szCs w:val="20"/>
    </w:rPr>
  </w:style>
  <w:style w:type="paragraph" w:styleId="14">
    <w:name w:val="Body Text 3"/>
    <w:basedOn w:val="1"/>
    <w:link w:val="54"/>
    <w:autoRedefine/>
    <w:qFormat/>
    <w:locked/>
    <w:uiPriority w:val="0"/>
    <w:pPr>
      <w:spacing w:after="120"/>
    </w:pPr>
    <w:rPr>
      <w:sz w:val="16"/>
      <w:szCs w:val="16"/>
    </w:rPr>
  </w:style>
  <w:style w:type="paragraph" w:styleId="15">
    <w:name w:val="Body Text"/>
    <w:basedOn w:val="1"/>
    <w:link w:val="55"/>
    <w:qFormat/>
    <w:uiPriority w:val="99"/>
    <w:pPr>
      <w:widowControl/>
      <w:snapToGrid w:val="0"/>
      <w:spacing w:before="60" w:after="160" w:line="259" w:lineRule="auto"/>
      <w:ind w:right="113"/>
    </w:pPr>
    <w:rPr>
      <w:kern w:val="0"/>
      <w:sz w:val="18"/>
      <w:szCs w:val="20"/>
    </w:rPr>
  </w:style>
  <w:style w:type="paragraph" w:styleId="16">
    <w:name w:val="Body Text Indent"/>
    <w:basedOn w:val="1"/>
    <w:link w:val="56"/>
    <w:autoRedefine/>
    <w:qFormat/>
    <w:uiPriority w:val="0"/>
    <w:pPr>
      <w:spacing w:after="120"/>
      <w:ind w:left="420" w:leftChars="200"/>
    </w:pPr>
    <w:rPr>
      <w:kern w:val="0"/>
      <w:sz w:val="24"/>
      <w:szCs w:val="20"/>
    </w:rPr>
  </w:style>
  <w:style w:type="paragraph" w:styleId="17">
    <w:name w:val="Plain Text"/>
    <w:basedOn w:val="1"/>
    <w:link w:val="57"/>
    <w:autoRedefine/>
    <w:qFormat/>
    <w:locked/>
    <w:uiPriority w:val="0"/>
    <w:rPr>
      <w:rFonts w:ascii="宋体" w:hAnsi="Courier New"/>
      <w:szCs w:val="22"/>
    </w:rPr>
  </w:style>
  <w:style w:type="paragraph" w:styleId="18">
    <w:name w:val="toc 8"/>
    <w:basedOn w:val="1"/>
    <w:next w:val="1"/>
    <w:autoRedefine/>
    <w:unhideWhenUsed/>
    <w:qFormat/>
    <w:locked/>
    <w:uiPriority w:val="39"/>
    <w:pPr>
      <w:ind w:left="2940" w:leftChars="1400"/>
    </w:pPr>
    <w:rPr>
      <w:szCs w:val="20"/>
    </w:rPr>
  </w:style>
  <w:style w:type="paragraph" w:styleId="19">
    <w:name w:val="Date"/>
    <w:basedOn w:val="1"/>
    <w:next w:val="1"/>
    <w:link w:val="58"/>
    <w:autoRedefine/>
    <w:qFormat/>
    <w:uiPriority w:val="0"/>
    <w:pPr>
      <w:ind w:left="100" w:leftChars="2500"/>
    </w:pPr>
    <w:rPr>
      <w:kern w:val="0"/>
      <w:sz w:val="24"/>
      <w:szCs w:val="20"/>
    </w:rPr>
  </w:style>
  <w:style w:type="paragraph" w:styleId="20">
    <w:name w:val="Body Text Indent 2"/>
    <w:basedOn w:val="1"/>
    <w:link w:val="44"/>
    <w:autoRedefine/>
    <w:qFormat/>
    <w:locked/>
    <w:uiPriority w:val="0"/>
    <w:pPr>
      <w:spacing w:line="360" w:lineRule="auto"/>
      <w:ind w:firstLine="560" w:firstLineChars="200"/>
    </w:pPr>
    <w:rPr>
      <w:rFonts w:ascii="Calibri" w:hAnsi="Calibri"/>
      <w:sz w:val="28"/>
      <w:szCs w:val="22"/>
    </w:rPr>
  </w:style>
  <w:style w:type="paragraph" w:styleId="21">
    <w:name w:val="endnote text"/>
    <w:basedOn w:val="1"/>
    <w:link w:val="59"/>
    <w:autoRedefine/>
    <w:unhideWhenUsed/>
    <w:qFormat/>
    <w:locked/>
    <w:uiPriority w:val="99"/>
    <w:pPr>
      <w:snapToGrid w:val="0"/>
      <w:jc w:val="left"/>
    </w:pPr>
    <w:rPr>
      <w:szCs w:val="20"/>
    </w:rPr>
  </w:style>
  <w:style w:type="paragraph" w:styleId="22">
    <w:name w:val="Balloon Text"/>
    <w:basedOn w:val="1"/>
    <w:link w:val="60"/>
    <w:autoRedefine/>
    <w:qFormat/>
    <w:uiPriority w:val="0"/>
    <w:rPr>
      <w:kern w:val="0"/>
      <w:sz w:val="18"/>
      <w:szCs w:val="20"/>
    </w:rPr>
  </w:style>
  <w:style w:type="paragraph" w:styleId="23">
    <w:name w:val="footer"/>
    <w:basedOn w:val="1"/>
    <w:link w:val="61"/>
    <w:autoRedefine/>
    <w:qFormat/>
    <w:uiPriority w:val="99"/>
    <w:pPr>
      <w:tabs>
        <w:tab w:val="center" w:pos="4153"/>
        <w:tab w:val="right" w:pos="8306"/>
      </w:tabs>
      <w:snapToGrid w:val="0"/>
      <w:jc w:val="left"/>
    </w:pPr>
    <w:rPr>
      <w:kern w:val="0"/>
      <w:sz w:val="18"/>
      <w:szCs w:val="20"/>
    </w:rPr>
  </w:style>
  <w:style w:type="paragraph" w:styleId="24">
    <w:name w:val="header"/>
    <w:basedOn w:val="1"/>
    <w:link w:val="62"/>
    <w:autoRedefine/>
    <w:qFormat/>
    <w:uiPriority w:val="99"/>
    <w:pPr>
      <w:pBdr>
        <w:bottom w:val="single" w:color="auto" w:sz="6" w:space="1"/>
      </w:pBdr>
      <w:tabs>
        <w:tab w:val="center" w:pos="4153"/>
        <w:tab w:val="right" w:pos="8306"/>
      </w:tabs>
      <w:snapToGrid w:val="0"/>
      <w:jc w:val="center"/>
    </w:pPr>
    <w:rPr>
      <w:kern w:val="0"/>
      <w:sz w:val="18"/>
      <w:szCs w:val="20"/>
    </w:rPr>
  </w:style>
  <w:style w:type="paragraph" w:styleId="25">
    <w:name w:val="toc 1"/>
    <w:basedOn w:val="1"/>
    <w:next w:val="1"/>
    <w:autoRedefine/>
    <w:qFormat/>
    <w:locked/>
    <w:uiPriority w:val="0"/>
    <w:rPr>
      <w:rFonts w:ascii="宋体" w:hAnsi="宋体"/>
      <w:bCs/>
      <w:caps/>
      <w:szCs w:val="21"/>
    </w:rPr>
  </w:style>
  <w:style w:type="paragraph" w:styleId="26">
    <w:name w:val="List"/>
    <w:basedOn w:val="1"/>
    <w:autoRedefine/>
    <w:qFormat/>
    <w:locked/>
    <w:uiPriority w:val="0"/>
    <w:pPr>
      <w:adjustRightInd w:val="0"/>
      <w:snapToGrid w:val="0"/>
      <w:jc w:val="center"/>
    </w:pPr>
    <w:rPr>
      <w:sz w:val="24"/>
      <w:szCs w:val="20"/>
    </w:rPr>
  </w:style>
  <w:style w:type="paragraph" w:styleId="27">
    <w:name w:val="Body Text Indent 3"/>
    <w:basedOn w:val="1"/>
    <w:link w:val="63"/>
    <w:autoRedefine/>
    <w:qFormat/>
    <w:locked/>
    <w:uiPriority w:val="0"/>
    <w:pPr>
      <w:spacing w:line="580" w:lineRule="exact"/>
      <w:ind w:firstLine="573"/>
    </w:pPr>
    <w:rPr>
      <w:rFonts w:ascii="Calibri" w:hAnsi="Calibri"/>
      <w:sz w:val="28"/>
      <w:szCs w:val="22"/>
    </w:rPr>
  </w:style>
  <w:style w:type="paragraph" w:styleId="28">
    <w:name w:val="Body Text 2"/>
    <w:basedOn w:val="1"/>
    <w:link w:val="64"/>
    <w:autoRedefine/>
    <w:qFormat/>
    <w:locked/>
    <w:uiPriority w:val="0"/>
    <w:rPr>
      <w:rFonts w:ascii="Calibri" w:hAnsi="Calibri"/>
      <w:sz w:val="28"/>
      <w:szCs w:val="22"/>
    </w:rPr>
  </w:style>
  <w:style w:type="paragraph" w:styleId="29">
    <w:name w:val="HTML Preformatted"/>
    <w:basedOn w:val="1"/>
    <w:link w:val="65"/>
    <w:autoRedefine/>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Calibri"/>
      <w:sz w:val="24"/>
    </w:rPr>
  </w:style>
  <w:style w:type="paragraph" w:styleId="30">
    <w:name w:val="Normal (Web)"/>
    <w:basedOn w:val="1"/>
    <w:link w:val="66"/>
    <w:autoRedefine/>
    <w:qFormat/>
    <w:uiPriority w:val="0"/>
    <w:pPr>
      <w:widowControl/>
      <w:spacing w:before="100" w:beforeAutospacing="1" w:after="100" w:afterAutospacing="1"/>
      <w:jc w:val="left"/>
    </w:pPr>
    <w:rPr>
      <w:rFonts w:ascii="宋体" w:hAnsi="宋体"/>
      <w:kern w:val="0"/>
      <w:sz w:val="24"/>
      <w:szCs w:val="20"/>
    </w:rPr>
  </w:style>
  <w:style w:type="paragraph" w:styleId="31">
    <w:name w:val="annotation subject"/>
    <w:basedOn w:val="13"/>
    <w:next w:val="13"/>
    <w:link w:val="67"/>
    <w:autoRedefine/>
    <w:semiHidden/>
    <w:qFormat/>
    <w:uiPriority w:val="0"/>
    <w:rPr>
      <w:b/>
      <w:kern w:val="2"/>
    </w:rPr>
  </w:style>
  <w:style w:type="paragraph" w:styleId="32">
    <w:name w:val="Body Text First Indent"/>
    <w:basedOn w:val="15"/>
    <w:link w:val="68"/>
    <w:autoRedefine/>
    <w:qFormat/>
    <w:locked/>
    <w:uiPriority w:val="0"/>
    <w:pPr>
      <w:widowControl w:val="0"/>
      <w:snapToGrid/>
      <w:spacing w:before="0" w:after="120" w:line="240" w:lineRule="auto"/>
      <w:ind w:right="0" w:firstLine="420" w:firstLineChars="100"/>
    </w:pPr>
    <w:rPr>
      <w:rFonts w:ascii="Calibri" w:hAnsi="Calibri"/>
      <w:kern w:val="2"/>
      <w:sz w:val="21"/>
      <w:szCs w:val="22"/>
    </w:rPr>
  </w:style>
  <w:style w:type="paragraph" w:styleId="33">
    <w:name w:val="Body Text First Indent 2"/>
    <w:basedOn w:val="20"/>
    <w:link w:val="69"/>
    <w:autoRedefine/>
    <w:qFormat/>
    <w:locked/>
    <w:uiPriority w:val="0"/>
    <w:pPr>
      <w:widowControl/>
      <w:ind w:firstLine="435" w:firstLineChars="0"/>
      <w:jc w:val="left"/>
    </w:pPr>
    <w:rPr>
      <w:rFonts w:ascii="Times New Roman" w:hAnsi="Times New Roman" w:eastAsia="Times New Roman"/>
      <w:color w:val="000000"/>
      <w:kern w:val="0"/>
      <w:sz w:val="24"/>
      <w:szCs w:val="20"/>
      <w:lang w:val="en-US" w:eastAsia="zh-CN"/>
    </w:rPr>
  </w:style>
  <w:style w:type="table" w:styleId="35">
    <w:name w:val="Table Grid"/>
    <w:basedOn w:val="34"/>
    <w:autoRedefine/>
    <w:qFormat/>
    <w:uiPriority w:val="5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autoRedefine/>
    <w:qFormat/>
    <w:locked/>
    <w:uiPriority w:val="22"/>
    <w:rPr>
      <w:b/>
      <w:bCs/>
    </w:rPr>
  </w:style>
  <w:style w:type="character" w:styleId="38">
    <w:name w:val="endnote reference"/>
    <w:autoRedefine/>
    <w:unhideWhenUsed/>
    <w:qFormat/>
    <w:locked/>
    <w:uiPriority w:val="99"/>
    <w:rPr>
      <w:vertAlign w:val="superscript"/>
    </w:rPr>
  </w:style>
  <w:style w:type="character" w:styleId="39">
    <w:name w:val="page number"/>
    <w:basedOn w:val="36"/>
    <w:autoRedefine/>
    <w:qFormat/>
    <w:locked/>
    <w:uiPriority w:val="0"/>
  </w:style>
  <w:style w:type="character" w:styleId="40">
    <w:name w:val="Emphasis"/>
    <w:autoRedefine/>
    <w:qFormat/>
    <w:locked/>
    <w:uiPriority w:val="0"/>
    <w:rPr>
      <w:color w:val="CC0000"/>
    </w:rPr>
  </w:style>
  <w:style w:type="character" w:styleId="41">
    <w:name w:val="Hyperlink"/>
    <w:autoRedefine/>
    <w:qFormat/>
    <w:locked/>
    <w:uiPriority w:val="0"/>
    <w:rPr>
      <w:color w:val="0000FF"/>
      <w:u w:val="single"/>
    </w:rPr>
  </w:style>
  <w:style w:type="character" w:styleId="42">
    <w:name w:val="annotation reference"/>
    <w:autoRedefine/>
    <w:semiHidden/>
    <w:qFormat/>
    <w:uiPriority w:val="99"/>
    <w:rPr>
      <w:sz w:val="21"/>
    </w:rPr>
  </w:style>
  <w:style w:type="paragraph" w:customStyle="1" w:styleId="43">
    <w:name w:val="首行缩进2个字符"/>
    <w:basedOn w:val="1"/>
    <w:autoRedefine/>
    <w:qFormat/>
    <w:uiPriority w:val="0"/>
    <w:pPr>
      <w:spacing w:line="360" w:lineRule="auto"/>
      <w:ind w:firstLine="200" w:firstLineChars="200"/>
    </w:pPr>
    <w:rPr>
      <w:rFonts w:ascii="宋体"/>
      <w:kern w:val="28"/>
      <w:sz w:val="28"/>
      <w:szCs w:val="28"/>
    </w:rPr>
  </w:style>
  <w:style w:type="character" w:customStyle="1" w:styleId="44">
    <w:name w:val="正文文本缩进 2 字符"/>
    <w:link w:val="20"/>
    <w:autoRedefine/>
    <w:qFormat/>
    <w:uiPriority w:val="0"/>
    <w:rPr>
      <w:rFonts w:ascii="Calibri" w:hAnsi="Calibri"/>
      <w:kern w:val="2"/>
      <w:sz w:val="28"/>
      <w:szCs w:val="22"/>
    </w:rPr>
  </w:style>
  <w:style w:type="character" w:customStyle="1" w:styleId="45">
    <w:name w:val="标题 1 字符"/>
    <w:link w:val="3"/>
    <w:autoRedefine/>
    <w:qFormat/>
    <w:uiPriority w:val="0"/>
    <w:rPr>
      <w:rFonts w:eastAsia="黑体"/>
      <w:b/>
      <w:bCs/>
      <w:color w:val="000000"/>
      <w:kern w:val="44"/>
      <w:sz w:val="30"/>
      <w:szCs w:val="30"/>
    </w:rPr>
  </w:style>
  <w:style w:type="character" w:customStyle="1" w:styleId="46">
    <w:name w:val="标题 2 字符"/>
    <w:link w:val="4"/>
    <w:autoRedefine/>
    <w:qFormat/>
    <w:uiPriority w:val="0"/>
    <w:rPr>
      <w:rFonts w:ascii="Arial" w:hAnsi="Arial" w:eastAsia="黑体"/>
      <w:b/>
      <w:kern w:val="2"/>
      <w:sz w:val="32"/>
    </w:rPr>
  </w:style>
  <w:style w:type="character" w:customStyle="1" w:styleId="47">
    <w:name w:val="标题 3 字符"/>
    <w:link w:val="5"/>
    <w:autoRedefine/>
    <w:qFormat/>
    <w:uiPriority w:val="0"/>
    <w:rPr>
      <w:b/>
      <w:kern w:val="2"/>
      <w:sz w:val="32"/>
    </w:rPr>
  </w:style>
  <w:style w:type="character" w:customStyle="1" w:styleId="48">
    <w:name w:val="标题 4 字符"/>
    <w:link w:val="6"/>
    <w:autoRedefine/>
    <w:qFormat/>
    <w:uiPriority w:val="0"/>
    <w:rPr>
      <w:rFonts w:ascii="Arial" w:hAnsi="Arial" w:eastAsia="黑体"/>
      <w:b/>
      <w:kern w:val="2"/>
      <w:sz w:val="28"/>
    </w:rPr>
  </w:style>
  <w:style w:type="character" w:customStyle="1" w:styleId="49">
    <w:name w:val="标题 5 字符"/>
    <w:link w:val="7"/>
    <w:autoRedefine/>
    <w:qFormat/>
    <w:uiPriority w:val="0"/>
    <w:rPr>
      <w:b/>
      <w:bCs/>
      <w:kern w:val="2"/>
      <w:sz w:val="28"/>
      <w:szCs w:val="28"/>
    </w:rPr>
  </w:style>
  <w:style w:type="character" w:customStyle="1" w:styleId="50">
    <w:name w:val="注释标题 字符"/>
    <w:link w:val="8"/>
    <w:autoRedefine/>
    <w:qFormat/>
    <w:uiPriority w:val="0"/>
    <w:rPr>
      <w:rFonts w:ascii="Calibri" w:hAnsi="Calibri"/>
      <w:kern w:val="2"/>
      <w:sz w:val="21"/>
      <w:szCs w:val="22"/>
    </w:rPr>
  </w:style>
  <w:style w:type="character" w:customStyle="1" w:styleId="51">
    <w:name w:val="正文缩进 字符"/>
    <w:link w:val="10"/>
    <w:autoRedefine/>
    <w:qFormat/>
    <w:uiPriority w:val="0"/>
    <w:rPr>
      <w:rFonts w:ascii="Calibri" w:hAnsi="Calibri"/>
      <w:kern w:val="2"/>
      <w:sz w:val="21"/>
      <w:szCs w:val="22"/>
    </w:rPr>
  </w:style>
  <w:style w:type="character" w:customStyle="1" w:styleId="52">
    <w:name w:val="文档结构图 字符"/>
    <w:link w:val="12"/>
    <w:autoRedefine/>
    <w:qFormat/>
    <w:uiPriority w:val="0"/>
    <w:rPr>
      <w:rFonts w:ascii="Calibri" w:hAnsi="Calibri"/>
      <w:kern w:val="2"/>
      <w:sz w:val="21"/>
      <w:szCs w:val="22"/>
      <w:shd w:val="clear" w:color="auto" w:fill="000080"/>
    </w:rPr>
  </w:style>
  <w:style w:type="character" w:customStyle="1" w:styleId="53">
    <w:name w:val="批注文字 字符"/>
    <w:link w:val="13"/>
    <w:autoRedefine/>
    <w:qFormat/>
    <w:locked/>
    <w:uiPriority w:val="0"/>
    <w:rPr>
      <w:rFonts w:ascii="Times New Roman" w:hAnsi="Times New Roman" w:eastAsia="宋体"/>
      <w:sz w:val="24"/>
    </w:rPr>
  </w:style>
  <w:style w:type="character" w:customStyle="1" w:styleId="54">
    <w:name w:val="正文文本 3 Char"/>
    <w:basedOn w:val="36"/>
    <w:link w:val="14"/>
    <w:autoRedefine/>
    <w:qFormat/>
    <w:uiPriority w:val="0"/>
    <w:rPr>
      <w:kern w:val="2"/>
      <w:sz w:val="16"/>
      <w:szCs w:val="16"/>
    </w:rPr>
  </w:style>
  <w:style w:type="character" w:customStyle="1" w:styleId="55">
    <w:name w:val="正文文本 字符"/>
    <w:link w:val="15"/>
    <w:autoRedefine/>
    <w:qFormat/>
    <w:locked/>
    <w:uiPriority w:val="99"/>
    <w:rPr>
      <w:sz w:val="18"/>
    </w:rPr>
  </w:style>
  <w:style w:type="character" w:customStyle="1" w:styleId="56">
    <w:name w:val="正文文本缩进 字符"/>
    <w:link w:val="16"/>
    <w:autoRedefine/>
    <w:qFormat/>
    <w:locked/>
    <w:uiPriority w:val="0"/>
    <w:rPr>
      <w:rFonts w:ascii="Times New Roman" w:hAnsi="Times New Roman" w:eastAsia="宋体"/>
      <w:sz w:val="24"/>
    </w:rPr>
  </w:style>
  <w:style w:type="character" w:customStyle="1" w:styleId="57">
    <w:name w:val="纯文本 字符"/>
    <w:link w:val="17"/>
    <w:autoRedefine/>
    <w:qFormat/>
    <w:uiPriority w:val="0"/>
    <w:rPr>
      <w:rFonts w:ascii="宋体" w:hAnsi="Courier New"/>
      <w:kern w:val="2"/>
      <w:sz w:val="21"/>
      <w:szCs w:val="22"/>
    </w:rPr>
  </w:style>
  <w:style w:type="character" w:customStyle="1" w:styleId="58">
    <w:name w:val="日期 字符1"/>
    <w:link w:val="19"/>
    <w:autoRedefine/>
    <w:qFormat/>
    <w:locked/>
    <w:uiPriority w:val="0"/>
    <w:rPr>
      <w:rFonts w:ascii="Times New Roman" w:hAnsi="Times New Roman" w:eastAsia="宋体"/>
      <w:sz w:val="24"/>
    </w:rPr>
  </w:style>
  <w:style w:type="character" w:customStyle="1" w:styleId="59">
    <w:name w:val="尾注文本 Char"/>
    <w:basedOn w:val="36"/>
    <w:link w:val="21"/>
    <w:autoRedefine/>
    <w:qFormat/>
    <w:uiPriority w:val="99"/>
    <w:rPr>
      <w:kern w:val="2"/>
      <w:sz w:val="21"/>
    </w:rPr>
  </w:style>
  <w:style w:type="character" w:customStyle="1" w:styleId="60">
    <w:name w:val="批注框文本 字符"/>
    <w:link w:val="22"/>
    <w:autoRedefine/>
    <w:qFormat/>
    <w:locked/>
    <w:uiPriority w:val="0"/>
    <w:rPr>
      <w:rFonts w:ascii="Times New Roman" w:hAnsi="Times New Roman" w:eastAsia="宋体"/>
      <w:sz w:val="18"/>
    </w:rPr>
  </w:style>
  <w:style w:type="character" w:customStyle="1" w:styleId="61">
    <w:name w:val="页脚 字符1"/>
    <w:link w:val="23"/>
    <w:autoRedefine/>
    <w:qFormat/>
    <w:locked/>
    <w:uiPriority w:val="99"/>
    <w:rPr>
      <w:sz w:val="18"/>
    </w:rPr>
  </w:style>
  <w:style w:type="character" w:customStyle="1" w:styleId="62">
    <w:name w:val="页眉 字符"/>
    <w:link w:val="24"/>
    <w:autoRedefine/>
    <w:qFormat/>
    <w:locked/>
    <w:uiPriority w:val="99"/>
    <w:rPr>
      <w:sz w:val="18"/>
    </w:rPr>
  </w:style>
  <w:style w:type="character" w:customStyle="1" w:styleId="63">
    <w:name w:val="正文文本缩进 3 字符"/>
    <w:link w:val="27"/>
    <w:autoRedefine/>
    <w:qFormat/>
    <w:uiPriority w:val="0"/>
    <w:rPr>
      <w:rFonts w:ascii="Calibri" w:hAnsi="Calibri"/>
      <w:kern w:val="2"/>
      <w:sz w:val="28"/>
      <w:szCs w:val="22"/>
    </w:rPr>
  </w:style>
  <w:style w:type="character" w:customStyle="1" w:styleId="64">
    <w:name w:val="正文文本 2 字符"/>
    <w:link w:val="28"/>
    <w:autoRedefine/>
    <w:qFormat/>
    <w:uiPriority w:val="0"/>
    <w:rPr>
      <w:rFonts w:ascii="Calibri" w:hAnsi="Calibri"/>
      <w:kern w:val="2"/>
      <w:sz w:val="28"/>
      <w:szCs w:val="22"/>
    </w:rPr>
  </w:style>
  <w:style w:type="character" w:customStyle="1" w:styleId="65">
    <w:name w:val="HTML 预设格式 Char"/>
    <w:basedOn w:val="36"/>
    <w:link w:val="29"/>
    <w:autoRedefine/>
    <w:qFormat/>
    <w:uiPriority w:val="0"/>
    <w:rPr>
      <w:rFonts w:ascii="宋体" w:hAnsi="Calibri"/>
      <w:kern w:val="2"/>
      <w:sz w:val="24"/>
      <w:szCs w:val="24"/>
    </w:rPr>
  </w:style>
  <w:style w:type="character" w:customStyle="1" w:styleId="66">
    <w:name w:val="普通(网站) 字符"/>
    <w:link w:val="30"/>
    <w:autoRedefine/>
    <w:qFormat/>
    <w:locked/>
    <w:uiPriority w:val="0"/>
    <w:rPr>
      <w:rFonts w:ascii="宋体" w:hAnsi="宋体" w:eastAsia="宋体"/>
      <w:sz w:val="24"/>
    </w:rPr>
  </w:style>
  <w:style w:type="character" w:customStyle="1" w:styleId="67">
    <w:name w:val="批注主题 字符"/>
    <w:link w:val="31"/>
    <w:autoRedefine/>
    <w:semiHidden/>
    <w:qFormat/>
    <w:locked/>
    <w:uiPriority w:val="0"/>
    <w:rPr>
      <w:rFonts w:ascii="Times New Roman" w:hAnsi="Times New Roman" w:eastAsia="宋体"/>
      <w:b/>
      <w:kern w:val="2"/>
      <w:sz w:val="24"/>
    </w:rPr>
  </w:style>
  <w:style w:type="character" w:customStyle="1" w:styleId="68">
    <w:name w:val="正文文本首行缩进 字符"/>
    <w:link w:val="32"/>
    <w:autoRedefine/>
    <w:qFormat/>
    <w:uiPriority w:val="0"/>
    <w:rPr>
      <w:rFonts w:ascii="Calibri" w:hAnsi="Calibri"/>
      <w:kern w:val="2"/>
      <w:sz w:val="21"/>
      <w:szCs w:val="22"/>
    </w:rPr>
  </w:style>
  <w:style w:type="character" w:customStyle="1" w:styleId="69">
    <w:name w:val="正文首行缩进 2 Char"/>
    <w:basedOn w:val="56"/>
    <w:link w:val="33"/>
    <w:autoRedefine/>
    <w:qFormat/>
    <w:uiPriority w:val="0"/>
    <w:rPr>
      <w:rFonts w:eastAsia="Times New Roman"/>
      <w:color w:val="000000"/>
    </w:rPr>
  </w:style>
  <w:style w:type="character" w:customStyle="1" w:styleId="70">
    <w:name w:val="正文文本缩进 2 Char"/>
    <w:autoRedefine/>
    <w:qFormat/>
    <w:uiPriority w:val="0"/>
    <w:rPr>
      <w:rFonts w:eastAsia="宋体"/>
      <w:kern w:val="2"/>
      <w:sz w:val="21"/>
      <w:lang w:val="en-US" w:eastAsia="zh-CN" w:bidi="ar-SA"/>
    </w:rPr>
  </w:style>
  <w:style w:type="character" w:customStyle="1" w:styleId="71">
    <w:name w:val="表格内容 Char"/>
    <w:link w:val="72"/>
    <w:autoRedefine/>
    <w:qFormat/>
    <w:locked/>
    <w:uiPriority w:val="0"/>
    <w:rPr>
      <w:sz w:val="22"/>
      <w:szCs w:val="24"/>
    </w:rPr>
  </w:style>
  <w:style w:type="paragraph" w:customStyle="1" w:styleId="72">
    <w:name w:val="表格内容"/>
    <w:basedOn w:val="1"/>
    <w:link w:val="71"/>
    <w:autoRedefine/>
    <w:qFormat/>
    <w:uiPriority w:val="0"/>
    <w:pPr>
      <w:adjustRightInd w:val="0"/>
      <w:snapToGrid w:val="0"/>
      <w:spacing w:line="400" w:lineRule="atLeast"/>
      <w:jc w:val="center"/>
    </w:pPr>
    <w:rPr>
      <w:kern w:val="0"/>
      <w:sz w:val="22"/>
    </w:rPr>
  </w:style>
  <w:style w:type="character" w:customStyle="1" w:styleId="73">
    <w:name w:val="注释标题 Char1"/>
    <w:autoRedefine/>
    <w:semiHidden/>
    <w:qFormat/>
    <w:uiPriority w:val="99"/>
    <w:rPr>
      <w:rFonts w:ascii="Times New Roman" w:hAnsi="Times New Roman" w:eastAsia="宋体" w:cs="Times New Roman"/>
      <w:szCs w:val="20"/>
    </w:rPr>
  </w:style>
  <w:style w:type="character" w:customStyle="1" w:styleId="74">
    <w:name w:val="页眉 Char"/>
    <w:autoRedefine/>
    <w:qFormat/>
    <w:uiPriority w:val="0"/>
    <w:rPr>
      <w:kern w:val="2"/>
      <w:sz w:val="18"/>
      <w:szCs w:val="18"/>
    </w:rPr>
  </w:style>
  <w:style w:type="character" w:customStyle="1" w:styleId="75">
    <w:name w:val="日期 Char1"/>
    <w:autoRedefine/>
    <w:qFormat/>
    <w:uiPriority w:val="0"/>
    <w:rPr>
      <w:rFonts w:hint="default" w:ascii="Calibri" w:hAnsi="Calibri" w:cs="Calibri"/>
      <w:kern w:val="2"/>
      <w:sz w:val="21"/>
      <w:szCs w:val="22"/>
    </w:rPr>
  </w:style>
  <w:style w:type="character" w:customStyle="1" w:styleId="76">
    <w:name w:val="日期 Char"/>
    <w:autoRedefine/>
    <w:qFormat/>
    <w:uiPriority w:val="0"/>
    <w:rPr>
      <w:rFonts w:eastAsia="宋体"/>
      <w:kern w:val="2"/>
      <w:sz w:val="24"/>
      <w:lang w:val="en-US" w:eastAsia="zh-CN" w:bidi="ar-SA"/>
    </w:rPr>
  </w:style>
  <w:style w:type="character" w:customStyle="1" w:styleId="77">
    <w:name w:val="表内 定 Char"/>
    <w:link w:val="78"/>
    <w:autoRedefine/>
    <w:qFormat/>
    <w:uiPriority w:val="0"/>
    <w:rPr>
      <w:rFonts w:eastAsia="仿宋"/>
      <w:snapToGrid/>
      <w:color w:val="000000"/>
      <w:szCs w:val="22"/>
    </w:rPr>
  </w:style>
  <w:style w:type="paragraph" w:customStyle="1" w:styleId="78">
    <w:name w:val="表内 定"/>
    <w:basedOn w:val="1"/>
    <w:link w:val="77"/>
    <w:autoRedefine/>
    <w:qFormat/>
    <w:uiPriority w:val="0"/>
    <w:pPr>
      <w:jc w:val="left"/>
    </w:pPr>
    <w:rPr>
      <w:rFonts w:eastAsia="仿宋"/>
      <w:snapToGrid w:val="0"/>
      <w:color w:val="000000"/>
      <w:kern w:val="0"/>
      <w:sz w:val="20"/>
      <w:szCs w:val="22"/>
    </w:rPr>
  </w:style>
  <w:style w:type="character" w:customStyle="1" w:styleId="79">
    <w:name w:val="常用正文样式 Char1"/>
    <w:link w:val="80"/>
    <w:autoRedefine/>
    <w:qFormat/>
    <w:uiPriority w:val="0"/>
    <w:rPr>
      <w:rFonts w:ascii="宋体" w:hAnsi="宋体" w:cs="宋体"/>
      <w:bCs/>
      <w:kern w:val="28"/>
      <w:sz w:val="24"/>
    </w:rPr>
  </w:style>
  <w:style w:type="paragraph" w:customStyle="1" w:styleId="80">
    <w:name w:val="常用正文样式"/>
    <w:basedOn w:val="1"/>
    <w:link w:val="79"/>
    <w:autoRedefine/>
    <w:qFormat/>
    <w:uiPriority w:val="0"/>
    <w:pPr>
      <w:spacing w:line="360" w:lineRule="auto"/>
      <w:ind w:firstLine="480" w:firstLineChars="200"/>
    </w:pPr>
    <w:rPr>
      <w:rFonts w:ascii="宋体" w:hAnsi="宋体"/>
      <w:bCs/>
      <w:kern w:val="28"/>
      <w:sz w:val="24"/>
      <w:szCs w:val="20"/>
    </w:rPr>
  </w:style>
  <w:style w:type="character" w:customStyle="1" w:styleId="81">
    <w:name w:val="表内字 Char"/>
    <w:autoRedefine/>
    <w:qFormat/>
    <w:uiPriority w:val="0"/>
    <w:rPr>
      <w:bCs/>
      <w:kern w:val="2"/>
      <w:sz w:val="21"/>
      <w:szCs w:val="21"/>
    </w:rPr>
  </w:style>
  <w:style w:type="character" w:customStyle="1" w:styleId="82">
    <w:name w:val="15"/>
    <w:autoRedefine/>
    <w:qFormat/>
    <w:uiPriority w:val="0"/>
    <w:rPr>
      <w:rFonts w:hint="default" w:ascii="Times New Roman" w:hAnsi="Times New Roman" w:cs="Times New Roman"/>
      <w:color w:val="FF00FF"/>
      <w:sz w:val="24"/>
      <w:szCs w:val="24"/>
    </w:rPr>
  </w:style>
  <w:style w:type="character" w:customStyle="1" w:styleId="83">
    <w:name w:val="apple-converted-space"/>
    <w:basedOn w:val="36"/>
    <w:autoRedefine/>
    <w:qFormat/>
    <w:uiPriority w:val="0"/>
  </w:style>
  <w:style w:type="character" w:customStyle="1" w:styleId="84">
    <w:name w:val="正文小四 1.75 Char"/>
    <w:link w:val="85"/>
    <w:autoRedefine/>
    <w:qFormat/>
    <w:uiPriority w:val="0"/>
    <w:rPr>
      <w:sz w:val="24"/>
    </w:rPr>
  </w:style>
  <w:style w:type="paragraph" w:customStyle="1" w:styleId="85">
    <w:name w:val="正文小四 1.75"/>
    <w:basedOn w:val="1"/>
    <w:link w:val="84"/>
    <w:autoRedefine/>
    <w:qFormat/>
    <w:uiPriority w:val="0"/>
    <w:pPr>
      <w:spacing w:line="420" w:lineRule="auto"/>
      <w:ind w:firstLine="480" w:firstLineChars="200"/>
    </w:pPr>
    <w:rPr>
      <w:kern w:val="0"/>
      <w:sz w:val="24"/>
      <w:szCs w:val="20"/>
    </w:rPr>
  </w:style>
  <w:style w:type="character" w:customStyle="1" w:styleId="86">
    <w:name w:val="页脚 字符"/>
    <w:basedOn w:val="36"/>
    <w:autoRedefine/>
    <w:qFormat/>
    <w:uiPriority w:val="0"/>
  </w:style>
  <w:style w:type="character" w:customStyle="1" w:styleId="87">
    <w:name w:val="Char Char3"/>
    <w:autoRedefine/>
    <w:qFormat/>
    <w:uiPriority w:val="0"/>
    <w:rPr>
      <w:rFonts w:eastAsia="宋体"/>
      <w:kern w:val="2"/>
      <w:sz w:val="24"/>
      <w:lang w:val="en-US" w:eastAsia="zh-CN" w:bidi="ar-SA"/>
    </w:rPr>
  </w:style>
  <w:style w:type="character" w:customStyle="1" w:styleId="88">
    <w:name w:val="表格、图标文字 Char"/>
    <w:link w:val="89"/>
    <w:autoRedefine/>
    <w:qFormat/>
    <w:locked/>
    <w:uiPriority w:val="0"/>
    <w:rPr>
      <w:rFonts w:ascii="Calibri" w:hAnsi="Calibri"/>
      <w:kern w:val="2"/>
      <w:sz w:val="21"/>
      <w:szCs w:val="24"/>
    </w:rPr>
  </w:style>
  <w:style w:type="paragraph" w:customStyle="1" w:styleId="89">
    <w:name w:val="表格、图标文字"/>
    <w:basedOn w:val="1"/>
    <w:link w:val="88"/>
    <w:autoRedefine/>
    <w:qFormat/>
    <w:uiPriority w:val="0"/>
    <w:pPr>
      <w:adjustRightInd w:val="0"/>
      <w:snapToGrid w:val="0"/>
      <w:spacing w:line="360" w:lineRule="exact"/>
      <w:jc w:val="center"/>
    </w:pPr>
    <w:rPr>
      <w:rFonts w:ascii="Calibri" w:hAnsi="Calibri"/>
    </w:rPr>
  </w:style>
  <w:style w:type="character" w:customStyle="1" w:styleId="90">
    <w:name w:val="常用表头样式 Char Char"/>
    <w:link w:val="91"/>
    <w:autoRedefine/>
    <w:qFormat/>
    <w:uiPriority w:val="0"/>
    <w:rPr>
      <w:rFonts w:ascii="宋体" w:hAnsi="宋体"/>
      <w:sz w:val="24"/>
    </w:rPr>
  </w:style>
  <w:style w:type="paragraph" w:customStyle="1" w:styleId="91">
    <w:name w:val="常用表头样式"/>
    <w:basedOn w:val="1"/>
    <w:link w:val="90"/>
    <w:autoRedefine/>
    <w:qFormat/>
    <w:uiPriority w:val="0"/>
    <w:pPr>
      <w:overflowPunct w:val="0"/>
      <w:autoSpaceDE w:val="0"/>
      <w:autoSpaceDN w:val="0"/>
      <w:adjustRightInd w:val="0"/>
      <w:spacing w:line="360" w:lineRule="auto"/>
      <w:ind w:firstLine="480" w:firstLineChars="200"/>
      <w:textAlignment w:val="baseline"/>
    </w:pPr>
    <w:rPr>
      <w:rFonts w:ascii="宋体" w:hAnsi="宋体"/>
      <w:kern w:val="0"/>
      <w:sz w:val="24"/>
      <w:szCs w:val="20"/>
    </w:rPr>
  </w:style>
  <w:style w:type="character" w:customStyle="1" w:styleId="92">
    <w:name w:val="常用表头样式 Char"/>
    <w:autoRedefine/>
    <w:qFormat/>
    <w:uiPriority w:val="0"/>
    <w:rPr>
      <w:rFonts w:ascii="宋体" w:hAnsi="宋体"/>
      <w:kern w:val="2"/>
      <w:sz w:val="24"/>
    </w:rPr>
  </w:style>
  <w:style w:type="character" w:customStyle="1" w:styleId="93">
    <w:name w:val="纯文本 Char1"/>
    <w:autoRedefine/>
    <w:qFormat/>
    <w:uiPriority w:val="0"/>
    <w:rPr>
      <w:rFonts w:ascii="宋体" w:hAnsi="Courier New" w:eastAsia="宋体"/>
      <w:kern w:val="2"/>
      <w:sz w:val="30"/>
      <w:lang w:val="en-US" w:eastAsia="zh-CN" w:bidi="ar-SA"/>
    </w:rPr>
  </w:style>
  <w:style w:type="character" w:customStyle="1" w:styleId="94">
    <w:name w:val="表格文字 Char"/>
    <w:link w:val="95"/>
    <w:autoRedefine/>
    <w:qFormat/>
    <w:uiPriority w:val="0"/>
    <w:rPr>
      <w:rFonts w:ascii="宋体"/>
    </w:rPr>
  </w:style>
  <w:style w:type="paragraph" w:customStyle="1" w:styleId="95">
    <w:name w:val="表格文字"/>
    <w:basedOn w:val="1"/>
    <w:link w:val="94"/>
    <w:autoRedefine/>
    <w:qFormat/>
    <w:uiPriority w:val="0"/>
    <w:pPr>
      <w:autoSpaceDE w:val="0"/>
      <w:autoSpaceDN w:val="0"/>
      <w:adjustRightInd w:val="0"/>
      <w:spacing w:line="400" w:lineRule="exact"/>
      <w:jc w:val="center"/>
    </w:pPr>
    <w:rPr>
      <w:rFonts w:ascii="宋体"/>
      <w:kern w:val="0"/>
      <w:sz w:val="20"/>
      <w:szCs w:val="20"/>
    </w:rPr>
  </w:style>
  <w:style w:type="character" w:customStyle="1" w:styleId="96">
    <w:name w:val="brief2"/>
    <w:autoRedefine/>
    <w:qFormat/>
    <w:uiPriority w:val="0"/>
    <w:rPr>
      <w:b/>
      <w:bCs/>
      <w:color w:val="000000"/>
      <w:sz w:val="18"/>
      <w:szCs w:val="18"/>
    </w:rPr>
  </w:style>
  <w:style w:type="character" w:customStyle="1" w:styleId="97">
    <w:name w:val="正文文本缩进 Char1"/>
    <w:autoRedefine/>
    <w:semiHidden/>
    <w:qFormat/>
    <w:uiPriority w:val="99"/>
    <w:rPr>
      <w:rFonts w:ascii="Times New Roman" w:hAnsi="Times New Roman" w:eastAsia="宋体" w:cs="Times New Roman"/>
      <w:szCs w:val="20"/>
    </w:rPr>
  </w:style>
  <w:style w:type="character" w:customStyle="1" w:styleId="98">
    <w:name w:val="纯文本 Char2"/>
    <w:autoRedefine/>
    <w:semiHidden/>
    <w:qFormat/>
    <w:uiPriority w:val="99"/>
    <w:rPr>
      <w:rFonts w:ascii="宋体" w:hAnsi="Courier New" w:eastAsia="宋体" w:cs="Courier New"/>
      <w:szCs w:val="21"/>
    </w:rPr>
  </w:style>
  <w:style w:type="character" w:customStyle="1" w:styleId="99">
    <w:name w:val="蓝森正文 Char Char"/>
    <w:link w:val="100"/>
    <w:autoRedefine/>
    <w:qFormat/>
    <w:uiPriority w:val="0"/>
    <w:rPr>
      <w:bCs/>
      <w:sz w:val="24"/>
      <w:szCs w:val="24"/>
    </w:rPr>
  </w:style>
  <w:style w:type="paragraph" w:customStyle="1" w:styleId="100">
    <w:name w:val="蓝森正文"/>
    <w:basedOn w:val="1"/>
    <w:link w:val="99"/>
    <w:autoRedefine/>
    <w:qFormat/>
    <w:uiPriority w:val="0"/>
    <w:pPr>
      <w:spacing w:before="20" w:after="20" w:line="520" w:lineRule="exact"/>
      <w:ind w:firstLine="480" w:firstLineChars="200"/>
    </w:pPr>
    <w:rPr>
      <w:bCs/>
      <w:kern w:val="0"/>
      <w:sz w:val="24"/>
    </w:rPr>
  </w:style>
  <w:style w:type="character" w:customStyle="1" w:styleId="101">
    <w:name w:val="正文文本 Char"/>
    <w:autoRedefine/>
    <w:qFormat/>
    <w:uiPriority w:val="0"/>
    <w:rPr>
      <w:kern w:val="2"/>
      <w:sz w:val="21"/>
      <w:szCs w:val="24"/>
    </w:rPr>
  </w:style>
  <w:style w:type="character" w:customStyle="1" w:styleId="102">
    <w:name w:val="表头 黑体小四1.5倍 Char"/>
    <w:link w:val="103"/>
    <w:autoRedefine/>
    <w:qFormat/>
    <w:uiPriority w:val="0"/>
    <w:rPr>
      <w:rFonts w:eastAsia="黑体" w:cs="宋体"/>
      <w:sz w:val="24"/>
      <w:szCs w:val="24"/>
    </w:rPr>
  </w:style>
  <w:style w:type="paragraph" w:customStyle="1" w:styleId="103">
    <w:name w:val="表头 黑体小四1.5倍"/>
    <w:basedOn w:val="104"/>
    <w:link w:val="102"/>
    <w:autoRedefine/>
    <w:qFormat/>
    <w:uiPriority w:val="0"/>
    <w:pPr>
      <w:ind w:left="0" w:firstLine="0"/>
    </w:pPr>
  </w:style>
  <w:style w:type="paragraph" w:customStyle="1" w:styleId="104">
    <w:name w:val="表头样式"/>
    <w:basedOn w:val="105"/>
    <w:link w:val="107"/>
    <w:autoRedefine/>
    <w:qFormat/>
    <w:uiPriority w:val="0"/>
    <w:pPr>
      <w:ind w:left="420" w:hanging="132"/>
      <w:jc w:val="center"/>
    </w:pPr>
    <w:rPr>
      <w:rFonts w:ascii="Times New Roman" w:hAnsi="Times New Roman" w:eastAsia="黑体"/>
      <w:kern w:val="0"/>
      <w:szCs w:val="24"/>
    </w:rPr>
  </w:style>
  <w:style w:type="paragraph" w:customStyle="1" w:styleId="105">
    <w:name w:val="正文内容"/>
    <w:basedOn w:val="1"/>
    <w:link w:val="106"/>
    <w:autoRedefine/>
    <w:qFormat/>
    <w:uiPriority w:val="0"/>
    <w:pPr>
      <w:spacing w:line="360" w:lineRule="auto"/>
      <w:ind w:firstLine="454"/>
    </w:pPr>
    <w:rPr>
      <w:rFonts w:ascii="Calibri" w:hAnsi="Calibri"/>
      <w:sz w:val="24"/>
      <w:szCs w:val="22"/>
    </w:rPr>
  </w:style>
  <w:style w:type="character" w:customStyle="1" w:styleId="106">
    <w:name w:val="正文内容 Char Char"/>
    <w:link w:val="105"/>
    <w:autoRedefine/>
    <w:qFormat/>
    <w:uiPriority w:val="0"/>
    <w:rPr>
      <w:rFonts w:ascii="Calibri" w:hAnsi="Calibri"/>
      <w:kern w:val="2"/>
      <w:sz w:val="24"/>
      <w:szCs w:val="22"/>
    </w:rPr>
  </w:style>
  <w:style w:type="character" w:customStyle="1" w:styleId="107">
    <w:name w:val="表头样式 Char Char"/>
    <w:link w:val="104"/>
    <w:autoRedefine/>
    <w:qFormat/>
    <w:uiPriority w:val="0"/>
    <w:rPr>
      <w:rFonts w:eastAsia="黑体" w:cs="黑体"/>
      <w:sz w:val="24"/>
      <w:szCs w:val="24"/>
    </w:rPr>
  </w:style>
  <w:style w:type="character" w:customStyle="1" w:styleId="108">
    <w:name w:val="正文文本缩进 3 Char1"/>
    <w:autoRedefine/>
    <w:semiHidden/>
    <w:qFormat/>
    <w:uiPriority w:val="99"/>
    <w:rPr>
      <w:rFonts w:ascii="Times New Roman" w:hAnsi="Times New Roman" w:eastAsia="宋体" w:cs="Times New Roman"/>
      <w:sz w:val="16"/>
      <w:szCs w:val="16"/>
    </w:rPr>
  </w:style>
  <w:style w:type="character" w:customStyle="1" w:styleId="109">
    <w:name w:val="正文文本 2 Char1"/>
    <w:autoRedefine/>
    <w:semiHidden/>
    <w:qFormat/>
    <w:uiPriority w:val="99"/>
    <w:rPr>
      <w:rFonts w:ascii="Times New Roman" w:hAnsi="Times New Roman" w:eastAsia="宋体" w:cs="Times New Roman"/>
      <w:szCs w:val="20"/>
    </w:rPr>
  </w:style>
  <w:style w:type="character" w:customStyle="1" w:styleId="110">
    <w:name w:val="表内字 Char Char"/>
    <w:link w:val="111"/>
    <w:autoRedefine/>
    <w:qFormat/>
    <w:uiPriority w:val="0"/>
    <w:rPr>
      <w:bCs/>
      <w:szCs w:val="21"/>
      <w:lang w:val="en-US" w:eastAsia="zh-CN" w:bidi="ar-SA"/>
    </w:rPr>
  </w:style>
  <w:style w:type="paragraph" w:customStyle="1" w:styleId="111">
    <w:name w:val="表内字"/>
    <w:link w:val="110"/>
    <w:autoRedefine/>
    <w:qFormat/>
    <w:uiPriority w:val="0"/>
    <w:pPr>
      <w:spacing w:line="360" w:lineRule="exact"/>
      <w:jc w:val="center"/>
    </w:pPr>
    <w:rPr>
      <w:rFonts w:ascii="Calibri" w:hAnsi="Calibri" w:eastAsia="宋体" w:cs="Times New Roman"/>
      <w:bCs/>
      <w:szCs w:val="21"/>
      <w:lang w:val="en-US" w:eastAsia="zh-CN" w:bidi="ar-SA"/>
    </w:rPr>
  </w:style>
  <w:style w:type="character" w:customStyle="1" w:styleId="112">
    <w:name w:val="fontrow151"/>
    <w:basedOn w:val="36"/>
    <w:autoRedefine/>
    <w:qFormat/>
    <w:uiPriority w:val="0"/>
  </w:style>
  <w:style w:type="character" w:customStyle="1" w:styleId="113">
    <w:name w:val="表格、图标题 Char Char"/>
    <w:link w:val="114"/>
    <w:autoRedefine/>
    <w:qFormat/>
    <w:uiPriority w:val="0"/>
    <w:rPr>
      <w:sz w:val="28"/>
    </w:rPr>
  </w:style>
  <w:style w:type="paragraph" w:customStyle="1" w:styleId="114">
    <w:name w:val="表格、图标题"/>
    <w:basedOn w:val="1"/>
    <w:link w:val="113"/>
    <w:autoRedefine/>
    <w:qFormat/>
    <w:uiPriority w:val="0"/>
    <w:pPr>
      <w:adjustRightInd w:val="0"/>
      <w:snapToGrid w:val="0"/>
      <w:spacing w:line="360" w:lineRule="auto"/>
      <w:jc w:val="center"/>
    </w:pPr>
    <w:rPr>
      <w:kern w:val="0"/>
      <w:sz w:val="28"/>
      <w:szCs w:val="20"/>
    </w:rPr>
  </w:style>
  <w:style w:type="character" w:customStyle="1" w:styleId="115">
    <w:name w:val="批注文字 字符1"/>
    <w:autoRedefine/>
    <w:semiHidden/>
    <w:qFormat/>
    <w:uiPriority w:val="0"/>
    <w:rPr>
      <w:rFonts w:ascii="Times New Roman" w:hAnsi="Times New Roman" w:eastAsia="宋体"/>
      <w:sz w:val="24"/>
    </w:rPr>
  </w:style>
  <w:style w:type="character" w:customStyle="1" w:styleId="116">
    <w:name w:val="正文文本缩进 Char"/>
    <w:autoRedefine/>
    <w:qFormat/>
    <w:uiPriority w:val="0"/>
    <w:rPr>
      <w:kern w:val="2"/>
      <w:sz w:val="24"/>
      <w:szCs w:val="24"/>
    </w:rPr>
  </w:style>
  <w:style w:type="character" w:customStyle="1" w:styleId="117">
    <w:name w:val="5正文 Char"/>
    <w:basedOn w:val="36"/>
    <w:link w:val="118"/>
    <w:autoRedefine/>
    <w:qFormat/>
    <w:uiPriority w:val="0"/>
    <w:rPr>
      <w:kern w:val="2"/>
      <w:sz w:val="24"/>
      <w:szCs w:val="24"/>
      <w:lang w:val="en-US" w:eastAsia="zh-CN" w:bidi="ar-SA"/>
    </w:rPr>
  </w:style>
  <w:style w:type="paragraph" w:customStyle="1" w:styleId="118">
    <w:name w:val="5正文"/>
    <w:link w:val="117"/>
    <w:autoRedefine/>
    <w:qFormat/>
    <w:uiPriority w:val="0"/>
    <w:pPr>
      <w:widowControl w:val="0"/>
      <w:spacing w:line="520" w:lineRule="exact"/>
      <w:ind w:firstLine="200" w:firstLineChars="200"/>
      <w:jc w:val="both"/>
    </w:pPr>
    <w:rPr>
      <w:rFonts w:ascii="Calibri" w:hAnsi="Calibri" w:eastAsia="宋体" w:cs="Times New Roman"/>
      <w:kern w:val="2"/>
      <w:sz w:val="24"/>
      <w:szCs w:val="24"/>
      <w:lang w:val="en-US" w:eastAsia="zh-CN" w:bidi="ar-SA"/>
    </w:rPr>
  </w:style>
  <w:style w:type="character" w:customStyle="1" w:styleId="119">
    <w:name w:val="正文首行缩进 Char"/>
    <w:qFormat/>
    <w:uiPriority w:val="0"/>
    <w:rPr>
      <w:kern w:val="2"/>
      <w:sz w:val="28"/>
    </w:rPr>
  </w:style>
  <w:style w:type="character" w:customStyle="1" w:styleId="120">
    <w:name w:val="Char Char6"/>
    <w:qFormat/>
    <w:uiPriority w:val="0"/>
    <w:rPr>
      <w:kern w:val="2"/>
      <w:sz w:val="21"/>
      <w:szCs w:val="24"/>
    </w:rPr>
  </w:style>
  <w:style w:type="character" w:customStyle="1" w:styleId="121">
    <w:name w:val="常用表格样式 Char1"/>
    <w:link w:val="122"/>
    <w:autoRedefine/>
    <w:qFormat/>
    <w:uiPriority w:val="0"/>
    <w:rPr>
      <w:rFonts w:ascii="宋体" w:hAnsi="宋体"/>
      <w:color w:val="000000"/>
      <w:sz w:val="18"/>
    </w:rPr>
  </w:style>
  <w:style w:type="paragraph" w:customStyle="1" w:styleId="122">
    <w:name w:val="常用表格样式"/>
    <w:basedOn w:val="1"/>
    <w:next w:val="1"/>
    <w:link w:val="121"/>
    <w:qFormat/>
    <w:uiPriority w:val="0"/>
    <w:pPr>
      <w:adjustRightInd w:val="0"/>
      <w:snapToGrid w:val="0"/>
      <w:jc w:val="center"/>
    </w:pPr>
    <w:rPr>
      <w:rFonts w:ascii="宋体" w:hAnsi="宋体"/>
      <w:color w:val="000000"/>
      <w:kern w:val="0"/>
      <w:sz w:val="18"/>
      <w:szCs w:val="20"/>
    </w:rPr>
  </w:style>
  <w:style w:type="character" w:customStyle="1" w:styleId="123">
    <w:name w:val="正文缩进 Char2"/>
    <w:qFormat/>
    <w:uiPriority w:val="0"/>
    <w:rPr>
      <w:rFonts w:eastAsia="宋体"/>
      <w:kern w:val="2"/>
      <w:sz w:val="28"/>
      <w:lang w:val="en-US" w:eastAsia="zh-CN" w:bidi="ar-SA"/>
    </w:rPr>
  </w:style>
  <w:style w:type="character" w:customStyle="1" w:styleId="124">
    <w:name w:val="样式4 Char"/>
    <w:qFormat/>
    <w:locked/>
    <w:uiPriority w:val="0"/>
    <w:rPr>
      <w:rFonts w:ascii="楷体_GB2312" w:hAnsi="楷体" w:eastAsia="楷体_GB2312"/>
      <w:b/>
      <w:kern w:val="2"/>
      <w:sz w:val="28"/>
      <w:szCs w:val="28"/>
    </w:rPr>
  </w:style>
  <w:style w:type="character" w:customStyle="1" w:styleId="125">
    <w:name w:val="apple-style-span"/>
    <w:basedOn w:val="36"/>
    <w:qFormat/>
    <w:uiPriority w:val="0"/>
  </w:style>
  <w:style w:type="character" w:customStyle="1" w:styleId="126">
    <w:name w:val="文档结构图 Char1"/>
    <w:semiHidden/>
    <w:qFormat/>
    <w:uiPriority w:val="99"/>
    <w:rPr>
      <w:rFonts w:ascii="Microsoft YaHei UI" w:hAnsi="Times New Roman" w:eastAsia="Microsoft YaHei UI" w:cs="Times New Roman"/>
      <w:sz w:val="18"/>
      <w:szCs w:val="18"/>
    </w:rPr>
  </w:style>
  <w:style w:type="character" w:customStyle="1" w:styleId="127">
    <w:name w:val="正文文本缩进 2 Char1"/>
    <w:semiHidden/>
    <w:qFormat/>
    <w:uiPriority w:val="99"/>
    <w:rPr>
      <w:rFonts w:ascii="Times New Roman" w:hAnsi="Times New Roman" w:eastAsia="宋体" w:cs="Times New Roman"/>
      <w:szCs w:val="20"/>
    </w:rPr>
  </w:style>
  <w:style w:type="character" w:customStyle="1" w:styleId="128">
    <w:name w:val="报告书正文 Char Char"/>
    <w:qFormat/>
    <w:uiPriority w:val="0"/>
    <w:rPr>
      <w:kern w:val="2"/>
      <w:sz w:val="28"/>
      <w:szCs w:val="28"/>
    </w:rPr>
  </w:style>
  <w:style w:type="character" w:customStyle="1" w:styleId="129">
    <w:name w:val="正文文本 字符1"/>
    <w:semiHidden/>
    <w:qFormat/>
    <w:uiPriority w:val="0"/>
    <w:rPr>
      <w:rFonts w:ascii="Times New Roman" w:hAnsi="Times New Roman" w:eastAsia="宋体"/>
      <w:sz w:val="24"/>
    </w:rPr>
  </w:style>
  <w:style w:type="character" w:customStyle="1" w:styleId="130">
    <w:name w:val="正文首行缩进 Char1"/>
    <w:semiHidden/>
    <w:qFormat/>
    <w:uiPriority w:val="99"/>
    <w:rPr>
      <w:rFonts w:ascii="Times New Roman" w:hAnsi="Times New Roman" w:eastAsia="宋体" w:cs="Times New Roman"/>
      <w:sz w:val="18"/>
      <w:szCs w:val="20"/>
    </w:rPr>
  </w:style>
  <w:style w:type="character" w:customStyle="1" w:styleId="131">
    <w:name w:val="spelle"/>
    <w:basedOn w:val="36"/>
    <w:qFormat/>
    <w:uiPriority w:val="0"/>
  </w:style>
  <w:style w:type="character" w:customStyle="1" w:styleId="132">
    <w:name w:val="铭洁 右对齐表头"/>
    <w:basedOn w:val="36"/>
    <w:qFormat/>
    <w:uiPriority w:val="0"/>
    <w:rPr>
      <w:rFonts w:ascii="Times New Roman" w:hAnsi="Times New Roman" w:eastAsia="黑体"/>
      <w:color w:val="FF00FF"/>
      <w:sz w:val="24"/>
      <w:szCs w:val="24"/>
    </w:rPr>
  </w:style>
  <w:style w:type="character" w:customStyle="1" w:styleId="133">
    <w:name w:val="tcss01"/>
    <w:basedOn w:val="36"/>
    <w:qFormat/>
    <w:uiPriority w:val="0"/>
  </w:style>
  <w:style w:type="character" w:customStyle="1" w:styleId="134">
    <w:name w:val="表头 Char Char"/>
    <w:link w:val="135"/>
    <w:autoRedefine/>
    <w:qFormat/>
    <w:uiPriority w:val="0"/>
  </w:style>
  <w:style w:type="paragraph" w:customStyle="1" w:styleId="135">
    <w:name w:val="表头"/>
    <w:basedOn w:val="104"/>
    <w:link w:val="134"/>
    <w:autoRedefine/>
    <w:qFormat/>
    <w:uiPriority w:val="0"/>
    <w:rPr>
      <w:rFonts w:ascii="Times New Roman" w:hAnsi="Times New Roman" w:eastAsia="宋体" w:cs="Times New Roman"/>
      <w:kern w:val="0"/>
      <w:sz w:val="20"/>
      <w:szCs w:val="20"/>
    </w:rPr>
  </w:style>
  <w:style w:type="character" w:customStyle="1" w:styleId="136">
    <w:name w:val="四级之下 （1）批准文件 Char"/>
    <w:link w:val="137"/>
    <w:autoRedefine/>
    <w:qFormat/>
    <w:uiPriority w:val="0"/>
    <w:rPr>
      <w:b/>
      <w:bCs/>
      <w:color w:val="FF0000"/>
      <w:sz w:val="24"/>
      <w:szCs w:val="24"/>
    </w:rPr>
  </w:style>
  <w:style w:type="paragraph" w:customStyle="1" w:styleId="137">
    <w:name w:val="四级之下 （1）批准文件"/>
    <w:basedOn w:val="1"/>
    <w:link w:val="136"/>
    <w:autoRedefine/>
    <w:qFormat/>
    <w:uiPriority w:val="0"/>
    <w:pPr>
      <w:spacing w:line="420" w:lineRule="auto"/>
      <w:ind w:firstLine="482" w:firstLineChars="200"/>
    </w:pPr>
    <w:rPr>
      <w:b/>
      <w:bCs/>
      <w:color w:val="FF0000"/>
      <w:kern w:val="0"/>
      <w:sz w:val="24"/>
    </w:rPr>
  </w:style>
  <w:style w:type="character" w:customStyle="1" w:styleId="138">
    <w:name w:val="【正文】 Char"/>
    <w:link w:val="139"/>
    <w:autoRedefine/>
    <w:qFormat/>
    <w:uiPriority w:val="0"/>
    <w:rPr>
      <w:snapToGrid/>
      <w:color w:val="000000"/>
      <w:sz w:val="24"/>
    </w:rPr>
  </w:style>
  <w:style w:type="paragraph" w:customStyle="1" w:styleId="139">
    <w:name w:val="【正文】"/>
    <w:basedOn w:val="1"/>
    <w:link w:val="138"/>
    <w:autoRedefine/>
    <w:qFormat/>
    <w:uiPriority w:val="0"/>
    <w:pPr>
      <w:spacing w:before="120" w:after="120" w:line="360" w:lineRule="auto"/>
      <w:ind w:firstLine="480" w:firstLineChars="200"/>
    </w:pPr>
    <w:rPr>
      <w:snapToGrid w:val="0"/>
      <w:color w:val="000000"/>
      <w:kern w:val="0"/>
      <w:sz w:val="24"/>
      <w:szCs w:val="20"/>
    </w:rPr>
  </w:style>
  <w:style w:type="character" w:customStyle="1" w:styleId="140">
    <w:name w:val="标题 4 Char"/>
    <w:basedOn w:val="36"/>
    <w:autoRedefine/>
    <w:qFormat/>
    <w:uiPriority w:val="0"/>
    <w:rPr>
      <w:rFonts w:ascii="Arial" w:hAnsi="Arial" w:eastAsia="黑体"/>
      <w:b/>
      <w:kern w:val="2"/>
      <w:sz w:val="28"/>
    </w:rPr>
  </w:style>
  <w:style w:type="character" w:customStyle="1" w:styleId="141">
    <w:name w:val="批注主题 Char"/>
    <w:autoRedefine/>
    <w:semiHidden/>
    <w:qFormat/>
    <w:uiPriority w:val="99"/>
    <w:rPr>
      <w:b/>
      <w:bCs/>
      <w:kern w:val="2"/>
      <w:sz w:val="21"/>
    </w:rPr>
  </w:style>
  <w:style w:type="character" w:customStyle="1" w:styleId="142">
    <w:name w:val="正文 Char1"/>
    <w:autoRedefine/>
    <w:qFormat/>
    <w:uiPriority w:val="0"/>
    <w:rPr>
      <w:rFonts w:ascii="Times New Roman" w:hAnsi="Times New Roman"/>
      <w:kern w:val="2"/>
      <w:sz w:val="28"/>
      <w:szCs w:val="28"/>
    </w:rPr>
  </w:style>
  <w:style w:type="character" w:customStyle="1" w:styleId="143">
    <w:name w:val="text_img"/>
    <w:basedOn w:val="36"/>
    <w:autoRedefine/>
    <w:qFormat/>
    <w:uiPriority w:val="0"/>
  </w:style>
  <w:style w:type="character" w:customStyle="1" w:styleId="144">
    <w:name w:val="000 Char"/>
    <w:link w:val="145"/>
    <w:autoRedefine/>
    <w:qFormat/>
    <w:uiPriority w:val="0"/>
    <w:rPr>
      <w:rFonts w:ascii="宋体" w:hAnsi="宋体" w:cs="宋体"/>
      <w:kern w:val="2"/>
      <w:sz w:val="24"/>
      <w:szCs w:val="24"/>
    </w:rPr>
  </w:style>
  <w:style w:type="paragraph" w:customStyle="1" w:styleId="145">
    <w:name w:val="000"/>
    <w:basedOn w:val="1"/>
    <w:link w:val="144"/>
    <w:autoRedefine/>
    <w:qFormat/>
    <w:uiPriority w:val="0"/>
    <w:pPr>
      <w:snapToGrid w:val="0"/>
      <w:spacing w:line="520" w:lineRule="exact"/>
      <w:ind w:firstLine="200" w:firstLineChars="200"/>
    </w:pPr>
    <w:rPr>
      <w:rFonts w:ascii="宋体" w:hAnsi="宋体"/>
      <w:sz w:val="24"/>
    </w:rPr>
  </w:style>
  <w:style w:type="character" w:customStyle="1" w:styleId="146">
    <w:name w:val="日期 Char2"/>
    <w:autoRedefine/>
    <w:semiHidden/>
    <w:qFormat/>
    <w:uiPriority w:val="99"/>
    <w:rPr>
      <w:rFonts w:ascii="Times New Roman" w:hAnsi="Times New Roman" w:eastAsia="宋体" w:cs="Times New Roman"/>
      <w:szCs w:val="20"/>
    </w:rPr>
  </w:style>
  <w:style w:type="character" w:customStyle="1" w:styleId="147">
    <w:name w:val="表头样式 Char Char Char"/>
    <w:autoRedefine/>
    <w:qFormat/>
    <w:uiPriority w:val="0"/>
    <w:rPr>
      <w:rFonts w:ascii="Times New Roman" w:hAnsi="Times New Roman" w:eastAsia="黑体" w:cs="宋体"/>
      <w:sz w:val="24"/>
      <w:szCs w:val="24"/>
    </w:rPr>
  </w:style>
  <w:style w:type="character" w:customStyle="1" w:styleId="148">
    <w:name w:val="表格、图标题 Char"/>
    <w:autoRedefine/>
    <w:qFormat/>
    <w:uiPriority w:val="0"/>
    <w:rPr>
      <w:kern w:val="2"/>
      <w:sz w:val="28"/>
    </w:rPr>
  </w:style>
  <w:style w:type="character" w:customStyle="1" w:styleId="149">
    <w:name w:val="样式 报告书正文 + 首行缩进:  2 字符2 Char"/>
    <w:link w:val="150"/>
    <w:autoRedefine/>
    <w:qFormat/>
    <w:uiPriority w:val="0"/>
    <w:rPr>
      <w:kern w:val="2"/>
      <w:sz w:val="24"/>
      <w:szCs w:val="24"/>
      <w:lang w:val="zh-CN"/>
    </w:rPr>
  </w:style>
  <w:style w:type="paragraph" w:customStyle="1" w:styleId="150">
    <w:name w:val="样式 报告书正文 + 首行缩进:  2 字符2"/>
    <w:basedOn w:val="1"/>
    <w:link w:val="149"/>
    <w:autoRedefine/>
    <w:qFormat/>
    <w:uiPriority w:val="0"/>
    <w:pPr>
      <w:spacing w:line="360" w:lineRule="auto"/>
      <w:ind w:firstLine="482" w:firstLineChars="200"/>
    </w:pPr>
    <w:rPr>
      <w:sz w:val="24"/>
      <w:lang w:val="zh-CN"/>
    </w:rPr>
  </w:style>
  <w:style w:type="character" w:customStyle="1" w:styleId="151">
    <w:name w:val="文档结构图 Char"/>
    <w:basedOn w:val="36"/>
    <w:autoRedefine/>
    <w:qFormat/>
    <w:uiPriority w:val="0"/>
    <w:rPr>
      <w:rFonts w:ascii="宋体"/>
      <w:kern w:val="2"/>
      <w:sz w:val="18"/>
      <w:szCs w:val="18"/>
    </w:rPr>
  </w:style>
  <w:style w:type="character" w:customStyle="1" w:styleId="152">
    <w:name w:val="Char Char2"/>
    <w:link w:val="153"/>
    <w:autoRedefine/>
    <w:qFormat/>
    <w:uiPriority w:val="0"/>
  </w:style>
  <w:style w:type="paragraph" w:customStyle="1" w:styleId="153">
    <w:name w:val="Char"/>
    <w:basedOn w:val="1"/>
    <w:link w:val="152"/>
    <w:autoRedefine/>
    <w:qFormat/>
    <w:uiPriority w:val="0"/>
    <w:pPr>
      <w:widowControl/>
      <w:snapToGrid w:val="0"/>
      <w:spacing w:line="360" w:lineRule="auto"/>
      <w:ind w:firstLine="529" w:firstLineChars="200"/>
      <w:jc w:val="left"/>
    </w:pPr>
    <w:rPr>
      <w:kern w:val="0"/>
      <w:sz w:val="20"/>
      <w:szCs w:val="20"/>
    </w:rPr>
  </w:style>
  <w:style w:type="character" w:customStyle="1" w:styleId="154">
    <w:name w:val="表格文字 Char Char"/>
    <w:autoRedefine/>
    <w:qFormat/>
    <w:uiPriority w:val="0"/>
    <w:rPr>
      <w:rFonts w:ascii="宋体"/>
      <w:snapToGrid/>
      <w:sz w:val="21"/>
    </w:rPr>
  </w:style>
  <w:style w:type="character" w:customStyle="1" w:styleId="155">
    <w:name w:val="小四 1.75 Char Char"/>
    <w:link w:val="156"/>
    <w:autoRedefine/>
    <w:qFormat/>
    <w:uiPriority w:val="0"/>
    <w:rPr>
      <w:sz w:val="24"/>
      <w:szCs w:val="24"/>
    </w:rPr>
  </w:style>
  <w:style w:type="paragraph" w:customStyle="1" w:styleId="156">
    <w:name w:val="小四 1.75"/>
    <w:basedOn w:val="1"/>
    <w:link w:val="155"/>
    <w:autoRedefine/>
    <w:qFormat/>
    <w:uiPriority w:val="0"/>
    <w:pPr>
      <w:spacing w:line="420" w:lineRule="auto"/>
      <w:ind w:firstLine="480" w:firstLineChars="200"/>
    </w:pPr>
    <w:rPr>
      <w:kern w:val="0"/>
      <w:sz w:val="24"/>
    </w:rPr>
  </w:style>
  <w:style w:type="character" w:customStyle="1" w:styleId="157">
    <w:name w:val="7表格内容 Char Char"/>
    <w:link w:val="158"/>
    <w:autoRedefine/>
    <w:qFormat/>
    <w:uiPriority w:val="0"/>
    <w:rPr>
      <w:kern w:val="2"/>
      <w:sz w:val="21"/>
      <w:szCs w:val="24"/>
      <w:lang w:bidi="ar-SA"/>
    </w:rPr>
  </w:style>
  <w:style w:type="paragraph" w:customStyle="1" w:styleId="158">
    <w:name w:val="7表格内容"/>
    <w:link w:val="157"/>
    <w:autoRedefine/>
    <w:qFormat/>
    <w:uiPriority w:val="0"/>
    <w:pPr>
      <w:widowControl w:val="0"/>
      <w:spacing w:line="400" w:lineRule="exact"/>
      <w:jc w:val="center"/>
    </w:pPr>
    <w:rPr>
      <w:rFonts w:ascii="Calibri" w:hAnsi="Calibri" w:eastAsia="宋体" w:cs="Times New Roman"/>
      <w:kern w:val="2"/>
      <w:sz w:val="21"/>
      <w:szCs w:val="24"/>
      <w:lang w:bidi="ar-SA"/>
    </w:rPr>
  </w:style>
  <w:style w:type="character" w:customStyle="1" w:styleId="159">
    <w:name w:val="00 Char"/>
    <w:link w:val="160"/>
    <w:autoRedefine/>
    <w:qFormat/>
    <w:uiPriority w:val="0"/>
    <w:rPr>
      <w:rFonts w:ascii="宋体" w:hAnsi="宋体" w:cs="宋体"/>
      <w:kern w:val="2"/>
      <w:sz w:val="24"/>
    </w:rPr>
  </w:style>
  <w:style w:type="paragraph" w:customStyle="1" w:styleId="160">
    <w:name w:val="00"/>
    <w:basedOn w:val="1"/>
    <w:link w:val="159"/>
    <w:autoRedefine/>
    <w:qFormat/>
    <w:uiPriority w:val="0"/>
    <w:pPr>
      <w:spacing w:line="520" w:lineRule="exact"/>
      <w:ind w:firstLine="200" w:firstLineChars="200"/>
    </w:pPr>
    <w:rPr>
      <w:rFonts w:ascii="宋体" w:hAnsi="宋体"/>
      <w:sz w:val="24"/>
      <w:szCs w:val="20"/>
    </w:rPr>
  </w:style>
  <w:style w:type="character" w:customStyle="1" w:styleId="161">
    <w:name w:val="日期 字符"/>
    <w:autoRedefine/>
    <w:qFormat/>
    <w:uiPriority w:val="0"/>
    <w:rPr>
      <w:rFonts w:ascii="Times New Roman" w:hAnsi="Times New Roman" w:eastAsia="宋体"/>
      <w:sz w:val="24"/>
    </w:rPr>
  </w:style>
  <w:style w:type="character" w:customStyle="1" w:styleId="162">
    <w:name w:val="font51"/>
    <w:basedOn w:val="36"/>
    <w:autoRedefine/>
    <w:qFormat/>
    <w:uiPriority w:val="0"/>
    <w:rPr>
      <w:rFonts w:hint="default" w:ascii="Times New Roman" w:hAnsi="Times New Roman" w:cs="Times New Roman"/>
      <w:color w:val="000000"/>
      <w:sz w:val="22"/>
      <w:szCs w:val="22"/>
      <w:u w:val="none"/>
      <w:vertAlign w:val="superscript"/>
    </w:rPr>
  </w:style>
  <w:style w:type="character" w:customStyle="1" w:styleId="163">
    <w:name w:val="表头样式 Char"/>
    <w:autoRedefine/>
    <w:qFormat/>
    <w:uiPriority w:val="0"/>
    <w:rPr>
      <w:color w:val="FF0000"/>
      <w:kern w:val="2"/>
      <w:sz w:val="24"/>
      <w:szCs w:val="24"/>
      <w:u w:val="single"/>
    </w:rPr>
  </w:style>
  <w:style w:type="character" w:customStyle="1" w:styleId="164">
    <w:name w:val="Body text (8) + MingLiU3"/>
    <w:basedOn w:val="36"/>
    <w:autoRedefine/>
    <w:qFormat/>
    <w:uiPriority w:val="99"/>
    <w:rPr>
      <w:rFonts w:ascii="MingLiU" w:hAnsi="Lucida Sans Unicode" w:eastAsia="MingLiU" w:cs="MingLiU"/>
      <w:b/>
      <w:bCs/>
      <w:spacing w:val="0"/>
      <w:sz w:val="21"/>
      <w:szCs w:val="21"/>
      <w:u w:val="none"/>
      <w:shd w:val="clear" w:color="auto" w:fill="FFFFFF"/>
      <w:lang w:val="en-US" w:eastAsia="en-US"/>
    </w:rPr>
  </w:style>
  <w:style w:type="character" w:customStyle="1" w:styleId="165">
    <w:name w:val="四级标题 1.9.2.1批准文件 Char"/>
    <w:link w:val="166"/>
    <w:autoRedefine/>
    <w:qFormat/>
    <w:uiPriority w:val="0"/>
    <w:rPr>
      <w:rFonts w:ascii="Arial" w:hAnsi="Arial" w:eastAsia="黑体"/>
      <w:b/>
      <w:sz w:val="28"/>
      <w:szCs w:val="28"/>
    </w:rPr>
  </w:style>
  <w:style w:type="paragraph" w:customStyle="1" w:styleId="166">
    <w:name w:val="四级标题 1.9.2.1批准文件"/>
    <w:basedOn w:val="1"/>
    <w:link w:val="165"/>
    <w:autoRedefine/>
    <w:qFormat/>
    <w:uiPriority w:val="0"/>
    <w:pPr>
      <w:spacing w:line="360" w:lineRule="auto"/>
      <w:outlineLvl w:val="3"/>
    </w:pPr>
    <w:rPr>
      <w:rFonts w:ascii="Arial" w:hAnsi="Arial" w:eastAsia="黑体"/>
      <w:b/>
      <w:kern w:val="0"/>
      <w:sz w:val="28"/>
      <w:szCs w:val="28"/>
    </w:rPr>
  </w:style>
  <w:style w:type="character" w:customStyle="1" w:styleId="167">
    <w:name w:val="标题 5 Char"/>
    <w:basedOn w:val="36"/>
    <w:autoRedefine/>
    <w:qFormat/>
    <w:uiPriority w:val="0"/>
    <w:rPr>
      <w:b/>
      <w:bCs/>
      <w:kern w:val="2"/>
      <w:sz w:val="28"/>
      <w:szCs w:val="28"/>
    </w:rPr>
  </w:style>
  <w:style w:type="character" w:customStyle="1" w:styleId="168">
    <w:name w:val="正文缩进 Char"/>
    <w:autoRedefine/>
    <w:qFormat/>
    <w:uiPriority w:val="0"/>
    <w:rPr>
      <w:kern w:val="2"/>
      <w:sz w:val="21"/>
    </w:rPr>
  </w:style>
  <w:style w:type="character" w:customStyle="1" w:styleId="169">
    <w:name w:val="报告正文 Char"/>
    <w:link w:val="170"/>
    <w:autoRedefine/>
    <w:qFormat/>
    <w:uiPriority w:val="0"/>
    <w:rPr>
      <w:kern w:val="24"/>
      <w:sz w:val="24"/>
      <w:szCs w:val="21"/>
    </w:rPr>
  </w:style>
  <w:style w:type="paragraph" w:customStyle="1" w:styleId="170">
    <w:name w:val="报告正文"/>
    <w:basedOn w:val="1"/>
    <w:link w:val="169"/>
    <w:autoRedefine/>
    <w:qFormat/>
    <w:uiPriority w:val="0"/>
    <w:pPr>
      <w:adjustRightInd w:val="0"/>
      <w:spacing w:before="60" w:beforeLines="25" w:line="360" w:lineRule="auto"/>
      <w:ind w:firstLine="482"/>
      <w:textAlignment w:val="baseline"/>
    </w:pPr>
    <w:rPr>
      <w:kern w:val="24"/>
      <w:sz w:val="24"/>
      <w:szCs w:val="21"/>
    </w:rPr>
  </w:style>
  <w:style w:type="character" w:customStyle="1" w:styleId="171">
    <w:name w:val="纯文本 Char"/>
    <w:autoRedefine/>
    <w:qFormat/>
    <w:uiPriority w:val="0"/>
    <w:rPr>
      <w:rFonts w:ascii="宋体" w:hAnsi="Courier New" w:eastAsia="宋体" w:cs="Courier New"/>
      <w:kern w:val="2"/>
      <w:sz w:val="28"/>
      <w:szCs w:val="21"/>
      <w:lang w:val="en-US" w:eastAsia="zh-CN" w:bidi="ar-SA"/>
    </w:rPr>
  </w:style>
  <w:style w:type="character" w:customStyle="1" w:styleId="172">
    <w:name w:val="样式4 Char Char"/>
    <w:link w:val="173"/>
    <w:autoRedefine/>
    <w:qFormat/>
    <w:uiPriority w:val="0"/>
    <w:rPr>
      <w:rFonts w:ascii="Arial" w:hAnsi="Arial"/>
      <w:b/>
      <w:sz w:val="28"/>
    </w:rPr>
  </w:style>
  <w:style w:type="paragraph" w:customStyle="1" w:styleId="173">
    <w:name w:val="样式4"/>
    <w:basedOn w:val="6"/>
    <w:link w:val="172"/>
    <w:autoRedefine/>
    <w:qFormat/>
    <w:uiPriority w:val="0"/>
    <w:pPr>
      <w:spacing w:before="0" w:after="0" w:line="240" w:lineRule="auto"/>
      <w:ind w:left="562"/>
      <w:jc w:val="left"/>
    </w:pPr>
    <w:rPr>
      <w:rFonts w:eastAsia="宋体"/>
      <w:kern w:val="0"/>
    </w:rPr>
  </w:style>
  <w:style w:type="character" w:customStyle="1" w:styleId="174">
    <w:name w:val="页脚 Char1"/>
    <w:autoRedefine/>
    <w:qFormat/>
    <w:locked/>
    <w:uiPriority w:val="0"/>
    <w:rPr>
      <w:kern w:val="2"/>
      <w:sz w:val="18"/>
    </w:rPr>
  </w:style>
  <w:style w:type="character" w:customStyle="1" w:styleId="175">
    <w:name w:val="页脚 Char"/>
    <w:autoRedefine/>
    <w:qFormat/>
    <w:uiPriority w:val="0"/>
    <w:rPr>
      <w:kern w:val="2"/>
      <w:sz w:val="18"/>
      <w:szCs w:val="18"/>
    </w:rPr>
  </w:style>
  <w:style w:type="character" w:customStyle="1" w:styleId="176">
    <w:name w:val="报告书正文 Char"/>
    <w:link w:val="177"/>
    <w:autoRedefine/>
    <w:qFormat/>
    <w:uiPriority w:val="0"/>
    <w:rPr>
      <w:sz w:val="28"/>
      <w:szCs w:val="28"/>
    </w:rPr>
  </w:style>
  <w:style w:type="paragraph" w:customStyle="1" w:styleId="177">
    <w:name w:val="报告书正文"/>
    <w:basedOn w:val="1"/>
    <w:link w:val="176"/>
    <w:autoRedefine/>
    <w:qFormat/>
    <w:uiPriority w:val="0"/>
    <w:pPr>
      <w:autoSpaceDE w:val="0"/>
      <w:autoSpaceDN w:val="0"/>
      <w:spacing w:line="520" w:lineRule="exact"/>
      <w:ind w:firstLine="200" w:firstLineChars="200"/>
    </w:pPr>
    <w:rPr>
      <w:kern w:val="0"/>
      <w:sz w:val="28"/>
      <w:szCs w:val="28"/>
    </w:rPr>
  </w:style>
  <w:style w:type="character" w:customStyle="1" w:styleId="178">
    <w:name w:val="批注文字 Char"/>
    <w:autoRedefine/>
    <w:qFormat/>
    <w:uiPriority w:val="99"/>
    <w:rPr>
      <w:kern w:val="2"/>
      <w:sz w:val="21"/>
    </w:rPr>
  </w:style>
  <w:style w:type="character" w:customStyle="1" w:styleId="179">
    <w:name w:val="表格 Char"/>
    <w:link w:val="180"/>
    <w:qFormat/>
    <w:locked/>
    <w:uiPriority w:val="0"/>
    <w:rPr>
      <w:rFonts w:ascii="宋体"/>
      <w:sz w:val="21"/>
    </w:rPr>
  </w:style>
  <w:style w:type="paragraph" w:customStyle="1" w:styleId="180">
    <w:name w:val="表格"/>
    <w:basedOn w:val="1"/>
    <w:next w:val="1"/>
    <w:link w:val="179"/>
    <w:qFormat/>
    <w:uiPriority w:val="0"/>
    <w:pPr>
      <w:adjustRightInd w:val="0"/>
      <w:snapToGrid w:val="0"/>
      <w:spacing w:beforeLines="10" w:afterLines="10" w:line="259" w:lineRule="auto"/>
      <w:jc w:val="center"/>
    </w:pPr>
    <w:rPr>
      <w:rFonts w:ascii="宋体"/>
      <w:kern w:val="0"/>
      <w:szCs w:val="20"/>
    </w:rPr>
  </w:style>
  <w:style w:type="character" w:customStyle="1" w:styleId="181">
    <w:name w:val="正文内容 Char"/>
    <w:autoRedefine/>
    <w:qFormat/>
    <w:uiPriority w:val="0"/>
    <w:rPr>
      <w:kern w:val="2"/>
      <w:sz w:val="24"/>
    </w:rPr>
  </w:style>
  <w:style w:type="character" w:customStyle="1" w:styleId="182">
    <w:name w:val="表格 32 Char"/>
    <w:link w:val="183"/>
    <w:autoRedefine/>
    <w:qFormat/>
    <w:uiPriority w:val="0"/>
    <w:rPr>
      <w:rFonts w:ascii="宋体" w:hAnsi="Impact"/>
      <w:kern w:val="24"/>
      <w:sz w:val="24"/>
    </w:rPr>
  </w:style>
  <w:style w:type="paragraph" w:customStyle="1" w:styleId="183">
    <w:name w:val="表格 32"/>
    <w:basedOn w:val="1"/>
    <w:link w:val="182"/>
    <w:autoRedefine/>
    <w:qFormat/>
    <w:uiPriority w:val="0"/>
    <w:pPr>
      <w:autoSpaceDE w:val="0"/>
      <w:autoSpaceDN w:val="0"/>
      <w:adjustRightInd w:val="0"/>
      <w:jc w:val="center"/>
      <w:textAlignment w:val="baseline"/>
    </w:pPr>
    <w:rPr>
      <w:rFonts w:ascii="宋体" w:hAnsi="Impact"/>
      <w:kern w:val="24"/>
      <w:sz w:val="24"/>
      <w:szCs w:val="20"/>
    </w:rPr>
  </w:style>
  <w:style w:type="paragraph" w:styleId="184">
    <w:name w:val="No Spacing"/>
    <w:basedOn w:val="1"/>
    <w:next w:val="17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5">
    <w:name w:val="表格正文"/>
    <w:basedOn w:val="186"/>
    <w:autoRedefine/>
    <w:qFormat/>
    <w:uiPriority w:val="0"/>
    <w:pPr>
      <w:spacing w:after="0" w:afterLines="0"/>
      <w:ind w:firstLine="0"/>
      <w:jc w:val="center"/>
    </w:pPr>
    <w:rPr>
      <w:sz w:val="21"/>
      <w:szCs w:val="21"/>
    </w:rPr>
  </w:style>
  <w:style w:type="paragraph" w:customStyle="1" w:styleId="186">
    <w:name w:val="文字"/>
    <w:basedOn w:val="1"/>
    <w:qFormat/>
    <w:uiPriority w:val="0"/>
    <w:pPr>
      <w:widowControl/>
      <w:spacing w:after="120" w:afterLines="50"/>
      <w:ind w:firstLine="420"/>
    </w:pPr>
    <w:rPr>
      <w:kern w:val="0"/>
      <w:sz w:val="24"/>
      <w:szCs w:val="20"/>
    </w:rPr>
  </w:style>
  <w:style w:type="paragraph" w:customStyle="1" w:styleId="187">
    <w:name w:val="正文格式"/>
    <w:basedOn w:val="1"/>
    <w:autoRedefine/>
    <w:qFormat/>
    <w:uiPriority w:val="0"/>
    <w:pPr>
      <w:spacing w:line="360" w:lineRule="auto"/>
      <w:ind w:firstLine="544" w:firstLineChars="200"/>
    </w:pPr>
    <w:rPr>
      <w:rFonts w:ascii="宋体" w:hAnsi="宋体"/>
      <w:sz w:val="24"/>
    </w:rPr>
  </w:style>
  <w:style w:type="paragraph" w:customStyle="1" w:styleId="188">
    <w:name w:val="char"/>
    <w:basedOn w:val="1"/>
    <w:autoRedefine/>
    <w:qFormat/>
    <w:uiPriority w:val="0"/>
    <w:pPr>
      <w:widowControl/>
      <w:spacing w:before="156" w:beforeLines="50" w:line="360" w:lineRule="exact"/>
      <w:ind w:firstLine="482" w:firstLineChars="200"/>
    </w:pPr>
    <w:rPr>
      <w:szCs w:val="20"/>
    </w:rPr>
  </w:style>
  <w:style w:type="paragraph" w:customStyle="1" w:styleId="189">
    <w:name w:val="样式 小四 行距: 1.5 倍行距"/>
    <w:basedOn w:val="1"/>
    <w:autoRedefine/>
    <w:qFormat/>
    <w:uiPriority w:val="0"/>
    <w:pPr>
      <w:adjustRightInd w:val="0"/>
      <w:snapToGrid w:val="0"/>
      <w:spacing w:line="360" w:lineRule="auto"/>
      <w:ind w:firstLine="200" w:firstLineChars="200"/>
    </w:pPr>
    <w:rPr>
      <w:rFonts w:ascii="楷体_GB2312" w:hAnsi="楷体_GB2312" w:cs="Courier New"/>
      <w:sz w:val="24"/>
      <w:szCs w:val="20"/>
    </w:rPr>
  </w:style>
  <w:style w:type="paragraph" w:customStyle="1" w:styleId="190">
    <w:name w:val="正文3"/>
    <w:basedOn w:val="1"/>
    <w:autoRedefine/>
    <w:qFormat/>
    <w:uiPriority w:val="0"/>
    <w:pPr>
      <w:widowControl/>
      <w:spacing w:line="460" w:lineRule="exact"/>
      <w:ind w:firstLine="480" w:firstLineChars="200"/>
    </w:pPr>
    <w:rPr>
      <w:kern w:val="0"/>
      <w:sz w:val="24"/>
    </w:rPr>
  </w:style>
  <w:style w:type="paragraph" w:customStyle="1" w:styleId="191">
    <w:name w:val="Default"/>
    <w:basedOn w:val="192"/>
    <w:next w:val="1"/>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192">
    <w:name w:val="纯文本1"/>
    <w:basedOn w:val="1"/>
    <w:qFormat/>
    <w:uiPriority w:val="0"/>
    <w:rPr>
      <w:rFonts w:ascii="宋体" w:hAnsi="Courier New"/>
      <w:szCs w:val="21"/>
    </w:rPr>
  </w:style>
  <w:style w:type="paragraph" w:customStyle="1" w:styleId="193">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94">
    <w:name w:val="中文报告书"/>
    <w:basedOn w:val="1"/>
    <w:autoRedefine/>
    <w:qFormat/>
    <w:uiPriority w:val="0"/>
    <w:pPr>
      <w:adjustRightInd w:val="0"/>
      <w:spacing w:after="80" w:line="420" w:lineRule="atLeast"/>
      <w:jc w:val="left"/>
      <w:textAlignment w:val="baseline"/>
    </w:pPr>
    <w:rPr>
      <w:kern w:val="0"/>
      <w:sz w:val="24"/>
      <w:szCs w:val="20"/>
    </w:rPr>
  </w:style>
  <w:style w:type="paragraph" w:customStyle="1" w:styleId="195">
    <w:name w:val="铭洁 不缩进"/>
    <w:basedOn w:val="1"/>
    <w:autoRedefine/>
    <w:qFormat/>
    <w:uiPriority w:val="0"/>
    <w:pPr>
      <w:spacing w:before="20" w:after="20" w:line="420" w:lineRule="auto"/>
    </w:pPr>
    <w:rPr>
      <w:color w:val="0000FF"/>
      <w:sz w:val="24"/>
    </w:rPr>
  </w:style>
  <w:style w:type="paragraph" w:customStyle="1" w:styleId="196">
    <w:name w:val="正文 居中 单倍行距"/>
    <w:basedOn w:val="8"/>
    <w:autoRedefine/>
    <w:qFormat/>
    <w:uiPriority w:val="0"/>
    <w:pPr>
      <w:widowControl/>
      <w:autoSpaceDE w:val="0"/>
      <w:autoSpaceDN w:val="0"/>
      <w:spacing w:beforeLines="200" w:afterLines="200"/>
    </w:pPr>
    <w:rPr>
      <w:rFonts w:ascii="Times New Roman" w:hAnsi="Times New Roman" w:eastAsia="黑体"/>
      <w:color w:val="000000"/>
      <w:kern w:val="0"/>
      <w:sz w:val="24"/>
      <w:szCs w:val="20"/>
      <w:lang w:val="en-US" w:eastAsia="zh-CN"/>
    </w:rPr>
  </w:style>
  <w:style w:type="paragraph" w:customStyle="1" w:styleId="197">
    <w:name w:val="表格标题"/>
    <w:basedOn w:val="1"/>
    <w:qFormat/>
    <w:uiPriority w:val="0"/>
    <w:pPr>
      <w:adjustRightInd w:val="0"/>
      <w:snapToGrid w:val="0"/>
      <w:spacing w:before="10" w:beforeLines="10" w:line="460" w:lineRule="exact"/>
      <w:jc w:val="center"/>
    </w:pPr>
    <w:rPr>
      <w:rFonts w:ascii="Calibri" w:hAnsi="Calibri" w:eastAsia="黑体"/>
      <w:snapToGrid w:val="0"/>
      <w:kern w:val="0"/>
      <w:sz w:val="24"/>
      <w:szCs w:val="20"/>
    </w:rPr>
  </w:style>
  <w:style w:type="paragraph" w:customStyle="1" w:styleId="198">
    <w:name w:val="标题 81"/>
    <w:basedOn w:val="1"/>
    <w:next w:val="1"/>
    <w:autoRedefine/>
    <w:qFormat/>
    <w:uiPriority w:val="0"/>
    <w:pPr>
      <w:keepNext/>
      <w:keepLines/>
      <w:adjustRightInd w:val="0"/>
      <w:spacing w:before="240" w:after="64" w:line="320" w:lineRule="atLeast"/>
      <w:textAlignment w:val="baseline"/>
    </w:pPr>
    <w:rPr>
      <w:rFonts w:ascii="宋体"/>
      <w:kern w:val="0"/>
      <w:sz w:val="24"/>
      <w:szCs w:val="20"/>
    </w:rPr>
  </w:style>
  <w:style w:type="paragraph" w:customStyle="1" w:styleId="199">
    <w:name w:val="表格11"/>
    <w:basedOn w:val="1"/>
    <w:autoRedefine/>
    <w:qFormat/>
    <w:uiPriority w:val="0"/>
    <w:pPr>
      <w:adjustRightInd w:val="0"/>
      <w:snapToGrid w:val="0"/>
      <w:spacing w:line="460" w:lineRule="exact"/>
      <w:jc w:val="center"/>
    </w:pPr>
    <w:rPr>
      <w:sz w:val="24"/>
    </w:rPr>
  </w:style>
  <w:style w:type="paragraph" w:customStyle="1" w:styleId="200">
    <w:name w:val="4"/>
    <w:basedOn w:val="1"/>
    <w:next w:val="16"/>
    <w:autoRedefine/>
    <w:qFormat/>
    <w:uiPriority w:val="0"/>
    <w:pPr>
      <w:spacing w:after="120"/>
      <w:ind w:left="420" w:leftChars="200"/>
    </w:pPr>
  </w:style>
  <w:style w:type="paragraph" w:customStyle="1" w:styleId="201">
    <w:name w:val="Char Char Char Char Char Char1 Char"/>
    <w:basedOn w:val="1"/>
    <w:autoRedefine/>
    <w:qFormat/>
    <w:uiPriority w:val="0"/>
    <w:pPr>
      <w:spacing w:line="360" w:lineRule="auto"/>
      <w:ind w:firstLine="200" w:firstLineChars="200"/>
    </w:pPr>
    <w:rPr>
      <w:rFonts w:ascii="宋体" w:hAnsi="宋体" w:cs="宋体"/>
      <w:sz w:val="24"/>
    </w:rPr>
  </w:style>
  <w:style w:type="paragraph" w:customStyle="1" w:styleId="202">
    <w:name w:val="p18"/>
    <w:basedOn w:val="1"/>
    <w:autoRedefine/>
    <w:qFormat/>
    <w:uiPriority w:val="0"/>
    <w:pPr>
      <w:widowControl/>
      <w:spacing w:before="20" w:after="20" w:line="420" w:lineRule="auto"/>
      <w:ind w:firstLine="420"/>
    </w:pPr>
    <w:rPr>
      <w:color w:val="3366FF"/>
      <w:kern w:val="0"/>
      <w:sz w:val="24"/>
    </w:rPr>
  </w:style>
  <w:style w:type="paragraph" w:customStyle="1" w:styleId="203">
    <w:name w:val="东方工业区表"/>
    <w:basedOn w:val="1"/>
    <w:autoRedefine/>
    <w:qFormat/>
    <w:uiPriority w:val="0"/>
    <w:pPr>
      <w:snapToGrid w:val="0"/>
      <w:jc w:val="center"/>
    </w:pPr>
    <w:rPr>
      <w:rFonts w:ascii="宋体" w:hAnsi="宋体"/>
      <w:kern w:val="0"/>
      <w:sz w:val="24"/>
      <w:szCs w:val="21"/>
      <w:lang w:val="it-IT"/>
    </w:rPr>
  </w:style>
  <w:style w:type="paragraph" w:customStyle="1" w:styleId="204">
    <w:name w:val="铭洁正文首行段前"/>
    <w:basedOn w:val="205"/>
    <w:autoRedefine/>
    <w:qFormat/>
    <w:uiPriority w:val="0"/>
    <w:pPr>
      <w:spacing w:before="240"/>
    </w:pPr>
    <w:rPr>
      <w:color w:val="6600FF"/>
    </w:rPr>
  </w:style>
  <w:style w:type="paragraph" w:customStyle="1" w:styleId="205">
    <w:name w:val="铭洁正文 小四 浅蓝 段前: 1 磅 段后: 1 磅 行距: 多倍行距 1.75 字行"/>
    <w:basedOn w:val="1"/>
    <w:autoRedefine/>
    <w:qFormat/>
    <w:uiPriority w:val="0"/>
    <w:pPr>
      <w:widowControl/>
      <w:spacing w:before="20" w:after="20" w:line="420" w:lineRule="auto"/>
      <w:ind w:firstLine="200" w:firstLineChars="200"/>
    </w:pPr>
    <w:rPr>
      <w:rFonts w:cs="宋体"/>
      <w:color w:val="3366FF"/>
      <w:sz w:val="24"/>
      <w:szCs w:val="20"/>
    </w:rPr>
  </w:style>
  <w:style w:type="paragraph" w:customStyle="1" w:styleId="206">
    <w:name w:val="常用表格文字1"/>
    <w:next w:val="1"/>
    <w:autoRedefine/>
    <w:qFormat/>
    <w:uiPriority w:val="0"/>
    <w:pPr>
      <w:widowControl w:val="0"/>
      <w:jc w:val="center"/>
    </w:pPr>
    <w:rPr>
      <w:rFonts w:ascii="宋体" w:hAnsi="Calibri" w:eastAsia="宋体" w:cs="Times New Roman"/>
      <w:kern w:val="2"/>
      <w:sz w:val="24"/>
      <w:szCs w:val="24"/>
      <w:lang w:val="en-US" w:eastAsia="zh-CN" w:bidi="ar-SA"/>
    </w:rPr>
  </w:style>
  <w:style w:type="paragraph" w:customStyle="1" w:styleId="207">
    <w:name w:val="T正文"/>
    <w:autoRedefine/>
    <w:qFormat/>
    <w:uiPriority w:val="0"/>
    <w:pPr>
      <w:widowControl w:val="0"/>
      <w:adjustRightInd w:val="0"/>
      <w:snapToGrid w:val="0"/>
      <w:spacing w:line="360" w:lineRule="auto"/>
      <w:ind w:firstLine="200" w:firstLineChars="200"/>
      <w:jc w:val="both"/>
    </w:pPr>
    <w:rPr>
      <w:rFonts w:ascii="Calibri" w:hAnsi="Calibri" w:eastAsia="宋体" w:cs="Times New Roman"/>
      <w:sz w:val="24"/>
      <w:lang w:val="en-US" w:eastAsia="zh-CN" w:bidi="ar-SA"/>
    </w:rPr>
  </w:style>
  <w:style w:type="paragraph" w:customStyle="1" w:styleId="208">
    <w:name w:val="表格2"/>
    <w:basedOn w:val="1"/>
    <w:autoRedefine/>
    <w:qFormat/>
    <w:uiPriority w:val="0"/>
    <w:pPr>
      <w:jc w:val="center"/>
    </w:pPr>
    <w:rPr>
      <w:rFonts w:hAnsi="宋体" w:cs="宋体"/>
      <w:szCs w:val="20"/>
    </w:rPr>
  </w:style>
  <w:style w:type="paragraph" w:customStyle="1" w:styleId="209">
    <w:name w:val="样式 小四 首行缩进:  0.85 厘米"/>
    <w:basedOn w:val="1"/>
    <w:autoRedefine/>
    <w:qFormat/>
    <w:uiPriority w:val="0"/>
    <w:pPr>
      <w:spacing w:line="360" w:lineRule="auto"/>
      <w:ind w:firstLine="482"/>
    </w:pPr>
    <w:rPr>
      <w:sz w:val="24"/>
    </w:rPr>
  </w:style>
  <w:style w:type="paragraph" w:customStyle="1" w:styleId="210">
    <w:name w:val="TableStyle12"/>
    <w:basedOn w:val="1"/>
    <w:autoRedefine/>
    <w:qFormat/>
    <w:uiPriority w:val="0"/>
    <w:pPr>
      <w:spacing w:line="360" w:lineRule="auto"/>
      <w:ind w:firstLine="200" w:firstLineChars="200"/>
      <w:jc w:val="center"/>
    </w:pPr>
    <w:rPr>
      <w:sz w:val="24"/>
    </w:rPr>
  </w:style>
  <w:style w:type="paragraph" w:customStyle="1" w:styleId="211">
    <w:name w:val="正文文本缩进1"/>
    <w:basedOn w:val="1"/>
    <w:autoRedefine/>
    <w:qFormat/>
    <w:uiPriority w:val="0"/>
    <w:pPr>
      <w:spacing w:after="120"/>
      <w:ind w:left="420" w:leftChars="200"/>
    </w:pPr>
    <w:rPr>
      <w:rFonts w:eastAsia="Times New Roman"/>
      <w:kern w:val="0"/>
      <w:sz w:val="20"/>
    </w:rPr>
  </w:style>
  <w:style w:type="paragraph" w:customStyle="1" w:styleId="212">
    <w:name w:val="杠式表格"/>
    <w:basedOn w:val="1"/>
    <w:autoRedefine/>
    <w:qFormat/>
    <w:uiPriority w:val="0"/>
    <w:pPr>
      <w:adjustRightInd w:val="0"/>
      <w:spacing w:after="60" w:line="312" w:lineRule="atLeast"/>
      <w:jc w:val="center"/>
      <w:textAlignment w:val="baseline"/>
    </w:pPr>
    <w:rPr>
      <w:kern w:val="0"/>
      <w:szCs w:val="20"/>
    </w:rPr>
  </w:style>
  <w:style w:type="paragraph" w:customStyle="1" w:styleId="213">
    <w:name w:val="小四表文左齐"/>
    <w:basedOn w:val="1"/>
    <w:autoRedefine/>
    <w:qFormat/>
    <w:uiPriority w:val="0"/>
    <w:pPr>
      <w:spacing w:line="360" w:lineRule="auto"/>
      <w:jc w:val="center"/>
    </w:pPr>
    <w:rPr>
      <w:rFonts w:ascii="宋体" w:hAnsi="宋体"/>
      <w:b/>
      <w:bCs/>
      <w:sz w:val="24"/>
    </w:rPr>
  </w:style>
  <w:style w:type="paragraph" w:customStyle="1" w:styleId="214">
    <w:name w:val="p17"/>
    <w:basedOn w:val="1"/>
    <w:autoRedefine/>
    <w:qFormat/>
    <w:uiPriority w:val="0"/>
    <w:pPr>
      <w:widowControl/>
      <w:spacing w:before="20" w:after="20" w:line="360" w:lineRule="auto"/>
      <w:jc w:val="center"/>
    </w:pPr>
    <w:rPr>
      <w:kern w:val="0"/>
      <w:sz w:val="24"/>
    </w:rPr>
  </w:style>
  <w:style w:type="paragraph" w:customStyle="1" w:styleId="215">
    <w:name w:val="p15"/>
    <w:basedOn w:val="1"/>
    <w:autoRedefine/>
    <w:qFormat/>
    <w:uiPriority w:val="0"/>
    <w:pPr>
      <w:widowControl/>
    </w:pPr>
    <w:rPr>
      <w:rFonts w:cs="Calibri"/>
      <w:color w:val="000000"/>
      <w:kern w:val="0"/>
      <w:szCs w:val="21"/>
    </w:rPr>
  </w:style>
  <w:style w:type="paragraph" w:customStyle="1" w:styleId="216">
    <w:name w:val="正文内容42"/>
    <w:basedOn w:val="1"/>
    <w:autoRedefine/>
    <w:qFormat/>
    <w:uiPriority w:val="0"/>
    <w:pPr>
      <w:spacing w:line="360" w:lineRule="auto"/>
      <w:ind w:firstLine="200" w:firstLineChars="200"/>
    </w:pPr>
    <w:rPr>
      <w:rFonts w:cs="宋体"/>
      <w:sz w:val="24"/>
    </w:rPr>
  </w:style>
  <w:style w:type="paragraph" w:styleId="217">
    <w:name w:val="List Paragraph"/>
    <w:basedOn w:val="1"/>
    <w:autoRedefine/>
    <w:qFormat/>
    <w:uiPriority w:val="0"/>
    <w:pPr>
      <w:ind w:firstLine="420" w:firstLineChars="200"/>
    </w:pPr>
    <w:rPr>
      <w:szCs w:val="20"/>
    </w:rPr>
  </w:style>
  <w:style w:type="paragraph" w:customStyle="1" w:styleId="218">
    <w:name w:val="样式 标题 3 +"/>
    <w:basedOn w:val="5"/>
    <w:autoRedefine/>
    <w:qFormat/>
    <w:uiPriority w:val="0"/>
    <w:pPr>
      <w:spacing w:before="0" w:after="0" w:line="360" w:lineRule="auto"/>
    </w:pPr>
    <w:rPr>
      <w:bCs/>
      <w:kern w:val="0"/>
      <w:sz w:val="28"/>
      <w:szCs w:val="32"/>
      <w:lang w:val="en-US" w:eastAsia="zh-CN"/>
    </w:rPr>
  </w:style>
  <w:style w:type="paragraph" w:customStyle="1" w:styleId="219">
    <w:name w:val="样式2"/>
    <w:basedOn w:val="4"/>
    <w:autoRedefine/>
    <w:qFormat/>
    <w:uiPriority w:val="0"/>
    <w:pPr>
      <w:spacing w:before="0" w:after="0" w:line="240" w:lineRule="auto"/>
      <w:ind w:left="562"/>
    </w:pPr>
    <w:rPr>
      <w:rFonts w:ascii="Times New Roman" w:hAnsi="Times New Roman" w:eastAsia="宋体"/>
      <w:sz w:val="28"/>
    </w:rPr>
  </w:style>
  <w:style w:type="paragraph" w:customStyle="1" w:styleId="220">
    <w:name w:val="报告书表格"/>
    <w:basedOn w:val="1"/>
    <w:autoRedefine/>
    <w:qFormat/>
    <w:uiPriority w:val="0"/>
    <w:pPr>
      <w:adjustRightInd w:val="0"/>
      <w:spacing w:before="60" w:after="60" w:line="240" w:lineRule="atLeast"/>
      <w:jc w:val="center"/>
      <w:textAlignment w:val="baseline"/>
    </w:pPr>
    <w:rPr>
      <w:kern w:val="0"/>
      <w:szCs w:val="20"/>
    </w:rPr>
  </w:style>
  <w:style w:type="paragraph" w:customStyle="1" w:styleId="221">
    <w:name w:val="铭洁 缩进三字符"/>
    <w:basedOn w:val="1"/>
    <w:autoRedefine/>
    <w:qFormat/>
    <w:uiPriority w:val="0"/>
    <w:pPr>
      <w:spacing w:before="20" w:after="20" w:line="420" w:lineRule="auto"/>
      <w:ind w:firstLine="300" w:firstLineChars="300"/>
    </w:pPr>
    <w:rPr>
      <w:color w:val="0000FF"/>
      <w:sz w:val="24"/>
    </w:rPr>
  </w:style>
  <w:style w:type="paragraph" w:customStyle="1" w:styleId="222">
    <w:name w:val="Table Paragraph"/>
    <w:basedOn w:val="1"/>
    <w:autoRedefine/>
    <w:qFormat/>
    <w:uiPriority w:val="0"/>
    <w:pPr>
      <w:widowControl/>
      <w:spacing w:line="420" w:lineRule="auto"/>
      <w:ind w:firstLine="482"/>
      <w:jc w:val="left"/>
    </w:pPr>
    <w:rPr>
      <w:kern w:val="0"/>
      <w:sz w:val="22"/>
      <w:szCs w:val="22"/>
    </w:rPr>
  </w:style>
  <w:style w:type="paragraph" w:customStyle="1" w:styleId="22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224">
    <w:name w:val="默认段落字体 Para Char Char Char Char Char Char Char Char Char Char Char Char Char"/>
    <w:basedOn w:val="1"/>
    <w:autoRedefine/>
    <w:qFormat/>
    <w:uiPriority w:val="0"/>
    <w:rPr>
      <w:sz w:val="24"/>
    </w:rPr>
  </w:style>
  <w:style w:type="paragraph" w:customStyle="1" w:styleId="225">
    <w:name w:val="表格1"/>
    <w:basedOn w:val="1"/>
    <w:autoRedefine/>
    <w:qFormat/>
    <w:uiPriority w:val="0"/>
    <w:pPr>
      <w:adjustRightInd w:val="0"/>
      <w:jc w:val="center"/>
    </w:pPr>
    <w:rPr>
      <w:rFonts w:hint="eastAsia" w:ascii="宋体"/>
      <w:kern w:val="0"/>
      <w:sz w:val="24"/>
      <w:szCs w:val="20"/>
    </w:rPr>
  </w:style>
  <w:style w:type="paragraph" w:customStyle="1" w:styleId="226">
    <w:name w:val="Char11"/>
    <w:basedOn w:val="1"/>
    <w:autoRedefine/>
    <w:qFormat/>
    <w:uiPriority w:val="0"/>
    <w:pPr>
      <w:snapToGrid w:val="0"/>
      <w:spacing w:line="360" w:lineRule="auto"/>
      <w:ind w:firstLine="200" w:firstLineChars="200"/>
    </w:pPr>
  </w:style>
  <w:style w:type="paragraph" w:customStyle="1" w:styleId="227">
    <w:name w:val="表第一列"/>
    <w:basedOn w:val="32"/>
    <w:autoRedefine/>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eastAsia="宋体" w:cs="Times New Roman"/>
      <w:color w:val="000000"/>
      <w:spacing w:val="-4"/>
      <w:szCs w:val="20"/>
    </w:rPr>
  </w:style>
  <w:style w:type="paragraph" w:customStyle="1" w:styleId="228">
    <w:name w:val="段"/>
    <w:autoRedefine/>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229">
    <w:name w:val="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30">
    <w:name w:val="表"/>
    <w:basedOn w:val="1"/>
    <w:autoRedefine/>
    <w:qFormat/>
    <w:uiPriority w:val="0"/>
    <w:pPr>
      <w:spacing w:line="360" w:lineRule="auto"/>
      <w:jc w:val="center"/>
    </w:pPr>
    <w:rPr>
      <w:sz w:val="24"/>
      <w:szCs w:val="20"/>
    </w:rPr>
  </w:style>
  <w:style w:type="paragraph" w:customStyle="1" w:styleId="231">
    <w:name w:val="表头格式"/>
    <w:basedOn w:val="1"/>
    <w:autoRedefine/>
    <w:qFormat/>
    <w:uiPriority w:val="0"/>
    <w:pPr>
      <w:jc w:val="center"/>
    </w:pPr>
    <w:rPr>
      <w:rFonts w:ascii="Arial" w:hAnsi="Arial" w:eastAsia="黑体" w:cs="Arial"/>
      <w:kern w:val="28"/>
      <w:sz w:val="24"/>
      <w:szCs w:val="20"/>
    </w:rPr>
  </w:style>
  <w:style w:type="paragraph" w:customStyle="1" w:styleId="232">
    <w:name w:val="铭洁要求的内容 四号 加粗 段前: 7.8 磅 行距: 1.5 倍行距"/>
    <w:basedOn w:val="1"/>
    <w:autoRedefine/>
    <w:qFormat/>
    <w:uiPriority w:val="0"/>
    <w:pPr>
      <w:spacing w:before="156" w:line="360" w:lineRule="auto"/>
    </w:pPr>
    <w:rPr>
      <w:rFonts w:cs="宋体"/>
      <w:b/>
      <w:bCs/>
      <w:sz w:val="25"/>
      <w:szCs w:val="25"/>
    </w:rPr>
  </w:style>
  <w:style w:type="paragraph" w:customStyle="1" w:styleId="233">
    <w:name w:val="Char Char Char"/>
    <w:basedOn w:val="1"/>
    <w:autoRedefine/>
    <w:qFormat/>
    <w:uiPriority w:val="0"/>
    <w:pPr>
      <w:widowControl/>
      <w:adjustRightInd w:val="0"/>
      <w:snapToGrid w:val="0"/>
      <w:spacing w:line="800" w:lineRule="exact"/>
      <w:ind w:right="-111" w:firstLine="630" w:firstLineChars="196"/>
    </w:pPr>
    <w:rPr>
      <w:rFonts w:ascii="宋体" w:hAnsi="宋体" w:eastAsia="仿宋_GB2312" w:cs="Courier New"/>
      <w:b/>
      <w:sz w:val="32"/>
      <w:szCs w:val="32"/>
    </w:rPr>
  </w:style>
  <w:style w:type="paragraph" w:customStyle="1" w:styleId="234">
    <w:name w:val="铭洁砖项表头"/>
    <w:basedOn w:val="1"/>
    <w:autoRedefine/>
    <w:qFormat/>
    <w:uiPriority w:val="0"/>
    <w:pPr>
      <w:spacing w:before="240" w:after="20" w:line="420" w:lineRule="auto"/>
      <w:jc w:val="center"/>
    </w:pPr>
    <w:rPr>
      <w:rFonts w:eastAsia="黑体" w:cs="宋体"/>
      <w:sz w:val="24"/>
      <w:szCs w:val="20"/>
    </w:rPr>
  </w:style>
  <w:style w:type="paragraph" w:customStyle="1" w:styleId="235">
    <w:name w:val="书正文"/>
    <w:basedOn w:val="1"/>
    <w:autoRedefine/>
    <w:qFormat/>
    <w:uiPriority w:val="0"/>
    <w:pPr>
      <w:spacing w:line="500" w:lineRule="exact"/>
      <w:ind w:firstLine="640" w:firstLineChars="200"/>
    </w:pPr>
  </w:style>
  <w:style w:type="paragraph" w:customStyle="1" w:styleId="236">
    <w:name w:val="铭洁表格内 小四 居中 行距: 1.5 倍行距"/>
    <w:basedOn w:val="1"/>
    <w:autoRedefine/>
    <w:qFormat/>
    <w:uiPriority w:val="0"/>
    <w:pPr>
      <w:spacing w:before="20" w:after="20" w:line="360" w:lineRule="auto"/>
      <w:jc w:val="center"/>
    </w:pPr>
    <w:rPr>
      <w:rFonts w:cs="宋体"/>
      <w:sz w:val="24"/>
      <w:szCs w:val="20"/>
    </w:rPr>
  </w:style>
  <w:style w:type="paragraph" w:customStyle="1" w:styleId="237">
    <w:name w:val="TOC 标题1"/>
    <w:basedOn w:val="3"/>
    <w:next w:val="1"/>
    <w:autoRedefine/>
    <w:qFormat/>
    <w:uiPriority w:val="39"/>
    <w:pPr>
      <w:keepLines/>
      <w:overflowPunct/>
      <w:snapToGrid/>
      <w:spacing w:before="340" w:after="330" w:line="578" w:lineRule="auto"/>
      <w:ind w:left="0" w:firstLine="0"/>
      <w:outlineLvl w:val="9"/>
    </w:pPr>
    <w:rPr>
      <w:rFonts w:eastAsia="宋体"/>
      <w:color w:val="auto"/>
      <w:sz w:val="44"/>
      <w:szCs w:val="44"/>
    </w:rPr>
  </w:style>
  <w:style w:type="paragraph" w:customStyle="1" w:styleId="238">
    <w:name w:val="p0"/>
    <w:basedOn w:val="1"/>
    <w:autoRedefine/>
    <w:qFormat/>
    <w:uiPriority w:val="0"/>
    <w:pPr>
      <w:widowControl/>
    </w:pPr>
    <w:rPr>
      <w:kern w:val="0"/>
      <w:sz w:val="28"/>
      <w:szCs w:val="28"/>
    </w:rPr>
  </w:style>
  <w:style w:type="paragraph" w:customStyle="1" w:styleId="239">
    <w:name w:val="样式3"/>
    <w:basedOn w:val="5"/>
    <w:autoRedefine/>
    <w:qFormat/>
    <w:uiPriority w:val="0"/>
    <w:pPr>
      <w:spacing w:before="0" w:after="0" w:line="240" w:lineRule="auto"/>
      <w:ind w:left="562"/>
      <w:jc w:val="left"/>
    </w:pPr>
    <w:rPr>
      <w:sz w:val="28"/>
    </w:rPr>
  </w:style>
  <w:style w:type="paragraph" w:customStyle="1" w:styleId="240">
    <w:name w:val="gb1"/>
    <w:basedOn w:val="1"/>
    <w:autoRedefine/>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kern w:val="0"/>
      <w:szCs w:val="20"/>
    </w:rPr>
  </w:style>
  <w:style w:type="paragraph" w:customStyle="1" w:styleId="241">
    <w:name w:val="表文"/>
    <w:basedOn w:val="15"/>
    <w:next w:val="10"/>
    <w:autoRedefine/>
    <w:qFormat/>
    <w:uiPriority w:val="0"/>
    <w:pPr>
      <w:widowControl w:val="0"/>
      <w:snapToGrid/>
      <w:spacing w:before="0" w:after="0" w:line="400" w:lineRule="exact"/>
      <w:ind w:right="0"/>
      <w:jc w:val="center"/>
    </w:pPr>
    <w:rPr>
      <w:rFonts w:ascii="宋体" w:hAnsi="宋体"/>
      <w:kern w:val="2"/>
      <w:sz w:val="24"/>
      <w:szCs w:val="24"/>
    </w:rPr>
  </w:style>
  <w:style w:type="paragraph" w:customStyle="1" w:styleId="242">
    <w:name w:val="表内容"/>
    <w:basedOn w:val="1"/>
    <w:autoRedefine/>
    <w:qFormat/>
    <w:uiPriority w:val="0"/>
    <w:pPr>
      <w:adjustRightInd w:val="0"/>
      <w:spacing w:before="60" w:after="60" w:line="312" w:lineRule="atLeast"/>
      <w:jc w:val="center"/>
      <w:textAlignment w:val="baseline"/>
    </w:pPr>
    <w:rPr>
      <w:kern w:val="0"/>
      <w:szCs w:val="20"/>
    </w:rPr>
  </w:style>
  <w:style w:type="paragraph" w:customStyle="1" w:styleId="243">
    <w:name w:val="铭洁 公式"/>
    <w:basedOn w:val="1"/>
    <w:autoRedefine/>
    <w:qFormat/>
    <w:uiPriority w:val="0"/>
    <w:pPr>
      <w:spacing w:before="20" w:after="20" w:line="420" w:lineRule="auto"/>
      <w:ind w:firstLine="600" w:firstLineChars="600"/>
    </w:pPr>
    <w:rPr>
      <w:sz w:val="24"/>
    </w:rPr>
  </w:style>
  <w:style w:type="paragraph" w:customStyle="1" w:styleId="244">
    <w:name w:val="unnamed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45">
    <w:name w:val="样式1"/>
    <w:basedOn w:val="3"/>
    <w:autoRedefine/>
    <w:qFormat/>
    <w:uiPriority w:val="0"/>
    <w:pPr>
      <w:keepLines/>
      <w:overflowPunct/>
      <w:snapToGrid/>
      <w:spacing w:before="0" w:after="156" w:afterLines="50" w:line="240" w:lineRule="auto"/>
      <w:ind w:left="0" w:firstLine="0"/>
      <w:jc w:val="left"/>
    </w:pPr>
    <w:rPr>
      <w:rFonts w:eastAsia="宋体"/>
      <w:bCs w:val="0"/>
      <w:color w:val="auto"/>
      <w:szCs w:val="20"/>
    </w:rPr>
  </w:style>
  <w:style w:type="paragraph" w:customStyle="1" w:styleId="246">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47">
    <w:name w:val="正文文本缩进2"/>
    <w:basedOn w:val="1"/>
    <w:autoRedefine/>
    <w:qFormat/>
    <w:uiPriority w:val="0"/>
    <w:pPr>
      <w:spacing w:after="120"/>
      <w:ind w:left="420" w:leftChars="200"/>
    </w:pPr>
    <w:rPr>
      <w:rFonts w:eastAsia="Times New Roman"/>
      <w:kern w:val="0"/>
      <w:sz w:val="20"/>
    </w:rPr>
  </w:style>
  <w:style w:type="paragraph" w:customStyle="1" w:styleId="248">
    <w:name w:val="段落"/>
    <w:basedOn w:val="1"/>
    <w:autoRedefine/>
    <w:qFormat/>
    <w:uiPriority w:val="0"/>
    <w:pPr>
      <w:adjustRightInd w:val="0"/>
      <w:snapToGrid w:val="0"/>
      <w:spacing w:line="300" w:lineRule="auto"/>
      <w:ind w:firstLine="539"/>
    </w:pPr>
    <w:rPr>
      <w:rFonts w:ascii="宋体" w:hAnsi="宋体"/>
      <w:snapToGrid w:val="0"/>
      <w:sz w:val="28"/>
      <w:szCs w:val="20"/>
    </w:rPr>
  </w:style>
  <w:style w:type="paragraph" w:customStyle="1" w:styleId="249">
    <w:name w:val="铭洁一级标题 标题 2 + 红色"/>
    <w:basedOn w:val="4"/>
    <w:autoRedefine/>
    <w:qFormat/>
    <w:uiPriority w:val="0"/>
    <w:pPr>
      <w:spacing w:before="240" w:after="20" w:line="420" w:lineRule="auto"/>
    </w:pPr>
    <w:rPr>
      <w:rFonts w:eastAsia="华文中宋"/>
      <w:b w:val="0"/>
      <w:bCs/>
      <w:color w:val="FF0000"/>
      <w:sz w:val="24"/>
      <w:szCs w:val="24"/>
    </w:rPr>
  </w:style>
  <w:style w:type="paragraph" w:customStyle="1" w:styleId="250">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251">
    <w:name w:val="正文1"/>
    <w:basedOn w:val="1"/>
    <w:next w:val="1"/>
    <w:autoRedefine/>
    <w:qFormat/>
    <w:uiPriority w:val="0"/>
    <w:pPr>
      <w:snapToGrid w:val="0"/>
      <w:spacing w:line="360" w:lineRule="atLeast"/>
      <w:jc w:val="center"/>
    </w:pPr>
    <w:rPr>
      <w:kern w:val="21"/>
      <w:szCs w:val="20"/>
    </w:rPr>
  </w:style>
  <w:style w:type="paragraph" w:customStyle="1" w:styleId="252">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53">
    <w:name w:val="正文_1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4">
    <w:name w:val="Char1"/>
    <w:basedOn w:val="1"/>
    <w:autoRedefine/>
    <w:qFormat/>
    <w:uiPriority w:val="0"/>
    <w:rPr>
      <w:sz w:val="24"/>
    </w:rPr>
  </w:style>
  <w:style w:type="paragraph" w:customStyle="1" w:styleId="255">
    <w:name w:val="样式 四号 加粗 居中 行距: 1.5 倍行距"/>
    <w:basedOn w:val="1"/>
    <w:autoRedefine/>
    <w:qFormat/>
    <w:uiPriority w:val="0"/>
    <w:pPr>
      <w:spacing w:line="360" w:lineRule="auto"/>
      <w:jc w:val="center"/>
    </w:pPr>
    <w:rPr>
      <w:b/>
      <w:sz w:val="28"/>
      <w:szCs w:val="20"/>
    </w:rPr>
  </w:style>
  <w:style w:type="paragraph" w:customStyle="1" w:styleId="256">
    <w:name w:val="Char Char Char1"/>
    <w:basedOn w:val="1"/>
    <w:autoRedefine/>
    <w:qFormat/>
    <w:uiPriority w:val="0"/>
    <w:pPr>
      <w:spacing w:line="360" w:lineRule="auto"/>
      <w:ind w:firstLine="200" w:firstLineChars="200"/>
    </w:pPr>
    <w:rPr>
      <w:rFonts w:ascii="宋体" w:hAnsi="宋体" w:cs="宋体"/>
      <w:sz w:val="24"/>
    </w:rPr>
  </w:style>
  <w:style w:type="paragraph" w:customStyle="1" w:styleId="257">
    <w:name w:val="普通文字 Char"/>
    <w:basedOn w:val="1"/>
    <w:next w:val="15"/>
    <w:autoRedefine/>
    <w:qFormat/>
    <w:uiPriority w:val="0"/>
    <w:pPr>
      <w:adjustRightInd w:val="0"/>
      <w:spacing w:after="120" w:line="360" w:lineRule="atLeast"/>
      <w:textAlignment w:val="baseline"/>
    </w:pPr>
    <w:rPr>
      <w:szCs w:val="20"/>
    </w:rPr>
  </w:style>
  <w:style w:type="paragraph" w:customStyle="1" w:styleId="258">
    <w:name w:val="铭洁尾矿库 正文"/>
    <w:basedOn w:val="1"/>
    <w:autoRedefine/>
    <w:qFormat/>
    <w:uiPriority w:val="0"/>
    <w:pPr>
      <w:widowControl/>
      <w:spacing w:before="20" w:after="20" w:line="420" w:lineRule="auto"/>
      <w:ind w:firstLine="200" w:firstLineChars="200"/>
    </w:pPr>
    <w:rPr>
      <w:rFonts w:cs="宋体"/>
      <w:color w:val="3366FF"/>
      <w:w w:val="101"/>
      <w:sz w:val="25"/>
      <w:szCs w:val="25"/>
    </w:rPr>
  </w:style>
  <w:style w:type="paragraph" w:customStyle="1" w:styleId="259">
    <w:name w:val="pic-info"/>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0">
    <w:name w:val="常用原表字体"/>
    <w:basedOn w:val="80"/>
    <w:next w:val="80"/>
    <w:autoRedefine/>
    <w:qFormat/>
    <w:uiPriority w:val="0"/>
    <w:pPr>
      <w:spacing w:line="240" w:lineRule="auto"/>
      <w:ind w:firstLine="0" w:firstLineChars="0"/>
      <w:jc w:val="left"/>
    </w:pPr>
    <w:rPr>
      <w:rFonts w:eastAsia="宋体"/>
      <w:b/>
      <w:bCs w:val="0"/>
      <w:szCs w:val="22"/>
    </w:rPr>
  </w:style>
  <w:style w:type="paragraph" w:customStyle="1" w:styleId="261">
    <w:name w:val="报告表内字"/>
    <w:autoRedefine/>
    <w:qFormat/>
    <w:uiPriority w:val="0"/>
    <w:pPr>
      <w:spacing w:before="20" w:after="20" w:line="320" w:lineRule="exact"/>
      <w:ind w:firstLine="482"/>
      <w:jc w:val="center"/>
    </w:pPr>
    <w:rPr>
      <w:rFonts w:ascii="Calibri" w:hAnsi="Calibri" w:eastAsia="宋体" w:cs="Times New Roman"/>
      <w:bCs/>
      <w:kern w:val="2"/>
      <w:sz w:val="21"/>
      <w:szCs w:val="21"/>
      <w:lang w:val="en-US" w:eastAsia="zh-CN" w:bidi="ar-SA"/>
    </w:rPr>
  </w:style>
  <w:style w:type="paragraph" w:customStyle="1" w:styleId="262">
    <w:name w:val="1表头大标题"/>
    <w:next w:val="118"/>
    <w:autoRedefine/>
    <w:qFormat/>
    <w:uiPriority w:val="0"/>
    <w:pPr>
      <w:pageBreakBefore/>
      <w:spacing w:line="360" w:lineRule="auto"/>
      <w:outlineLvl w:val="0"/>
    </w:pPr>
    <w:rPr>
      <w:rFonts w:ascii="Calibri" w:hAnsi="Calibri" w:eastAsia="黑体" w:cs="Times New Roman"/>
      <w:b/>
      <w:kern w:val="2"/>
      <w:sz w:val="30"/>
      <w:szCs w:val="24"/>
      <w:lang w:val="en-US" w:eastAsia="zh-CN" w:bidi="ar-SA"/>
    </w:rPr>
  </w:style>
  <w:style w:type="paragraph" w:customStyle="1" w:styleId="263">
    <w:name w:val="Char Char Char Char Char Char Char Char Char Char Char Char Char"/>
    <w:basedOn w:val="1"/>
    <w:autoRedefine/>
    <w:qFormat/>
    <w:uiPriority w:val="0"/>
    <w:pPr>
      <w:snapToGrid w:val="0"/>
      <w:spacing w:line="360" w:lineRule="auto"/>
      <w:ind w:firstLine="200" w:firstLineChars="200"/>
    </w:pPr>
    <w:rPr>
      <w:szCs w:val="20"/>
    </w:rPr>
  </w:style>
  <w:style w:type="paragraph" w:customStyle="1" w:styleId="264">
    <w:name w:val="zhang正文"/>
    <w:basedOn w:val="1"/>
    <w:autoRedefine/>
    <w:qFormat/>
    <w:uiPriority w:val="0"/>
    <w:pPr>
      <w:autoSpaceDE w:val="0"/>
      <w:autoSpaceDN w:val="0"/>
      <w:adjustRightInd w:val="0"/>
      <w:snapToGrid w:val="0"/>
      <w:spacing w:line="500" w:lineRule="exact"/>
      <w:ind w:firstLine="539"/>
      <w:textAlignment w:val="baseline"/>
    </w:pPr>
    <w:rPr>
      <w:rFonts w:eastAsia="楷体_GB2312"/>
      <w:kern w:val="0"/>
      <w:sz w:val="28"/>
      <w:szCs w:val="20"/>
    </w:rPr>
  </w:style>
  <w:style w:type="paragraph" w:customStyle="1" w:styleId="265">
    <w:name w:val="页眉1"/>
    <w:basedOn w:val="1"/>
    <w:autoRedefine/>
    <w:qFormat/>
    <w:uiPriority w:val="0"/>
    <w:pPr>
      <w:pBdr>
        <w:bottom w:val="single" w:color="auto" w:sz="6" w:space="1"/>
      </w:pBdr>
      <w:tabs>
        <w:tab w:val="center" w:pos="4819"/>
        <w:tab w:val="right" w:pos="9071"/>
      </w:tabs>
      <w:adjustRightInd w:val="0"/>
      <w:spacing w:line="240" w:lineRule="atLeast"/>
      <w:jc w:val="center"/>
      <w:textAlignment w:val="baseline"/>
    </w:pPr>
    <w:rPr>
      <w:rFonts w:ascii="宋体"/>
      <w:kern w:val="0"/>
      <w:sz w:val="18"/>
      <w:szCs w:val="20"/>
    </w:rPr>
  </w:style>
  <w:style w:type="paragraph" w:customStyle="1" w:styleId="266">
    <w:name w:val="p16"/>
    <w:basedOn w:val="1"/>
    <w:autoRedefine/>
    <w:qFormat/>
    <w:uiPriority w:val="0"/>
    <w:pPr>
      <w:widowControl/>
      <w:snapToGrid w:val="0"/>
      <w:jc w:val="center"/>
    </w:pPr>
    <w:rPr>
      <w:rFonts w:ascii="宋体" w:hAnsi="宋体" w:cs="宋体"/>
      <w:color w:val="000000"/>
      <w:kern w:val="0"/>
      <w:sz w:val="18"/>
      <w:szCs w:val="18"/>
    </w:rPr>
  </w:style>
  <w:style w:type="paragraph" w:customStyle="1" w:styleId="267">
    <w:name w:val="Z表头"/>
    <w:basedOn w:val="1"/>
    <w:next w:val="1"/>
    <w:autoRedefine/>
    <w:qFormat/>
    <w:uiPriority w:val="0"/>
    <w:pPr>
      <w:tabs>
        <w:tab w:val="left" w:pos="1169"/>
      </w:tabs>
      <w:spacing w:line="480" w:lineRule="exact"/>
      <w:jc w:val="center"/>
    </w:pPr>
    <w:rPr>
      <w:rFonts w:eastAsia="黑体"/>
    </w:rPr>
  </w:style>
  <w:style w:type="paragraph" w:customStyle="1" w:styleId="268">
    <w:name w:val="0表格内容"/>
    <w:basedOn w:val="1"/>
    <w:autoRedefine/>
    <w:qFormat/>
    <w:uiPriority w:val="0"/>
    <w:pPr>
      <w:widowControl w:val="0"/>
      <w:spacing w:line="280" w:lineRule="exact"/>
      <w:jc w:val="center"/>
    </w:pPr>
    <w:rPr>
      <w:rFonts w:eastAsia="宋体"/>
      <w:spacing w:val="2"/>
      <w:sz w:val="22"/>
      <w:szCs w:val="21"/>
    </w:rPr>
  </w:style>
  <w:style w:type="paragraph" w:customStyle="1" w:styleId="269">
    <w:name w:val="表内"/>
    <w:basedOn w:val="1"/>
    <w:autoRedefine/>
    <w:qFormat/>
    <w:uiPriority w:val="99"/>
    <w:pPr>
      <w:widowControl w:val="0"/>
      <w:spacing w:line="280" w:lineRule="exact"/>
      <w:contextualSpacing/>
      <w:jc w:val="center"/>
    </w:pPr>
    <w:rPr>
      <w:rFonts w:eastAsia="宋体" w:cs="Times New Roman"/>
      <w:kern w:val="2"/>
      <w:sz w:val="21"/>
      <w:szCs w:val="21"/>
    </w:rPr>
  </w:style>
  <w:style w:type="paragraph" w:customStyle="1" w:styleId="270">
    <w:name w:val="c表内容"/>
    <w:basedOn w:val="1"/>
    <w:autoRedefine/>
    <w:qFormat/>
    <w:uiPriority w:val="0"/>
    <w:pPr>
      <w:widowControl w:val="0"/>
      <w:spacing w:line="320" w:lineRule="exact"/>
      <w:jc w:val="center"/>
    </w:pPr>
    <w:rPr>
      <w:rFonts w:eastAsia="宋体" w:cs="Times New Roman"/>
      <w:kern w:val="2"/>
      <w:sz w:val="21"/>
      <w:szCs w:val="21"/>
    </w:rPr>
  </w:style>
  <w:style w:type="paragraph" w:customStyle="1" w:styleId="271">
    <w:name w:val="z正文"/>
    <w:basedOn w:val="1"/>
    <w:autoRedefine/>
    <w:qFormat/>
    <w:uiPriority w:val="0"/>
    <w:pPr>
      <w:widowControl w:val="0"/>
      <w:adjustRightInd w:val="0"/>
      <w:ind w:firstLine="200" w:firstLineChars="200"/>
      <w:jc w:val="both"/>
    </w:pPr>
    <w:rPr>
      <w:rFonts w:cs="Times New Roman"/>
      <w:color w:val="000000"/>
      <w:kern w:val="2"/>
      <w:szCs w:val="24"/>
    </w:rPr>
  </w:style>
  <w:style w:type="paragraph" w:customStyle="1" w:styleId="272">
    <w:name w:val="正文_9"/>
    <w:autoRedefine/>
    <w:qFormat/>
    <w:uiPriority w:val="0"/>
    <w:pPr>
      <w:widowControl w:val="0"/>
      <w:jc w:val="both"/>
    </w:pPr>
    <w:rPr>
      <w:rFonts w:ascii="Calibri" w:hAnsi="Calibri" w:eastAsia="宋体" w:cs="Times New Roman"/>
      <w:kern w:val="2"/>
      <w:sz w:val="21"/>
      <w:lang w:val="en-US" w:eastAsia="zh-CN" w:bidi="ar-SA"/>
    </w:rPr>
  </w:style>
  <w:style w:type="paragraph" w:customStyle="1" w:styleId="273">
    <w:name w:val="Body text|1"/>
    <w:basedOn w:val="1"/>
    <w:autoRedefine/>
    <w:qFormat/>
    <w:uiPriority w:val="0"/>
    <w:pPr>
      <w:widowControl w:val="0"/>
      <w:shd w:val="clear" w:color="auto" w:fill="auto"/>
      <w:spacing w:line="410" w:lineRule="auto"/>
      <w:ind w:firstLine="400"/>
    </w:pPr>
    <w:rPr>
      <w:rFonts w:ascii="宋体" w:hAnsi="宋体" w:eastAsia="宋体" w:cs="宋体"/>
      <w:sz w:val="30"/>
      <w:szCs w:val="30"/>
      <w:u w:val="none"/>
      <w:shd w:val="clear" w:color="auto" w:fill="auto"/>
      <w:lang w:val="zh-TW" w:eastAsia="zh-TW" w:bidi="zh-TW"/>
    </w:rPr>
  </w:style>
  <w:style w:type="paragraph" w:customStyle="1" w:styleId="274">
    <w:name w:val="表 内容"/>
    <w:basedOn w:val="1"/>
    <w:autoRedefine/>
    <w:qFormat/>
    <w:uiPriority w:val="0"/>
    <w:pPr>
      <w:widowControl w:val="0"/>
      <w:adjustRightInd w:val="0"/>
      <w:snapToGrid w:val="0"/>
      <w:spacing w:line="240" w:lineRule="atLeast"/>
      <w:jc w:val="center"/>
    </w:pPr>
    <w:rPr>
      <w:rFonts w:eastAsia="宋体" w:cs="Times New Roman"/>
      <w:kern w:val="2"/>
      <w:sz w:val="21"/>
      <w:szCs w:val="21"/>
    </w:rPr>
  </w:style>
  <w:style w:type="paragraph" w:customStyle="1" w:styleId="275">
    <w:name w:val="000 正文"/>
    <w:basedOn w:val="1"/>
    <w:autoRedefine/>
    <w:qFormat/>
    <w:uiPriority w:val="99"/>
    <w:pPr>
      <w:spacing w:line="520" w:lineRule="exact"/>
      <w:ind w:firstLine="200" w:firstLineChars="200"/>
      <w:jc w:val="left"/>
    </w:pPr>
    <w:rPr>
      <w:sz w:val="24"/>
    </w:rPr>
  </w:style>
  <w:style w:type="paragraph" w:customStyle="1" w:styleId="276">
    <w:name w:val="表格左五"/>
    <w:basedOn w:val="1"/>
    <w:autoRedefine/>
    <w:qFormat/>
    <w:uiPriority w:val="0"/>
    <w:pPr>
      <w:widowControl w:val="0"/>
      <w:spacing w:line="280" w:lineRule="exact"/>
      <w:jc w:val="center"/>
    </w:pPr>
    <w:rPr>
      <w:szCs w:val="24"/>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75.jpeg"/><Relationship Id="rId96" Type="http://schemas.openxmlformats.org/officeDocument/2006/relationships/image" Target="media/image74.jpeg"/><Relationship Id="rId95" Type="http://schemas.openxmlformats.org/officeDocument/2006/relationships/image" Target="media/image73.jpeg"/><Relationship Id="rId94" Type="http://schemas.openxmlformats.org/officeDocument/2006/relationships/image" Target="media/image72.jpeg"/><Relationship Id="rId93" Type="http://schemas.openxmlformats.org/officeDocument/2006/relationships/image" Target="media/image71.jpeg"/><Relationship Id="rId92" Type="http://schemas.openxmlformats.org/officeDocument/2006/relationships/image" Target="media/image70.jpeg"/><Relationship Id="rId91" Type="http://schemas.openxmlformats.org/officeDocument/2006/relationships/image" Target="media/image69.jpeg"/><Relationship Id="rId90" Type="http://schemas.openxmlformats.org/officeDocument/2006/relationships/image" Target="media/image68.jpeg"/><Relationship Id="rId9" Type="http://schemas.openxmlformats.org/officeDocument/2006/relationships/footer" Target="footer5.xml"/><Relationship Id="rId89" Type="http://schemas.openxmlformats.org/officeDocument/2006/relationships/image" Target="media/image67.jpeg"/><Relationship Id="rId88" Type="http://schemas.openxmlformats.org/officeDocument/2006/relationships/image" Target="media/image66.jpeg"/><Relationship Id="rId87" Type="http://schemas.openxmlformats.org/officeDocument/2006/relationships/image" Target="media/image65.jpeg"/><Relationship Id="rId86" Type="http://schemas.openxmlformats.org/officeDocument/2006/relationships/image" Target="media/image64.jpeg"/><Relationship Id="rId85" Type="http://schemas.openxmlformats.org/officeDocument/2006/relationships/image" Target="media/image63.jpeg"/><Relationship Id="rId84" Type="http://schemas.openxmlformats.org/officeDocument/2006/relationships/image" Target="media/image62.jpeg"/><Relationship Id="rId83" Type="http://schemas.openxmlformats.org/officeDocument/2006/relationships/image" Target="media/image61.jpeg"/><Relationship Id="rId82" Type="http://schemas.openxmlformats.org/officeDocument/2006/relationships/image" Target="media/image60.jpeg"/><Relationship Id="rId81" Type="http://schemas.openxmlformats.org/officeDocument/2006/relationships/image" Target="media/image59.jpeg"/><Relationship Id="rId80" Type="http://schemas.openxmlformats.org/officeDocument/2006/relationships/image" Target="media/image58.jpeg"/><Relationship Id="rId8" Type="http://schemas.openxmlformats.org/officeDocument/2006/relationships/header" Target="header2.xml"/><Relationship Id="rId79" Type="http://schemas.openxmlformats.org/officeDocument/2006/relationships/image" Target="media/image57.jpeg"/><Relationship Id="rId78" Type="http://schemas.openxmlformats.org/officeDocument/2006/relationships/image" Target="media/image56.jpeg"/><Relationship Id="rId77" Type="http://schemas.openxmlformats.org/officeDocument/2006/relationships/image" Target="media/image55.jpeg"/><Relationship Id="rId76" Type="http://schemas.openxmlformats.org/officeDocument/2006/relationships/image" Target="media/image54.jpeg"/><Relationship Id="rId75" Type="http://schemas.openxmlformats.org/officeDocument/2006/relationships/image" Target="media/image53.jpeg"/><Relationship Id="rId74" Type="http://schemas.openxmlformats.org/officeDocument/2006/relationships/image" Target="media/image52.jpeg"/><Relationship Id="rId73" Type="http://schemas.openxmlformats.org/officeDocument/2006/relationships/image" Target="media/image51.jpeg"/><Relationship Id="rId72" Type="http://schemas.openxmlformats.org/officeDocument/2006/relationships/image" Target="media/image50.jpeg"/><Relationship Id="rId71" Type="http://schemas.openxmlformats.org/officeDocument/2006/relationships/image" Target="media/image49.jpeg"/><Relationship Id="rId70" Type="http://schemas.openxmlformats.org/officeDocument/2006/relationships/image" Target="media/image48.jpeg"/><Relationship Id="rId7" Type="http://schemas.openxmlformats.org/officeDocument/2006/relationships/footer" Target="footer4.xml"/><Relationship Id="rId69" Type="http://schemas.openxmlformats.org/officeDocument/2006/relationships/image" Target="media/image47.jpeg"/><Relationship Id="rId68" Type="http://schemas.openxmlformats.org/officeDocument/2006/relationships/image" Target="media/image46.jpeg"/><Relationship Id="rId67" Type="http://schemas.openxmlformats.org/officeDocument/2006/relationships/image" Target="media/image45.jpeg"/><Relationship Id="rId66" Type="http://schemas.openxmlformats.org/officeDocument/2006/relationships/image" Target="media/image44.jpeg"/><Relationship Id="rId65" Type="http://schemas.openxmlformats.org/officeDocument/2006/relationships/image" Target="media/image43.jpeg"/><Relationship Id="rId64" Type="http://schemas.openxmlformats.org/officeDocument/2006/relationships/image" Target="media/image42.jpeg"/><Relationship Id="rId63" Type="http://schemas.openxmlformats.org/officeDocument/2006/relationships/image" Target="media/image41.jpeg"/><Relationship Id="rId62" Type="http://schemas.openxmlformats.org/officeDocument/2006/relationships/image" Target="media/image40.jpeg"/><Relationship Id="rId61" Type="http://schemas.openxmlformats.org/officeDocument/2006/relationships/image" Target="media/image39.jpeg"/><Relationship Id="rId60" Type="http://schemas.openxmlformats.org/officeDocument/2006/relationships/image" Target="media/image38.jpeg"/><Relationship Id="rId6" Type="http://schemas.openxmlformats.org/officeDocument/2006/relationships/header" Target="header1.xml"/><Relationship Id="rId59" Type="http://schemas.openxmlformats.org/officeDocument/2006/relationships/image" Target="media/image37.jpeg"/><Relationship Id="rId58" Type="http://schemas.openxmlformats.org/officeDocument/2006/relationships/image" Target="media/image36.jpeg"/><Relationship Id="rId57" Type="http://schemas.openxmlformats.org/officeDocument/2006/relationships/image" Target="media/image35.jpeg"/><Relationship Id="rId56" Type="http://schemas.openxmlformats.org/officeDocument/2006/relationships/image" Target="media/image34.jpeg"/><Relationship Id="rId55" Type="http://schemas.openxmlformats.org/officeDocument/2006/relationships/image" Target="media/image33.jpeg"/><Relationship Id="rId54" Type="http://schemas.openxmlformats.org/officeDocument/2006/relationships/image" Target="media/image32.jpeg"/><Relationship Id="rId53" Type="http://schemas.openxmlformats.org/officeDocument/2006/relationships/image" Target="media/image31.jpeg"/><Relationship Id="rId52" Type="http://schemas.openxmlformats.org/officeDocument/2006/relationships/image" Target="media/image30.png"/><Relationship Id="rId51" Type="http://schemas.openxmlformats.org/officeDocument/2006/relationships/image" Target="media/image29.bmp"/><Relationship Id="rId50" Type="http://schemas.openxmlformats.org/officeDocument/2006/relationships/image" Target="media/image28.jpeg"/><Relationship Id="rId5" Type="http://schemas.openxmlformats.org/officeDocument/2006/relationships/footer" Target="footer3.xml"/><Relationship Id="rId49" Type="http://schemas.openxmlformats.org/officeDocument/2006/relationships/image" Target="media/image27.jpeg"/><Relationship Id="rId48" Type="http://schemas.openxmlformats.org/officeDocument/2006/relationships/image" Target="media/image26.jpeg"/><Relationship Id="rId47" Type="http://schemas.openxmlformats.org/officeDocument/2006/relationships/image" Target="media/image25.jpeg"/><Relationship Id="rId46" Type="http://schemas.openxmlformats.org/officeDocument/2006/relationships/image" Target="media/image24.png"/><Relationship Id="rId45" Type="http://schemas.openxmlformats.org/officeDocument/2006/relationships/image" Target="media/image23.jpeg"/><Relationship Id="rId44" Type="http://schemas.openxmlformats.org/officeDocument/2006/relationships/image" Target="media/image22.jpeg"/><Relationship Id="rId43" Type="http://schemas.openxmlformats.org/officeDocument/2006/relationships/image" Target="media/image21.png"/><Relationship Id="rId42" Type="http://schemas.openxmlformats.org/officeDocument/2006/relationships/image" Target="media/image20.jpeg"/><Relationship Id="rId41" Type="http://schemas.openxmlformats.org/officeDocument/2006/relationships/image" Target="media/image19.jpeg"/><Relationship Id="rId40" Type="http://schemas.openxmlformats.org/officeDocument/2006/relationships/image" Target="media/image18.wmf"/><Relationship Id="rId4" Type="http://schemas.openxmlformats.org/officeDocument/2006/relationships/footer" Target="footer2.xml"/><Relationship Id="rId39" Type="http://schemas.openxmlformats.org/officeDocument/2006/relationships/oleObject" Target="embeddings/oleObject10.bin"/><Relationship Id="rId38" Type="http://schemas.openxmlformats.org/officeDocument/2006/relationships/image" Target="media/image17.emf"/><Relationship Id="rId37" Type="http://schemas.openxmlformats.org/officeDocument/2006/relationships/oleObject" Target="embeddings/oleObject9.bin"/><Relationship Id="rId36" Type="http://schemas.openxmlformats.org/officeDocument/2006/relationships/image" Target="media/image16.emf"/><Relationship Id="rId35" Type="http://schemas.openxmlformats.org/officeDocument/2006/relationships/oleObject" Target="embeddings/oleObject8.bin"/><Relationship Id="rId34" Type="http://schemas.openxmlformats.org/officeDocument/2006/relationships/image" Target="media/image15.emf"/><Relationship Id="rId33" Type="http://schemas.openxmlformats.org/officeDocument/2006/relationships/oleObject" Target="embeddings/oleObject7.bin"/><Relationship Id="rId32" Type="http://schemas.openxmlformats.org/officeDocument/2006/relationships/image" Target="media/image14.emf"/><Relationship Id="rId31" Type="http://schemas.openxmlformats.org/officeDocument/2006/relationships/oleObject" Target="embeddings/oleObject6.bin"/><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2.emf"/><Relationship Id="rId27" Type="http://schemas.openxmlformats.org/officeDocument/2006/relationships/oleObject" Target="embeddings/oleObject4.bin"/><Relationship Id="rId26" Type="http://schemas.openxmlformats.org/officeDocument/2006/relationships/image" Target="media/image11.emf"/><Relationship Id="rId25" Type="http://schemas.openxmlformats.org/officeDocument/2006/relationships/oleObject" Target="embeddings/oleObject3.bin"/><Relationship Id="rId24" Type="http://schemas.openxmlformats.org/officeDocument/2006/relationships/image" Target="media/image10.emf"/><Relationship Id="rId23" Type="http://schemas.openxmlformats.org/officeDocument/2006/relationships/oleObject" Target="embeddings/oleObject2.bin"/><Relationship Id="rId22" Type="http://schemas.openxmlformats.org/officeDocument/2006/relationships/image" Target="media/image9.emf"/><Relationship Id="rId21" Type="http://schemas.openxmlformats.org/officeDocument/2006/relationships/oleObject" Target="embeddings/oleObject1.bin"/><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0" Type="http://schemas.openxmlformats.org/officeDocument/2006/relationships/fontTable" Target="fontTable.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129</Pages>
  <Words>13257</Words>
  <Characters>14758</Characters>
  <Lines>198</Lines>
  <Paragraphs>55</Paragraphs>
  <TotalTime>337</TotalTime>
  <ScaleCrop>false</ScaleCrop>
  <LinksUpToDate>false</LinksUpToDate>
  <CharactersWithSpaces>14913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遇见·安然</dc:creator>
  <cp:lastModifiedBy>Lin</cp:lastModifiedBy>
  <cp:lastPrinted>2023-12-07T08:06:00Z</cp:lastPrinted>
  <dcterms:modified xsi:type="dcterms:W3CDTF">2025-06-23T02:15:12Z</dcterms:modified>
  <dc:title>环境影响评价</dc:title>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0EA7BE4DBEF1470FA8D50FFFB4C3F215</vt:lpwstr>
  </property>
</Properties>
</file>