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16F95">
      <w:pPr>
        <w:pStyle w:val="2"/>
        <w:spacing w:before="104" w:line="219" w:lineRule="auto"/>
        <w:jc w:val="center"/>
        <w:rPr>
          <w:rFonts w:hint="eastAsia" w:ascii="Times New Roman" w:hAnsi="Times New Roman" w:eastAsia="宋体" w:cs="Times New Roman"/>
          <w:sz w:val="32"/>
          <w:szCs w:val="32"/>
          <w:lang w:eastAsia="zh-CN"/>
        </w:rPr>
      </w:pPr>
      <w:r>
        <w:rPr>
          <w:rFonts w:hint="eastAsia" w:ascii="Times New Roman" w:hAnsi="Times New Roman" w:cs="Times New Roman"/>
          <w:b/>
          <w:bCs/>
          <w:spacing w:val="3"/>
          <w:sz w:val="44"/>
          <w:szCs w:val="44"/>
          <w:lang w:eastAsia="zh-CN"/>
        </w:rPr>
        <w:t>渑池县自然资源局</w:t>
      </w:r>
      <w:r>
        <w:rPr>
          <w:rFonts w:hint="default" w:ascii="Times New Roman" w:hAnsi="Times New Roman" w:cs="Times New Roman"/>
          <w:b/>
          <w:bCs/>
          <w:spacing w:val="3"/>
          <w:sz w:val="44"/>
          <w:szCs w:val="44"/>
        </w:rPr>
        <w:t>下属</w:t>
      </w:r>
      <w:r>
        <w:rPr>
          <w:rFonts w:hint="eastAsia" w:ascii="Times New Roman" w:hAnsi="Times New Roman" w:cs="Times New Roman"/>
          <w:b/>
          <w:bCs/>
          <w:spacing w:val="3"/>
          <w:sz w:val="44"/>
          <w:szCs w:val="44"/>
          <w:lang w:eastAsia="zh-CN"/>
        </w:rPr>
        <w:t>各部门</w:t>
      </w:r>
      <w:r>
        <w:rPr>
          <w:rFonts w:hint="default" w:ascii="Times New Roman" w:hAnsi="Times New Roman" w:cs="Times New Roman"/>
          <w:b/>
          <w:bCs/>
          <w:spacing w:val="3"/>
          <w:sz w:val="44"/>
          <w:szCs w:val="44"/>
        </w:rPr>
        <w:t>综合性涉企收费目录清单</w:t>
      </w:r>
    </w:p>
    <w:p w14:paraId="29102813">
      <w:pPr>
        <w:spacing w:before="38"/>
        <w:rPr>
          <w:rFonts w:hint="eastAsia" w:ascii="Times New Roman" w:hAnsi="Times New Roman" w:eastAsia="宋体" w:cs="Times New Roman"/>
          <w:sz w:val="28"/>
          <w:szCs w:val="28"/>
          <w:lang w:eastAsia="zh-CN"/>
        </w:rPr>
      </w:pPr>
    </w:p>
    <w:tbl>
      <w:tblPr>
        <w:tblStyle w:val="6"/>
        <w:tblW w:w="144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149"/>
        <w:gridCol w:w="1399"/>
        <w:gridCol w:w="989"/>
        <w:gridCol w:w="1229"/>
        <w:gridCol w:w="1639"/>
        <w:gridCol w:w="2108"/>
        <w:gridCol w:w="1215"/>
        <w:gridCol w:w="1599"/>
        <w:gridCol w:w="1146"/>
        <w:gridCol w:w="1217"/>
      </w:tblGrid>
      <w:tr w14:paraId="26FC7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15" w:type="dxa"/>
            <w:vAlign w:val="center"/>
          </w:tcPr>
          <w:p w14:paraId="62562734">
            <w:pPr>
              <w:spacing w:before="175" w:line="221" w:lineRule="auto"/>
              <w:ind w:left="125"/>
              <w:jc w:val="center"/>
              <w:rPr>
                <w:rFonts w:hint="eastAsia" w:ascii="黑体" w:hAnsi="黑体" w:eastAsia="黑体" w:cs="黑体"/>
                <w:sz w:val="22"/>
                <w:szCs w:val="22"/>
              </w:rPr>
            </w:pPr>
            <w:r>
              <w:rPr>
                <w:rFonts w:hint="eastAsia" w:ascii="黑体" w:hAnsi="黑体" w:eastAsia="黑体" w:cs="黑体"/>
                <w:spacing w:val="6"/>
                <w:sz w:val="22"/>
                <w:szCs w:val="22"/>
              </w:rPr>
              <w:t>序号</w:t>
            </w:r>
          </w:p>
        </w:tc>
        <w:tc>
          <w:tcPr>
            <w:tcW w:w="1149" w:type="dxa"/>
            <w:vAlign w:val="center"/>
          </w:tcPr>
          <w:p w14:paraId="303C9168">
            <w:pPr>
              <w:spacing w:before="174" w:line="219" w:lineRule="auto"/>
              <w:ind w:left="120"/>
              <w:jc w:val="center"/>
              <w:rPr>
                <w:rFonts w:hint="eastAsia" w:ascii="黑体" w:hAnsi="黑体" w:eastAsia="黑体" w:cs="黑体"/>
                <w:sz w:val="22"/>
                <w:szCs w:val="22"/>
              </w:rPr>
            </w:pPr>
            <w:r>
              <w:rPr>
                <w:rFonts w:hint="eastAsia" w:ascii="黑体" w:hAnsi="黑体" w:eastAsia="黑体" w:cs="黑体"/>
                <w:spacing w:val="2"/>
                <w:sz w:val="22"/>
                <w:szCs w:val="22"/>
                <w:lang w:eastAsia="zh-CN"/>
              </w:rPr>
              <w:t>单位</w:t>
            </w:r>
            <w:bookmarkStart w:id="0" w:name="_GoBack"/>
            <w:bookmarkEnd w:id="0"/>
            <w:r>
              <w:rPr>
                <w:rFonts w:hint="eastAsia" w:ascii="黑体" w:hAnsi="黑体" w:eastAsia="黑体" w:cs="黑体"/>
                <w:spacing w:val="2"/>
                <w:sz w:val="22"/>
                <w:szCs w:val="22"/>
              </w:rPr>
              <w:t>名称</w:t>
            </w:r>
          </w:p>
        </w:tc>
        <w:tc>
          <w:tcPr>
            <w:tcW w:w="1399" w:type="dxa"/>
            <w:vAlign w:val="center"/>
          </w:tcPr>
          <w:p w14:paraId="7E609D36">
            <w:pPr>
              <w:spacing w:before="174" w:line="219" w:lineRule="auto"/>
              <w:ind w:left="30"/>
              <w:jc w:val="center"/>
              <w:rPr>
                <w:rFonts w:hint="eastAsia" w:ascii="黑体" w:hAnsi="黑体" w:eastAsia="黑体" w:cs="黑体"/>
                <w:sz w:val="22"/>
                <w:szCs w:val="22"/>
              </w:rPr>
            </w:pPr>
            <w:r>
              <w:rPr>
                <w:rFonts w:hint="eastAsia" w:ascii="黑体" w:hAnsi="黑体" w:eastAsia="黑体" w:cs="黑体"/>
                <w:spacing w:val="1"/>
                <w:sz w:val="22"/>
                <w:szCs w:val="22"/>
              </w:rPr>
              <w:t>收费单位名称</w:t>
            </w:r>
          </w:p>
        </w:tc>
        <w:tc>
          <w:tcPr>
            <w:tcW w:w="989" w:type="dxa"/>
            <w:vAlign w:val="center"/>
          </w:tcPr>
          <w:p w14:paraId="34B0FBDE">
            <w:pPr>
              <w:spacing w:before="174" w:line="220" w:lineRule="auto"/>
              <w:ind w:left="41"/>
              <w:jc w:val="center"/>
              <w:rPr>
                <w:rFonts w:hint="eastAsia" w:ascii="黑体" w:hAnsi="黑体" w:eastAsia="黑体" w:cs="黑体"/>
                <w:sz w:val="22"/>
                <w:szCs w:val="22"/>
              </w:rPr>
            </w:pPr>
            <w:r>
              <w:rPr>
                <w:rFonts w:hint="eastAsia" w:ascii="黑体" w:hAnsi="黑体" w:eastAsia="黑体" w:cs="黑体"/>
                <w:spacing w:val="6"/>
                <w:sz w:val="22"/>
                <w:szCs w:val="22"/>
              </w:rPr>
              <w:t>单位性质</w:t>
            </w:r>
          </w:p>
        </w:tc>
        <w:tc>
          <w:tcPr>
            <w:tcW w:w="1229" w:type="dxa"/>
            <w:vAlign w:val="center"/>
          </w:tcPr>
          <w:p w14:paraId="17001DE8">
            <w:pPr>
              <w:spacing w:before="174" w:line="219" w:lineRule="auto"/>
              <w:ind w:left="162"/>
              <w:jc w:val="center"/>
              <w:rPr>
                <w:rFonts w:hint="eastAsia" w:ascii="黑体" w:hAnsi="黑体" w:eastAsia="黑体" w:cs="黑体"/>
                <w:sz w:val="22"/>
                <w:szCs w:val="22"/>
              </w:rPr>
            </w:pPr>
            <w:r>
              <w:rPr>
                <w:rFonts w:hint="eastAsia" w:ascii="黑体" w:hAnsi="黑体" w:eastAsia="黑体" w:cs="黑体"/>
                <w:spacing w:val="10"/>
                <w:sz w:val="22"/>
                <w:szCs w:val="22"/>
              </w:rPr>
              <w:t>收费项目</w:t>
            </w:r>
          </w:p>
        </w:tc>
        <w:tc>
          <w:tcPr>
            <w:tcW w:w="1639" w:type="dxa"/>
            <w:vAlign w:val="center"/>
          </w:tcPr>
          <w:p w14:paraId="2482C978">
            <w:pPr>
              <w:spacing w:before="174" w:line="219" w:lineRule="auto"/>
              <w:ind w:left="373"/>
              <w:jc w:val="both"/>
              <w:rPr>
                <w:rFonts w:hint="eastAsia" w:ascii="黑体" w:hAnsi="黑体" w:eastAsia="黑体" w:cs="黑体"/>
                <w:sz w:val="22"/>
                <w:szCs w:val="22"/>
              </w:rPr>
            </w:pPr>
            <w:r>
              <w:rPr>
                <w:rFonts w:hint="eastAsia" w:ascii="黑体" w:hAnsi="黑体" w:eastAsia="黑体" w:cs="黑体"/>
                <w:spacing w:val="6"/>
                <w:sz w:val="22"/>
                <w:szCs w:val="22"/>
              </w:rPr>
              <w:t>收费性质</w:t>
            </w:r>
          </w:p>
        </w:tc>
        <w:tc>
          <w:tcPr>
            <w:tcW w:w="2108" w:type="dxa"/>
            <w:vAlign w:val="center"/>
          </w:tcPr>
          <w:p w14:paraId="5A15379E">
            <w:pPr>
              <w:spacing w:before="174" w:line="219" w:lineRule="auto"/>
              <w:ind w:left="55"/>
              <w:jc w:val="center"/>
              <w:rPr>
                <w:rFonts w:hint="eastAsia" w:ascii="黑体" w:hAnsi="黑体" w:eastAsia="黑体" w:cs="黑体"/>
                <w:sz w:val="22"/>
                <w:szCs w:val="22"/>
              </w:rPr>
            </w:pPr>
            <w:r>
              <w:rPr>
                <w:rFonts w:hint="eastAsia" w:ascii="黑体" w:hAnsi="黑体" w:eastAsia="黑体" w:cs="黑体"/>
                <w:spacing w:val="1"/>
                <w:sz w:val="22"/>
                <w:szCs w:val="22"/>
              </w:rPr>
              <w:t>服务内容或涉及事项</w:t>
            </w:r>
          </w:p>
        </w:tc>
        <w:tc>
          <w:tcPr>
            <w:tcW w:w="1215" w:type="dxa"/>
            <w:vAlign w:val="center"/>
          </w:tcPr>
          <w:p w14:paraId="37A40C94">
            <w:pPr>
              <w:spacing w:before="174" w:line="219" w:lineRule="auto"/>
              <w:ind w:left="66"/>
              <w:jc w:val="center"/>
              <w:rPr>
                <w:rFonts w:hint="eastAsia" w:ascii="黑体" w:hAnsi="黑体" w:eastAsia="黑体" w:cs="黑体"/>
                <w:sz w:val="22"/>
                <w:szCs w:val="22"/>
              </w:rPr>
            </w:pPr>
            <w:r>
              <w:rPr>
                <w:rFonts w:hint="eastAsia" w:ascii="黑体" w:hAnsi="黑体" w:eastAsia="黑体" w:cs="黑体"/>
                <w:spacing w:val="2"/>
                <w:sz w:val="22"/>
                <w:szCs w:val="22"/>
              </w:rPr>
              <w:t>收费标准</w:t>
            </w:r>
          </w:p>
        </w:tc>
        <w:tc>
          <w:tcPr>
            <w:tcW w:w="1599" w:type="dxa"/>
            <w:vAlign w:val="center"/>
          </w:tcPr>
          <w:p w14:paraId="39D2262A">
            <w:pPr>
              <w:spacing w:before="33" w:line="214" w:lineRule="auto"/>
              <w:ind w:left="406" w:right="80" w:hanging="329"/>
              <w:jc w:val="both"/>
              <w:rPr>
                <w:rFonts w:hint="eastAsia" w:ascii="黑体" w:hAnsi="黑体" w:eastAsia="黑体" w:cs="黑体"/>
                <w:sz w:val="22"/>
                <w:szCs w:val="22"/>
              </w:rPr>
            </w:pPr>
            <w:r>
              <w:rPr>
                <w:rFonts w:hint="eastAsia" w:ascii="黑体" w:hAnsi="黑体" w:eastAsia="黑体" w:cs="黑体"/>
                <w:spacing w:val="-2"/>
                <w:sz w:val="22"/>
                <w:szCs w:val="22"/>
              </w:rPr>
              <w:t>标准制定方式</w:t>
            </w:r>
            <w:r>
              <w:rPr>
                <w:rFonts w:hint="eastAsia" w:ascii="黑体" w:hAnsi="黑体" w:eastAsia="黑体" w:cs="黑体"/>
                <w:spacing w:val="8"/>
                <w:sz w:val="22"/>
                <w:szCs w:val="22"/>
              </w:rPr>
              <w:t>及部门</w:t>
            </w:r>
          </w:p>
        </w:tc>
        <w:tc>
          <w:tcPr>
            <w:tcW w:w="1146" w:type="dxa"/>
            <w:vAlign w:val="center"/>
          </w:tcPr>
          <w:p w14:paraId="23721567">
            <w:pPr>
              <w:spacing w:before="172" w:line="219" w:lineRule="auto"/>
              <w:ind w:left="38"/>
              <w:jc w:val="center"/>
              <w:rPr>
                <w:rFonts w:hint="eastAsia" w:ascii="黑体" w:hAnsi="黑体" w:eastAsia="黑体" w:cs="黑体"/>
                <w:sz w:val="22"/>
                <w:szCs w:val="22"/>
              </w:rPr>
            </w:pPr>
            <w:r>
              <w:rPr>
                <w:rFonts w:hint="eastAsia" w:ascii="黑体" w:hAnsi="黑体" w:eastAsia="黑体" w:cs="黑体"/>
                <w:spacing w:val="3"/>
                <w:sz w:val="22"/>
                <w:szCs w:val="22"/>
              </w:rPr>
              <w:t>政策依据</w:t>
            </w:r>
          </w:p>
        </w:tc>
        <w:tc>
          <w:tcPr>
            <w:tcW w:w="1217" w:type="dxa"/>
            <w:vAlign w:val="center"/>
          </w:tcPr>
          <w:p w14:paraId="58CC9086">
            <w:pPr>
              <w:spacing w:before="175" w:line="221" w:lineRule="auto"/>
              <w:ind w:left="300"/>
              <w:jc w:val="both"/>
              <w:rPr>
                <w:rFonts w:hint="eastAsia" w:ascii="黑体" w:hAnsi="黑体" w:eastAsia="黑体" w:cs="黑体"/>
                <w:sz w:val="22"/>
                <w:szCs w:val="22"/>
              </w:rPr>
            </w:pPr>
            <w:r>
              <w:rPr>
                <w:rFonts w:hint="eastAsia" w:ascii="黑体" w:hAnsi="黑体" w:eastAsia="黑体" w:cs="黑体"/>
                <w:spacing w:val="5"/>
                <w:sz w:val="22"/>
                <w:szCs w:val="22"/>
              </w:rPr>
              <w:t>备注</w:t>
            </w:r>
          </w:p>
        </w:tc>
      </w:tr>
      <w:tr w14:paraId="76B63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3" w:hRule="atLeast"/>
        </w:trPr>
        <w:tc>
          <w:tcPr>
            <w:tcW w:w="715" w:type="dxa"/>
            <w:vAlign w:val="center"/>
          </w:tcPr>
          <w:p w14:paraId="7D303220">
            <w:pPr>
              <w:spacing w:before="171" w:line="221" w:lineRule="auto"/>
              <w:jc w:val="cente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w:t>
            </w:r>
          </w:p>
        </w:tc>
        <w:tc>
          <w:tcPr>
            <w:tcW w:w="1149" w:type="dxa"/>
            <w:shd w:val="clear" w:color="auto" w:fill="auto"/>
            <w:vAlign w:val="center"/>
          </w:tcPr>
          <w:p w14:paraId="538D8504">
            <w:pPr>
              <w:bidi w:val="0"/>
              <w:ind w:firstLine="210" w:firstLineChars="1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渑池县</w:t>
            </w:r>
          </w:p>
          <w:p w14:paraId="65C5F722">
            <w:pPr>
              <w:bidi w:val="0"/>
              <w:jc w:val="both"/>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自然资源局</w:t>
            </w:r>
          </w:p>
        </w:tc>
        <w:tc>
          <w:tcPr>
            <w:tcW w:w="1399" w:type="dxa"/>
            <w:shd w:val="clear" w:color="auto" w:fill="auto"/>
            <w:vAlign w:val="center"/>
          </w:tcPr>
          <w:p w14:paraId="50872C9D">
            <w:pPr>
              <w:spacing w:before="168" w:line="219" w:lineRule="auto"/>
              <w:ind w:left="471" w:leftChars="0"/>
              <w:jc w:val="both"/>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6"/>
                <w:sz w:val="21"/>
                <w:szCs w:val="21"/>
              </w:rPr>
              <w:t>本级</w:t>
            </w:r>
          </w:p>
        </w:tc>
        <w:tc>
          <w:tcPr>
            <w:tcW w:w="989" w:type="dxa"/>
            <w:shd w:val="clear" w:color="auto" w:fill="auto"/>
            <w:vAlign w:val="center"/>
          </w:tcPr>
          <w:p w14:paraId="2932BD8D">
            <w:pPr>
              <w:spacing w:before="168" w:line="219" w:lineRule="auto"/>
              <w:ind w:left="41" w:leftChars="0"/>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6"/>
                <w:sz w:val="21"/>
                <w:szCs w:val="21"/>
              </w:rPr>
              <w:t>政府部门</w:t>
            </w:r>
          </w:p>
        </w:tc>
        <w:tc>
          <w:tcPr>
            <w:tcW w:w="1229" w:type="dxa"/>
            <w:shd w:val="clear" w:color="auto" w:fill="auto"/>
            <w:vAlign w:val="center"/>
          </w:tcPr>
          <w:p w14:paraId="3AF90CF4">
            <w:pPr>
              <w:spacing w:before="170" w:line="220" w:lineRule="auto"/>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kern w:val="0"/>
                <w:sz w:val="21"/>
                <w:szCs w:val="21"/>
              </w:rPr>
              <w:t>土地闲置费</w:t>
            </w:r>
          </w:p>
        </w:tc>
        <w:tc>
          <w:tcPr>
            <w:tcW w:w="1639" w:type="dxa"/>
            <w:shd w:val="clear" w:color="auto" w:fill="auto"/>
            <w:vAlign w:val="center"/>
          </w:tcPr>
          <w:p w14:paraId="092B196E">
            <w:pPr>
              <w:spacing w:before="170" w:line="219" w:lineRule="auto"/>
              <w:ind w:left="43" w:leftChars="0"/>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1"/>
                <w:sz w:val="21"/>
                <w:szCs w:val="21"/>
              </w:rPr>
              <w:t>行政事业性收费</w:t>
            </w:r>
          </w:p>
        </w:tc>
        <w:tc>
          <w:tcPr>
            <w:tcW w:w="2108" w:type="dxa"/>
            <w:shd w:val="clear" w:color="auto" w:fill="auto"/>
            <w:vAlign w:val="center"/>
          </w:tcPr>
          <w:p w14:paraId="16F63726">
            <w:pPr>
              <w:pStyle w:val="7"/>
              <w:jc w:val="left"/>
              <w:rPr>
                <w:rFonts w:hint="eastAsia" w:asciiTheme="minorEastAsia" w:hAnsiTheme="minorEastAsia" w:eastAsiaTheme="minorEastAsia" w:cstheme="minorEastAsia"/>
                <w:snapToGrid w:val="0"/>
                <w:color w:val="000000"/>
                <w:kern w:val="0"/>
                <w:sz w:val="18"/>
                <w:szCs w:val="18"/>
                <w:lang w:val="en-US" w:eastAsia="en-US" w:bidi="ar-SA"/>
              </w:rPr>
            </w:pPr>
            <w:r>
              <w:rPr>
                <w:rFonts w:hint="eastAsia" w:asciiTheme="minorEastAsia" w:hAnsiTheme="minorEastAsia" w:eastAsiaTheme="minorEastAsia" w:cstheme="minorEastAsia"/>
                <w:sz w:val="18"/>
                <w:szCs w:val="18"/>
              </w:rPr>
              <w:t>在城市规划区范围内，以出让等有偿使用方式取得土地使用权进行房地产开发的闲置土地，超过出让合同约定的动工开发日期满1年未动工开发的，可以征收相当于土地使用权出让金20％以下的土地闲置费；满2年未动工开发时，可以无偿收回土地使用权；但是，因不可抗力或者政府、政府有关部门的行为或者动工开发必需的前期工作造成动工开发迟延的除外。</w:t>
            </w:r>
          </w:p>
        </w:tc>
        <w:tc>
          <w:tcPr>
            <w:tcW w:w="1215" w:type="dxa"/>
            <w:shd w:val="clear" w:color="auto" w:fill="auto"/>
            <w:vAlign w:val="center"/>
          </w:tcPr>
          <w:p w14:paraId="42E508D8">
            <w:pPr>
              <w:pStyle w:val="7"/>
              <w:jc w:val="left"/>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z w:val="18"/>
                <w:szCs w:val="18"/>
              </w:rPr>
              <w:t>超过出让合同约定的动工开发日期满1年未动工开发的，可以征收相当于土地使用权出让金20％以下的土地闲置费；满2年未动工开发时，可以无偿收回土地使用权</w:t>
            </w:r>
            <w:r>
              <w:rPr>
                <w:rFonts w:hint="eastAsia" w:asciiTheme="minorEastAsia" w:hAnsiTheme="minorEastAsia" w:eastAsiaTheme="minorEastAsia" w:cstheme="minorEastAsia"/>
                <w:sz w:val="18"/>
                <w:szCs w:val="18"/>
                <w:lang w:eastAsia="zh-CN"/>
              </w:rPr>
              <w:t>；但是，因不可抗力或者政府、政府有关部门的行为或者动工开发必需的前期工作造成动工开发迟延的除外。</w:t>
            </w:r>
          </w:p>
        </w:tc>
        <w:tc>
          <w:tcPr>
            <w:tcW w:w="1599" w:type="dxa"/>
            <w:shd w:val="clear" w:color="auto" w:fill="auto"/>
            <w:vAlign w:val="center"/>
          </w:tcPr>
          <w:p w14:paraId="64CB892D">
            <w:pPr>
              <w:pStyle w:val="7"/>
              <w:jc w:val="left"/>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kern w:val="0"/>
                <w:sz w:val="18"/>
                <w:szCs w:val="18"/>
              </w:rPr>
              <w:t>省财政厅、原物价局豫财预外字〔1999〕40号</w:t>
            </w:r>
            <w:r>
              <w:rPr>
                <w:rFonts w:hint="eastAsia" w:asciiTheme="minorEastAsia" w:hAnsiTheme="minorEastAsia" w:eastAsiaTheme="minorEastAsia" w:cstheme="minorEastAsia"/>
                <w:kern w:val="0"/>
                <w:sz w:val="18"/>
                <w:szCs w:val="18"/>
                <w:lang w:eastAsia="zh-CN"/>
              </w:rPr>
              <w:t>、省政府豫政〔2008〕52号</w:t>
            </w:r>
          </w:p>
        </w:tc>
        <w:tc>
          <w:tcPr>
            <w:tcW w:w="1146" w:type="dxa"/>
            <w:shd w:val="clear" w:color="auto" w:fill="auto"/>
            <w:vAlign w:val="center"/>
          </w:tcPr>
          <w:p w14:paraId="2E37C875">
            <w:pPr>
              <w:pStyle w:val="7"/>
              <w:jc w:val="left"/>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z w:val="18"/>
                <w:szCs w:val="18"/>
              </w:rPr>
              <w:t>《土地管理法》</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《城市房地产管理法》第二十六条</w:t>
            </w:r>
            <w:r>
              <w:rPr>
                <w:rFonts w:hint="eastAsia" w:asciiTheme="minorEastAsia" w:hAnsiTheme="minorEastAsia" w:eastAsiaTheme="minorEastAsia" w:cstheme="minorEastAsia"/>
                <w:sz w:val="18"/>
                <w:szCs w:val="18"/>
                <w:lang w:eastAsia="zh-CN"/>
              </w:rPr>
              <w:t>、《城市房地产开发经营管理条例》第十五条、《闲置土地处置办法》第十四条</w:t>
            </w:r>
          </w:p>
        </w:tc>
        <w:tc>
          <w:tcPr>
            <w:tcW w:w="1217" w:type="dxa"/>
            <w:shd w:val="clear" w:color="auto" w:fill="auto"/>
            <w:vAlign w:val="center"/>
          </w:tcPr>
          <w:p w14:paraId="3F6BDCD7">
            <w:pPr>
              <w:pStyle w:val="7"/>
              <w:jc w:val="center"/>
              <w:rPr>
                <w:rFonts w:hint="eastAsia" w:asciiTheme="minorEastAsia" w:hAnsiTheme="minorEastAsia" w:eastAsiaTheme="minorEastAsia" w:cstheme="minorEastAsia"/>
                <w:snapToGrid w:val="0"/>
                <w:color w:val="000000"/>
                <w:kern w:val="0"/>
                <w:sz w:val="18"/>
                <w:szCs w:val="18"/>
                <w:lang w:val="en-US" w:eastAsia="en-US" w:bidi="ar-SA"/>
              </w:rPr>
            </w:pPr>
            <w:r>
              <w:rPr>
                <w:rFonts w:hint="eastAsia" w:asciiTheme="minorEastAsia" w:hAnsiTheme="minorEastAsia" w:eastAsiaTheme="minorEastAsia" w:cstheme="minorEastAsia"/>
                <w:sz w:val="18"/>
                <w:szCs w:val="18"/>
                <w:lang w:eastAsia="zh-CN"/>
              </w:rPr>
              <w:t>已于</w:t>
            </w:r>
            <w:r>
              <w:rPr>
                <w:rFonts w:hint="eastAsia" w:asciiTheme="minorEastAsia" w:hAnsiTheme="minorEastAsia" w:eastAsiaTheme="minorEastAsia" w:cstheme="minorEastAsia"/>
                <w:sz w:val="18"/>
                <w:szCs w:val="18"/>
                <w:lang w:val="en-US" w:eastAsia="zh-CN"/>
              </w:rPr>
              <w:t>2021年3月，</w:t>
            </w:r>
            <w:r>
              <w:rPr>
                <w:rFonts w:hint="eastAsia" w:asciiTheme="minorEastAsia" w:hAnsiTheme="minorEastAsia" w:eastAsiaTheme="minorEastAsia" w:cstheme="minorEastAsia"/>
                <w:sz w:val="18"/>
                <w:szCs w:val="18"/>
                <w:lang w:eastAsia="zh-CN"/>
              </w:rPr>
              <w:t>按照《</w:t>
            </w:r>
            <w:r>
              <w:rPr>
                <w:rFonts w:hint="eastAsia" w:asciiTheme="minorEastAsia" w:hAnsiTheme="minorEastAsia" w:eastAsiaTheme="minorEastAsia" w:cstheme="minorEastAsia"/>
                <w:sz w:val="18"/>
                <w:szCs w:val="18"/>
              </w:rPr>
              <w:t>财政部关于土地闲置费、城镇垃圾处理费划转税务部门征收的通知</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（财税〔2021〕8号）划转税务部门征收</w:t>
            </w:r>
          </w:p>
        </w:tc>
      </w:tr>
      <w:tr w14:paraId="4C0C6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5" w:type="dxa"/>
            <w:vAlign w:val="center"/>
          </w:tcPr>
          <w:p w14:paraId="5A4B151A">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1149" w:type="dxa"/>
            <w:shd w:val="clear" w:color="auto" w:fill="auto"/>
            <w:vAlign w:val="center"/>
          </w:tcPr>
          <w:p w14:paraId="6480A56E">
            <w:pPr>
              <w:bidi w:val="0"/>
              <w:ind w:firstLine="210" w:firstLineChars="1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渑池县</w:t>
            </w:r>
          </w:p>
          <w:p w14:paraId="32C05598">
            <w:pPr>
              <w:bidi w:val="0"/>
              <w:jc w:val="both"/>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lang w:val="en-US" w:eastAsia="zh-CN"/>
              </w:rPr>
              <w:t>自然资源局</w:t>
            </w:r>
          </w:p>
        </w:tc>
        <w:tc>
          <w:tcPr>
            <w:tcW w:w="1399" w:type="dxa"/>
            <w:shd w:val="clear" w:color="auto" w:fill="auto"/>
            <w:vAlign w:val="center"/>
          </w:tcPr>
          <w:p w14:paraId="0C907559">
            <w:pPr>
              <w:spacing w:before="168" w:line="240" w:lineRule="auto"/>
              <w:ind w:firstLine="444" w:firstLineChars="200"/>
              <w:jc w:val="both"/>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6"/>
                <w:sz w:val="21"/>
                <w:szCs w:val="21"/>
              </w:rPr>
              <w:t>本级</w:t>
            </w:r>
          </w:p>
        </w:tc>
        <w:tc>
          <w:tcPr>
            <w:tcW w:w="989" w:type="dxa"/>
            <w:shd w:val="clear" w:color="auto" w:fill="auto"/>
            <w:vAlign w:val="center"/>
          </w:tcPr>
          <w:p w14:paraId="0D73146E">
            <w:pPr>
              <w:spacing w:before="168" w:line="240" w:lineRule="auto"/>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napToGrid w:val="0"/>
                <w:color w:val="000000"/>
                <w:kern w:val="0"/>
                <w:sz w:val="21"/>
                <w:szCs w:val="21"/>
                <w:lang w:val="en-US" w:eastAsia="zh-CN" w:bidi="ar-SA"/>
              </w:rPr>
              <w:t>政府部门</w:t>
            </w:r>
          </w:p>
        </w:tc>
        <w:tc>
          <w:tcPr>
            <w:tcW w:w="1229" w:type="dxa"/>
            <w:shd w:val="clear" w:color="auto" w:fill="auto"/>
            <w:vAlign w:val="center"/>
          </w:tcPr>
          <w:p w14:paraId="1631D6FF">
            <w:pPr>
              <w:spacing w:before="181" w:line="240" w:lineRule="auto"/>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土地复垦费</w:t>
            </w:r>
          </w:p>
        </w:tc>
        <w:tc>
          <w:tcPr>
            <w:tcW w:w="1639" w:type="dxa"/>
            <w:shd w:val="clear" w:color="auto" w:fill="auto"/>
            <w:vAlign w:val="center"/>
          </w:tcPr>
          <w:p w14:paraId="0B7E4F49">
            <w:pPr>
              <w:spacing w:before="48" w:line="240" w:lineRule="auto"/>
              <w:ind w:left="262" w:leftChars="0" w:right="30" w:rightChars="0" w:hanging="219" w:firstLineChars="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行政事业性收费</w:t>
            </w:r>
          </w:p>
        </w:tc>
        <w:tc>
          <w:tcPr>
            <w:tcW w:w="2108" w:type="dxa"/>
            <w:shd w:val="clear" w:color="auto" w:fill="auto"/>
            <w:vAlign w:val="center"/>
          </w:tcPr>
          <w:p w14:paraId="0B303F1E">
            <w:pPr>
              <w:pStyle w:val="7"/>
              <w:jc w:val="left"/>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napToGrid w:val="0"/>
                <w:color w:val="000000"/>
                <w:kern w:val="0"/>
                <w:sz w:val="18"/>
                <w:szCs w:val="18"/>
                <w:lang w:val="en-US" w:eastAsia="zh-CN" w:bidi="ar-SA"/>
              </w:rPr>
              <w:t>土地复垦义务人不复垦，或者复垦验收中经整改仍不合格的，应当缴纳土地复垦费，由有关国土资源主管部门代为组织复垦。</w:t>
            </w:r>
          </w:p>
        </w:tc>
        <w:tc>
          <w:tcPr>
            <w:tcW w:w="1215" w:type="dxa"/>
            <w:shd w:val="clear" w:color="auto" w:fill="auto"/>
            <w:vAlign w:val="center"/>
          </w:tcPr>
          <w:p w14:paraId="7454F906">
            <w:pPr>
              <w:pStyle w:val="7"/>
              <w:jc w:val="left"/>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z w:val="18"/>
                <w:szCs w:val="18"/>
                <w:lang w:val="en-US" w:eastAsia="zh-CN"/>
              </w:rPr>
              <w:t>确定土地复垦费的数额，应当综合考虑损毁前的土地类型、实际损毁面积、损毁程度、复垦标准、复垦用途和完成复垦任务所需的工程量等因素。土地复垦费的具体征收使用管理办法，由国务院财政、价格主管部门商国务院有关部门制定。</w:t>
            </w:r>
            <w:r>
              <w:rPr>
                <w:rFonts w:hint="eastAsia" w:asciiTheme="minorEastAsia" w:hAnsiTheme="minorEastAsia" w:eastAsiaTheme="minorEastAsia" w:cstheme="minorEastAsia"/>
                <w:sz w:val="18"/>
                <w:szCs w:val="18"/>
                <w:lang w:val="en-US" w:eastAsia="zh-CN"/>
              </w:rPr>
              <w:br w:type="textWrapping"/>
            </w:r>
            <w:r>
              <w:rPr>
                <w:rFonts w:hint="eastAsia" w:asciiTheme="minorEastAsia" w:hAnsiTheme="minorEastAsia" w:eastAsiaTheme="minorEastAsia" w:cstheme="minorEastAsia"/>
                <w:sz w:val="18"/>
                <w:szCs w:val="18"/>
                <w:lang w:val="en-US" w:eastAsia="zh-CN"/>
              </w:rPr>
              <w:t>土地复垦义务人缴纳的土地复垦费专项用于土地复垦。任何单位和个人不得截留、挤占、挪用。</w:t>
            </w:r>
          </w:p>
        </w:tc>
        <w:tc>
          <w:tcPr>
            <w:tcW w:w="1599" w:type="dxa"/>
            <w:shd w:val="clear" w:color="auto" w:fill="auto"/>
            <w:vAlign w:val="center"/>
          </w:tcPr>
          <w:p w14:paraId="0C4044DF">
            <w:pPr>
              <w:pStyle w:val="7"/>
              <w:jc w:val="left"/>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napToGrid w:val="0"/>
                <w:color w:val="000000"/>
                <w:kern w:val="0"/>
                <w:sz w:val="18"/>
                <w:szCs w:val="18"/>
                <w:lang w:val="en-US" w:eastAsia="zh-CN" w:bidi="ar-SA"/>
              </w:rPr>
              <w:t>省发展改革委、财政厅豫发改收费〔2006〕1263号、省政府豫政〔2008〕52号</w:t>
            </w:r>
          </w:p>
        </w:tc>
        <w:tc>
          <w:tcPr>
            <w:tcW w:w="1146" w:type="dxa"/>
            <w:shd w:val="clear" w:color="auto" w:fill="auto"/>
            <w:vAlign w:val="center"/>
          </w:tcPr>
          <w:p w14:paraId="6CBDEC7F">
            <w:pPr>
              <w:pStyle w:val="7"/>
              <w:jc w:val="center"/>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z w:val="18"/>
                <w:szCs w:val="18"/>
              </w:rPr>
              <w:t>《土地管理法》</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napToGrid w:val="0"/>
                <w:color w:val="000000"/>
                <w:kern w:val="0"/>
                <w:sz w:val="18"/>
                <w:szCs w:val="18"/>
                <w:lang w:val="en-US" w:eastAsia="zh-CN" w:bidi="ar-SA"/>
              </w:rPr>
              <w:t>《土地复垦条例》</w:t>
            </w:r>
          </w:p>
          <w:p w14:paraId="6B02242F">
            <w:pPr>
              <w:pStyle w:val="7"/>
              <w:jc w:val="center"/>
              <w:rPr>
                <w:rFonts w:hint="eastAsia" w:asciiTheme="minorEastAsia" w:hAnsiTheme="minorEastAsia" w:eastAsiaTheme="minorEastAsia" w:cstheme="minorEastAsia"/>
                <w:snapToGrid w:val="0"/>
                <w:color w:val="000000"/>
                <w:kern w:val="0"/>
                <w:sz w:val="18"/>
                <w:szCs w:val="18"/>
                <w:lang w:val="en-US" w:eastAsia="zh-CN" w:bidi="ar-SA"/>
              </w:rPr>
            </w:pPr>
          </w:p>
        </w:tc>
        <w:tc>
          <w:tcPr>
            <w:tcW w:w="1217" w:type="dxa"/>
            <w:shd w:val="clear" w:color="auto" w:fill="auto"/>
            <w:vAlign w:val="center"/>
          </w:tcPr>
          <w:p w14:paraId="3548BAE4">
            <w:pPr>
              <w:pStyle w:val="7"/>
              <w:jc w:val="center"/>
              <w:rPr>
                <w:rFonts w:hint="eastAsia" w:asciiTheme="minorEastAsia" w:hAnsiTheme="minorEastAsia" w:eastAsiaTheme="minorEastAsia" w:cstheme="minorEastAsia"/>
                <w:snapToGrid w:val="0"/>
                <w:color w:val="000000"/>
                <w:kern w:val="0"/>
                <w:sz w:val="18"/>
                <w:szCs w:val="18"/>
                <w:lang w:val="en-US" w:eastAsia="en-US" w:bidi="ar-SA"/>
              </w:rPr>
            </w:pPr>
          </w:p>
        </w:tc>
      </w:tr>
      <w:tr w14:paraId="66079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dxa"/>
            <w:vAlign w:val="center"/>
          </w:tcPr>
          <w:p w14:paraId="1F05A064">
            <w:pPr>
              <w:pStyle w:val="7"/>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1149" w:type="dxa"/>
            <w:shd w:val="clear" w:color="auto" w:fill="auto"/>
            <w:vAlign w:val="center"/>
          </w:tcPr>
          <w:p w14:paraId="2F4555FD">
            <w:pPr>
              <w:bidi w:val="0"/>
              <w:ind w:firstLine="210" w:firstLineChars="1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渑池县</w:t>
            </w:r>
          </w:p>
          <w:p w14:paraId="2BE22957">
            <w:pPr>
              <w:bidi w:val="0"/>
              <w:jc w:val="both"/>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lang w:val="en-US" w:eastAsia="zh-CN"/>
              </w:rPr>
              <w:t>自然资源</w:t>
            </w:r>
            <w:r>
              <w:rPr>
                <w:rFonts w:hint="eastAsia" w:asciiTheme="minorEastAsia" w:hAnsiTheme="minorEastAsia" w:eastAsiaTheme="minorEastAsia" w:cstheme="minorEastAsia"/>
                <w:sz w:val="21"/>
                <w:szCs w:val="21"/>
              </w:rPr>
              <w:t>局</w:t>
            </w:r>
          </w:p>
        </w:tc>
        <w:tc>
          <w:tcPr>
            <w:tcW w:w="1399" w:type="dxa"/>
            <w:shd w:val="clear" w:color="auto" w:fill="auto"/>
            <w:vAlign w:val="center"/>
          </w:tcPr>
          <w:p w14:paraId="10427E2C">
            <w:pPr>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渑池县不动产登记中心</w:t>
            </w:r>
          </w:p>
        </w:tc>
        <w:tc>
          <w:tcPr>
            <w:tcW w:w="989" w:type="dxa"/>
            <w:shd w:val="clear" w:color="auto" w:fill="auto"/>
            <w:vAlign w:val="center"/>
          </w:tcPr>
          <w:p w14:paraId="7E38CE9F">
            <w:pPr>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事业单位</w:t>
            </w:r>
          </w:p>
        </w:tc>
        <w:tc>
          <w:tcPr>
            <w:tcW w:w="1229" w:type="dxa"/>
            <w:shd w:val="clear" w:color="auto" w:fill="auto"/>
            <w:vAlign w:val="center"/>
          </w:tcPr>
          <w:p w14:paraId="1770A6E0">
            <w:pPr>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不动产登记费</w:t>
            </w:r>
          </w:p>
        </w:tc>
        <w:tc>
          <w:tcPr>
            <w:tcW w:w="1639" w:type="dxa"/>
            <w:shd w:val="clear" w:color="auto" w:fill="auto"/>
            <w:vAlign w:val="center"/>
          </w:tcPr>
          <w:p w14:paraId="24D0532D">
            <w:pPr>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行政事业性收费</w:t>
            </w:r>
          </w:p>
        </w:tc>
        <w:tc>
          <w:tcPr>
            <w:tcW w:w="2108" w:type="dxa"/>
            <w:shd w:val="clear" w:color="auto" w:fill="auto"/>
            <w:vAlign w:val="center"/>
          </w:tcPr>
          <w:p w14:paraId="49704FE9">
            <w:pPr>
              <w:bidi w:val="0"/>
              <w:jc w:val="center"/>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z w:val="18"/>
                <w:szCs w:val="18"/>
                <w:lang w:val="en-US" w:eastAsia="zh-CN"/>
              </w:rPr>
              <w:t>不动产登记费住宅/非住宅/变更</w:t>
            </w:r>
          </w:p>
        </w:tc>
        <w:tc>
          <w:tcPr>
            <w:tcW w:w="1215" w:type="dxa"/>
            <w:shd w:val="clear" w:color="auto" w:fill="auto"/>
            <w:vAlign w:val="center"/>
          </w:tcPr>
          <w:p w14:paraId="0567C6AA">
            <w:pPr>
              <w:pStyle w:val="7"/>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80/550/10</w:t>
            </w:r>
          </w:p>
          <w:p w14:paraId="201EFE0F">
            <w:pPr>
              <w:pStyle w:val="7"/>
              <w:jc w:val="left"/>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z w:val="18"/>
                <w:szCs w:val="18"/>
                <w:lang w:val="en-US" w:eastAsia="zh-CN"/>
              </w:rPr>
              <w:t>(元)</w:t>
            </w:r>
          </w:p>
        </w:tc>
        <w:tc>
          <w:tcPr>
            <w:tcW w:w="1599" w:type="dxa"/>
            <w:shd w:val="clear" w:color="auto" w:fill="auto"/>
            <w:vAlign w:val="center"/>
          </w:tcPr>
          <w:p w14:paraId="0DBF1B35">
            <w:pPr>
              <w:bidi w:val="0"/>
              <w:jc w:val="left"/>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napToGrid w:val="0"/>
                <w:color w:val="000000" w:themeColor="text1"/>
                <w:kern w:val="0"/>
                <w:sz w:val="18"/>
                <w:szCs w:val="18"/>
                <w:highlight w:val="none"/>
                <w:lang w:val="en-US" w:eastAsia="zh-CN" w:bidi="ar-SA"/>
                <w14:textFill>
                  <w14:solidFill>
                    <w14:schemeClr w14:val="tx1"/>
                  </w14:solidFill>
                </w14:textFill>
              </w:rPr>
              <w:t>国家发展和改革委员会、财政部</w:t>
            </w:r>
          </w:p>
        </w:tc>
        <w:tc>
          <w:tcPr>
            <w:tcW w:w="1146" w:type="dxa"/>
            <w:shd w:val="clear" w:color="auto" w:fill="auto"/>
            <w:vAlign w:val="center"/>
          </w:tcPr>
          <w:p w14:paraId="7ACDBAA4">
            <w:pPr>
              <w:bidi w:val="0"/>
              <w:jc w:val="center"/>
              <w:rPr>
                <w:rFonts w:hint="eastAsia" w:asciiTheme="minorEastAsia" w:hAnsiTheme="minorEastAsia" w:eastAsiaTheme="minorEastAsia" w:cstheme="minorEastAsia"/>
                <w:snapToGrid w:val="0"/>
                <w:color w:val="000000"/>
                <w:kern w:val="0"/>
                <w:sz w:val="18"/>
                <w:szCs w:val="18"/>
                <w:lang w:val="en-US" w:eastAsia="zh-CN" w:bidi="ar-SA"/>
              </w:rPr>
            </w:pPr>
            <w:r>
              <w:rPr>
                <w:rFonts w:hint="eastAsia" w:asciiTheme="minorEastAsia" w:hAnsiTheme="minorEastAsia" w:eastAsiaTheme="minorEastAsia" w:cstheme="minorEastAsia"/>
                <w:snapToGrid w:val="0"/>
                <w:color w:val="000000" w:themeColor="text1"/>
                <w:kern w:val="0"/>
                <w:sz w:val="18"/>
                <w:szCs w:val="18"/>
                <w:highlight w:val="none"/>
                <w:lang w:val="en-US" w:eastAsia="zh-CN" w:bidi="ar-SA"/>
                <w14:textFill>
                  <w14:solidFill>
                    <w14:schemeClr w14:val="tx1"/>
                  </w14:solidFill>
                </w14:textFill>
              </w:rPr>
              <w:t>【2016】2559</w:t>
            </w:r>
          </w:p>
        </w:tc>
        <w:tc>
          <w:tcPr>
            <w:tcW w:w="1217" w:type="dxa"/>
            <w:vAlign w:val="center"/>
          </w:tcPr>
          <w:p w14:paraId="2EF8CA0C">
            <w:pPr>
              <w:pStyle w:val="7"/>
              <w:jc w:val="center"/>
              <w:rPr>
                <w:rFonts w:hint="eastAsia" w:asciiTheme="minorEastAsia" w:hAnsiTheme="minorEastAsia" w:eastAsiaTheme="minorEastAsia" w:cstheme="minorEastAsia"/>
                <w:sz w:val="18"/>
                <w:szCs w:val="18"/>
              </w:rPr>
            </w:pPr>
          </w:p>
        </w:tc>
      </w:tr>
      <w:tr w14:paraId="4D31B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5" w:hRule="atLeast"/>
        </w:trPr>
        <w:tc>
          <w:tcPr>
            <w:tcW w:w="715" w:type="dxa"/>
            <w:vAlign w:val="center"/>
          </w:tcPr>
          <w:p w14:paraId="698FB6E8">
            <w:pPr>
              <w:pStyle w:val="7"/>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1149" w:type="dxa"/>
            <w:vAlign w:val="center"/>
          </w:tcPr>
          <w:p w14:paraId="28D2CD1B">
            <w:pPr>
              <w:bidi w:val="0"/>
              <w:ind w:firstLine="210" w:firstLineChars="1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渑池县</w:t>
            </w:r>
          </w:p>
          <w:p w14:paraId="7B82AF58">
            <w:pPr>
              <w:pStyle w:val="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自然资源</w:t>
            </w:r>
            <w:r>
              <w:rPr>
                <w:rFonts w:hint="eastAsia" w:asciiTheme="minorEastAsia" w:hAnsiTheme="minorEastAsia" w:eastAsiaTheme="minorEastAsia" w:cstheme="minorEastAsia"/>
                <w:sz w:val="21"/>
                <w:szCs w:val="21"/>
              </w:rPr>
              <w:t>局</w:t>
            </w:r>
          </w:p>
        </w:tc>
        <w:tc>
          <w:tcPr>
            <w:tcW w:w="1399" w:type="dxa"/>
            <w:vAlign w:val="center"/>
          </w:tcPr>
          <w:p w14:paraId="0FE68FB5">
            <w:pPr>
              <w:pStyle w:val="7"/>
              <w:ind w:firstLine="444"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本级</w:t>
            </w:r>
          </w:p>
        </w:tc>
        <w:tc>
          <w:tcPr>
            <w:tcW w:w="989" w:type="dxa"/>
            <w:vAlign w:val="center"/>
          </w:tcPr>
          <w:p w14:paraId="23147D92">
            <w:pPr>
              <w:pStyle w:val="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000000"/>
                <w:kern w:val="0"/>
                <w:sz w:val="21"/>
                <w:szCs w:val="21"/>
                <w:lang w:val="en-US" w:eastAsia="zh-CN" w:bidi="ar-SA"/>
              </w:rPr>
              <w:t>政府部门</w:t>
            </w:r>
          </w:p>
        </w:tc>
        <w:tc>
          <w:tcPr>
            <w:tcW w:w="1229" w:type="dxa"/>
            <w:shd w:val="clear" w:color="auto" w:fill="auto"/>
            <w:vAlign w:val="center"/>
          </w:tcPr>
          <w:p w14:paraId="6651D12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en-US" w:bidi="ar-SA"/>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补充耕地指标调剂</w:t>
            </w:r>
          </w:p>
        </w:tc>
        <w:tc>
          <w:tcPr>
            <w:tcW w:w="1639" w:type="dxa"/>
            <w:shd w:val="clear" w:color="auto" w:fill="auto"/>
            <w:vAlign w:val="center"/>
          </w:tcPr>
          <w:p w14:paraId="13E3AD3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en-US" w:bidi="ar-SA"/>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行政事业性收费</w:t>
            </w:r>
          </w:p>
        </w:tc>
        <w:tc>
          <w:tcPr>
            <w:tcW w:w="2108" w:type="dxa"/>
            <w:shd w:val="clear" w:color="auto" w:fill="auto"/>
            <w:vAlign w:val="center"/>
          </w:tcPr>
          <w:p w14:paraId="4D24C1F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000000"/>
                <w:kern w:val="0"/>
                <w:sz w:val="18"/>
                <w:szCs w:val="18"/>
                <w:u w:val="none"/>
                <w:lang w:val="en-US" w:eastAsia="en-US" w:bidi="ar-SA"/>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受让方所在行政区域内因后备资源严重匮乏，或受资源环境条件严重约束、补充耕地能力严重不足，不能满足本行政区域耕地占补平衡需求，以及为实施省级以上重大建设项目需购买补充耕地指标的</w:t>
            </w:r>
          </w:p>
        </w:tc>
        <w:tc>
          <w:tcPr>
            <w:tcW w:w="1215" w:type="dxa"/>
            <w:shd w:val="clear" w:color="auto" w:fill="auto"/>
            <w:vAlign w:val="center"/>
          </w:tcPr>
          <w:p w14:paraId="22ABADF8">
            <w:pPr>
              <w:pStyle w:val="7"/>
              <w:jc w:val="left"/>
              <w:rPr>
                <w:rFonts w:hint="eastAsia" w:asciiTheme="minorEastAsia" w:hAnsiTheme="minorEastAsia" w:eastAsiaTheme="minorEastAsia" w:cstheme="minorEastAsia"/>
                <w:i w:val="0"/>
                <w:iCs w:val="0"/>
                <w:snapToGrid w:val="0"/>
                <w:color w:val="000000"/>
                <w:kern w:val="0"/>
                <w:sz w:val="18"/>
                <w:szCs w:val="18"/>
                <w:u w:val="none"/>
                <w:lang w:val="en-US" w:eastAsia="en-US" w:bidi="ar-SA"/>
              </w:rPr>
            </w:pPr>
            <w:r>
              <w:rPr>
                <w:rFonts w:hint="eastAsia" w:asciiTheme="minorEastAsia" w:hAnsiTheme="minorEastAsia" w:eastAsiaTheme="minorEastAsia" w:cstheme="minorEastAsia"/>
                <w:sz w:val="18"/>
                <w:szCs w:val="18"/>
                <w:lang w:val="en-US" w:eastAsia="zh-CN"/>
              </w:rPr>
              <w:t>补充耕地指标公开调剂采取有底价和限高价相结合的方式。指标限价幅度为5万元/亩~15万元/亩</w:t>
            </w:r>
          </w:p>
        </w:tc>
        <w:tc>
          <w:tcPr>
            <w:tcW w:w="1599" w:type="dxa"/>
            <w:shd w:val="clear" w:color="auto" w:fill="auto"/>
            <w:vAlign w:val="center"/>
          </w:tcPr>
          <w:p w14:paraId="415843D0">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000000"/>
                <w:kern w:val="0"/>
                <w:sz w:val="18"/>
                <w:szCs w:val="18"/>
                <w:u w:val="none"/>
                <w:lang w:val="en-US" w:eastAsia="en-US" w:bidi="ar-SA"/>
              </w:rPr>
            </w:pPr>
            <w:r>
              <w:rPr>
                <w:rFonts w:hint="eastAsia" w:asciiTheme="minorEastAsia" w:hAnsiTheme="minorEastAsia" w:eastAsiaTheme="minorEastAsia" w:cstheme="minorEastAsia"/>
                <w:snapToGrid w:val="0"/>
                <w:color w:val="000000" w:themeColor="text1"/>
                <w:kern w:val="0"/>
                <w:sz w:val="18"/>
                <w:szCs w:val="18"/>
                <w:highlight w:val="none"/>
                <w:lang w:val="en-US" w:eastAsia="zh-CN" w:bidi="ar-SA"/>
                <w14:textFill>
                  <w14:solidFill>
                    <w14:schemeClr w14:val="tx1"/>
                  </w14:solidFill>
                </w14:textFill>
              </w:rPr>
              <w:t>河南省自然资源厅河南省财政厅 豫自然资发[2025)37号</w:t>
            </w:r>
          </w:p>
        </w:tc>
        <w:tc>
          <w:tcPr>
            <w:tcW w:w="1146" w:type="dxa"/>
            <w:shd w:val="clear" w:color="auto" w:fill="auto"/>
            <w:vAlign w:val="center"/>
          </w:tcPr>
          <w:p w14:paraId="09226324">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000000"/>
                <w:kern w:val="0"/>
                <w:sz w:val="18"/>
                <w:szCs w:val="18"/>
                <w:u w:val="none"/>
                <w:lang w:val="en-US" w:eastAsia="en-US" w:bidi="ar-SA"/>
              </w:rPr>
            </w:pPr>
            <w:r>
              <w:rPr>
                <w:rFonts w:hint="eastAsia" w:asciiTheme="minorEastAsia" w:hAnsiTheme="minorEastAsia" w:eastAsiaTheme="minorEastAsia" w:cstheme="minorEastAsia"/>
                <w:snapToGrid w:val="0"/>
                <w:color w:val="000000" w:themeColor="text1"/>
                <w:kern w:val="0"/>
                <w:sz w:val="18"/>
                <w:szCs w:val="18"/>
                <w:highlight w:val="none"/>
                <w:lang w:val="en-US" w:eastAsia="zh-CN" w:bidi="ar-SA"/>
                <w14:textFill>
                  <w14:solidFill>
                    <w14:schemeClr w14:val="tx1"/>
                  </w14:solidFill>
                </w14:textFill>
              </w:rPr>
              <w:t>中华人民共和国土地管理法第四章耕地保护第三十一条国家保护耕地，严格控制耕地转为非耕地</w:t>
            </w:r>
          </w:p>
        </w:tc>
        <w:tc>
          <w:tcPr>
            <w:tcW w:w="1217" w:type="dxa"/>
            <w:vAlign w:val="center"/>
          </w:tcPr>
          <w:p w14:paraId="0EC8EB30">
            <w:pPr>
              <w:pStyle w:val="7"/>
              <w:jc w:val="center"/>
              <w:rPr>
                <w:rFonts w:hint="eastAsia" w:asciiTheme="minorEastAsia" w:hAnsiTheme="minorEastAsia" w:eastAsiaTheme="minorEastAsia" w:cstheme="minorEastAsia"/>
                <w:sz w:val="18"/>
                <w:szCs w:val="18"/>
              </w:rPr>
            </w:pPr>
          </w:p>
        </w:tc>
      </w:tr>
    </w:tbl>
    <w:p w14:paraId="260EED4E">
      <w:pPr>
        <w:pStyle w:val="7"/>
        <w:rPr>
          <w:rFonts w:hint="eastAsia" w:ascii="Times New Roman" w:hAnsi="Times New Roman" w:eastAsia="宋体" w:cs="Times New Roman"/>
          <w:lang w:val="en-US" w:eastAsia="zh-CN"/>
        </w:rPr>
      </w:pPr>
    </w:p>
    <w:p w14:paraId="1FED971B"/>
    <w:sectPr>
      <w:pgSz w:w="16838" w:h="11906" w:orient="landscape"/>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518D3"/>
    <w:rsid w:val="157C3F4B"/>
    <w:rsid w:val="190E2144"/>
    <w:rsid w:val="1BDA39E6"/>
    <w:rsid w:val="21375263"/>
    <w:rsid w:val="229B5D5D"/>
    <w:rsid w:val="294855A0"/>
    <w:rsid w:val="2D2E2098"/>
    <w:rsid w:val="398A3E4F"/>
    <w:rsid w:val="3FD91DCF"/>
    <w:rsid w:val="49B518D3"/>
    <w:rsid w:val="53530BCD"/>
    <w:rsid w:val="54F22A19"/>
    <w:rsid w:val="5C550855"/>
    <w:rsid w:val="61232360"/>
    <w:rsid w:val="63D34EC0"/>
    <w:rsid w:val="6A1522D6"/>
    <w:rsid w:val="77B92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8"/>
      <w:szCs w:val="5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1100</Words>
  <Characters>1149</Characters>
  <Lines>0</Lines>
  <Paragraphs>0</Paragraphs>
  <TotalTime>71</TotalTime>
  <ScaleCrop>false</ScaleCrop>
  <LinksUpToDate>false</LinksUpToDate>
  <CharactersWithSpaces>1150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2025-10-21T02:14:00Z</dcterms:created>
  <dc:creator>Administrator</dc:creator>
  <cp:lastModifiedBy>青春、纯属陪你扯淡°</cp:lastModifiedBy>
  <cp:lastPrinted>2025-10-30T02:18:00Z</cp:lastPrinted>
  <dcterms:modified xsi:type="dcterms:W3CDTF">2025-11-04T08:56:56Z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4C352CAF2B464EFCBFDFA2CC9B2C08F8_11</vt:lpwstr>
  </property>
  <property fmtid="{D5CDD505-2E9C-101B-9397-08002B2CF9AE}" pid="4" name="KSOTemplateDocerSaveRecord">
    <vt:lpwstr>eyJoZGlkIjoiMzZjMzU0MDc0M2EwYWQxZWU0NGU0ZmUyMjZlZWNjNjciLCJ1c2VySWQiOiIyNDQwNDYyMDcifQ==</vt:lpwstr>
  </property>
</Properties>
</file>