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B6D7">
      <w:pPr>
        <w:pStyle w:val="2"/>
        <w:spacing w:line="580" w:lineRule="exact"/>
        <w:jc w:val="both"/>
        <w:rPr>
          <w:rFonts w:ascii="Times New Roman" w:hAnsi="Times New Roman" w:eastAsia="仿宋_GB2312" w:cs="Times New Roman"/>
          <w:b/>
          <w:bCs/>
          <w:spacing w:val="5"/>
          <w:sz w:val="32"/>
          <w:szCs w:val="32"/>
        </w:rPr>
      </w:pPr>
      <w:r>
        <w:rPr>
          <w:rFonts w:ascii="Times New Roman" w:hAnsi="Times New Roman" w:eastAsia="仿宋_GB2312" w:cs="Times New Roman"/>
          <w:b/>
          <w:bCs/>
          <w:spacing w:val="5"/>
          <w:sz w:val="32"/>
          <w:szCs w:val="32"/>
        </w:rPr>
        <w:t>附件1</w:t>
      </w:r>
    </w:p>
    <w:p w14:paraId="3BA0507B">
      <w:pPr>
        <w:spacing w:line="276" w:lineRule="auto"/>
        <w:rPr>
          <w:rFonts w:ascii="Times New Roman" w:hAnsi="Times New Roman" w:cs="Times New Roman"/>
        </w:rPr>
      </w:pPr>
    </w:p>
    <w:p w14:paraId="2CD4F204">
      <w:pPr>
        <w:pStyle w:val="2"/>
        <w:spacing w:before="104" w:line="219" w:lineRule="auto"/>
        <w:jc w:val="center"/>
        <w:rPr>
          <w:rFonts w:ascii="Times New Roman" w:hAnsi="Times New Roman" w:cs="Times New Roman"/>
          <w:sz w:val="32"/>
          <w:szCs w:val="32"/>
          <w:lang w:eastAsia="zh-CN"/>
        </w:rPr>
      </w:pPr>
      <w:r>
        <w:rPr>
          <w:rFonts w:hint="eastAsia" w:ascii="Times New Roman" w:hAnsi="Times New Roman" w:cs="Times New Roman"/>
          <w:b/>
          <w:bCs/>
          <w:spacing w:val="3"/>
          <w:sz w:val="32"/>
          <w:szCs w:val="32"/>
          <w:lang w:eastAsia="zh-CN"/>
        </w:rPr>
        <w:t>渑池县公共资源交易中心</w:t>
      </w:r>
      <w:r>
        <w:rPr>
          <w:rFonts w:ascii="Times New Roman" w:hAnsi="Times New Roman" w:cs="Times New Roman"/>
          <w:b/>
          <w:bCs/>
          <w:spacing w:val="3"/>
          <w:sz w:val="32"/>
          <w:szCs w:val="32"/>
        </w:rPr>
        <w:t>部门及下属单位综合性涉企收费目录清单</w:t>
      </w:r>
    </w:p>
    <w:p w14:paraId="5AE7688E">
      <w:pPr>
        <w:spacing w:before="38"/>
        <w:rPr>
          <w:rFonts w:ascii="Times New Roman" w:hAnsi="Times New Roman" w:cs="Times New Roman"/>
        </w:rPr>
      </w:pPr>
    </w:p>
    <w:tbl>
      <w:tblPr>
        <w:tblStyle w:val="9"/>
        <w:tblW w:w="13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149"/>
        <w:gridCol w:w="1399"/>
        <w:gridCol w:w="989"/>
        <w:gridCol w:w="1267"/>
        <w:gridCol w:w="1170"/>
        <w:gridCol w:w="1515"/>
        <w:gridCol w:w="1785"/>
        <w:gridCol w:w="1185"/>
        <w:gridCol w:w="1710"/>
        <w:gridCol w:w="785"/>
      </w:tblGrid>
      <w:tr w14:paraId="7473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715" w:type="dxa"/>
            <w:vAlign w:val="center"/>
          </w:tcPr>
          <w:p w14:paraId="20C71FA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149" w:type="dxa"/>
            <w:vAlign w:val="center"/>
          </w:tcPr>
          <w:p w14:paraId="08E02B4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部门名称</w:t>
            </w:r>
          </w:p>
        </w:tc>
        <w:tc>
          <w:tcPr>
            <w:tcW w:w="1399" w:type="dxa"/>
            <w:vAlign w:val="center"/>
          </w:tcPr>
          <w:p w14:paraId="40876F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收费单位名称</w:t>
            </w:r>
          </w:p>
        </w:tc>
        <w:tc>
          <w:tcPr>
            <w:tcW w:w="989" w:type="dxa"/>
            <w:vAlign w:val="center"/>
          </w:tcPr>
          <w:p w14:paraId="4B9B525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单位性质</w:t>
            </w:r>
          </w:p>
        </w:tc>
        <w:tc>
          <w:tcPr>
            <w:tcW w:w="1267" w:type="dxa"/>
            <w:vAlign w:val="center"/>
          </w:tcPr>
          <w:p w14:paraId="424F329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收费项目</w:t>
            </w:r>
          </w:p>
        </w:tc>
        <w:tc>
          <w:tcPr>
            <w:tcW w:w="1170" w:type="dxa"/>
            <w:vAlign w:val="center"/>
          </w:tcPr>
          <w:p w14:paraId="7555ADF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收费性质</w:t>
            </w:r>
          </w:p>
        </w:tc>
        <w:tc>
          <w:tcPr>
            <w:tcW w:w="1515" w:type="dxa"/>
            <w:vAlign w:val="center"/>
          </w:tcPr>
          <w:p w14:paraId="7756C92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服务内容或</w:t>
            </w:r>
          </w:p>
          <w:p w14:paraId="2875208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涉及事项</w:t>
            </w:r>
          </w:p>
        </w:tc>
        <w:tc>
          <w:tcPr>
            <w:tcW w:w="1785" w:type="dxa"/>
            <w:vAlign w:val="center"/>
          </w:tcPr>
          <w:p w14:paraId="1630814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收费标准</w:t>
            </w:r>
          </w:p>
        </w:tc>
        <w:tc>
          <w:tcPr>
            <w:tcW w:w="1185" w:type="dxa"/>
            <w:vAlign w:val="center"/>
          </w:tcPr>
          <w:p w14:paraId="6F58F79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标准制定方式及部门</w:t>
            </w:r>
          </w:p>
        </w:tc>
        <w:tc>
          <w:tcPr>
            <w:tcW w:w="1710" w:type="dxa"/>
            <w:vAlign w:val="center"/>
          </w:tcPr>
          <w:p w14:paraId="6BDD264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政策依据</w:t>
            </w:r>
          </w:p>
        </w:tc>
        <w:tc>
          <w:tcPr>
            <w:tcW w:w="785" w:type="dxa"/>
            <w:vAlign w:val="center"/>
          </w:tcPr>
          <w:p w14:paraId="4081966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r>
      <w:tr w14:paraId="1B42A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715" w:type="dxa"/>
            <w:vAlign w:val="center"/>
          </w:tcPr>
          <w:p w14:paraId="1A5A16E0">
            <w:pPr>
              <w:jc w:val="center"/>
              <w:rPr>
                <w:lang w:eastAsia="zh-CN"/>
              </w:rPr>
            </w:pPr>
            <w:r>
              <w:rPr>
                <w:rFonts w:hint="eastAsia"/>
                <w:lang w:eastAsia="zh-CN"/>
              </w:rPr>
              <w:t>1</w:t>
            </w:r>
          </w:p>
        </w:tc>
        <w:tc>
          <w:tcPr>
            <w:tcW w:w="1149" w:type="dxa"/>
            <w:vAlign w:val="center"/>
          </w:tcPr>
          <w:p w14:paraId="1C3C43A4">
            <w:pPr>
              <w:jc w:val="center"/>
              <w:rPr>
                <w:lang w:eastAsia="zh-CN"/>
              </w:rPr>
            </w:pPr>
            <w:r>
              <w:rPr>
                <w:rFonts w:hint="eastAsia"/>
                <w:lang w:eastAsia="zh-CN"/>
              </w:rPr>
              <w:t>渑池县公共资源交易</w:t>
            </w:r>
          </w:p>
          <w:p w14:paraId="353E6A2C">
            <w:pPr>
              <w:jc w:val="center"/>
              <w:rPr>
                <w:lang w:eastAsia="zh-CN"/>
              </w:rPr>
            </w:pPr>
            <w:r>
              <w:rPr>
                <w:rFonts w:hint="eastAsia"/>
                <w:lang w:eastAsia="zh-CN"/>
              </w:rPr>
              <w:t>中心</w:t>
            </w:r>
          </w:p>
        </w:tc>
        <w:tc>
          <w:tcPr>
            <w:tcW w:w="1399" w:type="dxa"/>
            <w:vAlign w:val="center"/>
          </w:tcPr>
          <w:p w14:paraId="73BBDB66">
            <w:pPr>
              <w:jc w:val="center"/>
              <w:rPr>
                <w:lang w:eastAsia="zh-CN"/>
              </w:rPr>
            </w:pPr>
            <w:r>
              <w:rPr>
                <w:rFonts w:hint="eastAsia"/>
                <w:lang w:eastAsia="zh-CN"/>
              </w:rPr>
              <w:t>渑池县公共资源交易中心</w:t>
            </w:r>
          </w:p>
        </w:tc>
        <w:tc>
          <w:tcPr>
            <w:tcW w:w="989" w:type="dxa"/>
            <w:vAlign w:val="center"/>
          </w:tcPr>
          <w:p w14:paraId="25CE1119">
            <w:pPr>
              <w:jc w:val="center"/>
            </w:pPr>
            <w:r>
              <w:t>事业单位</w:t>
            </w:r>
          </w:p>
        </w:tc>
        <w:tc>
          <w:tcPr>
            <w:tcW w:w="1267" w:type="dxa"/>
            <w:vAlign w:val="center"/>
          </w:tcPr>
          <w:p w14:paraId="0C3F5746">
            <w:pPr>
              <w:jc w:val="center"/>
              <w:rPr>
                <w:rFonts w:hint="eastAsia"/>
                <w:lang w:eastAsia="zh-CN"/>
              </w:rPr>
            </w:pPr>
            <w:r>
              <w:rPr>
                <w:rFonts w:hint="eastAsia"/>
                <w:lang w:eastAsia="zh-CN"/>
              </w:rPr>
              <w:t>建设工程</w:t>
            </w:r>
          </w:p>
          <w:p w14:paraId="7BF18B57">
            <w:pPr>
              <w:jc w:val="center"/>
            </w:pPr>
            <w:r>
              <w:rPr>
                <w:rFonts w:hint="eastAsia"/>
                <w:lang w:eastAsia="zh-CN"/>
              </w:rPr>
              <w:t>投标保证金</w:t>
            </w:r>
          </w:p>
        </w:tc>
        <w:tc>
          <w:tcPr>
            <w:tcW w:w="1170" w:type="dxa"/>
            <w:vAlign w:val="center"/>
          </w:tcPr>
          <w:p w14:paraId="4EC982B1">
            <w:pPr>
              <w:jc w:val="center"/>
              <w:rPr>
                <w:lang w:eastAsia="zh-CN"/>
              </w:rPr>
            </w:pPr>
            <w:r>
              <w:rPr>
                <w:rFonts w:hint="eastAsia"/>
                <w:lang w:eastAsia="zh-CN"/>
              </w:rPr>
              <w:t>涉企保证金</w:t>
            </w:r>
          </w:p>
        </w:tc>
        <w:tc>
          <w:tcPr>
            <w:tcW w:w="1515" w:type="dxa"/>
            <w:vAlign w:val="center"/>
          </w:tcPr>
          <w:p w14:paraId="12D078CD">
            <w:pPr>
              <w:jc w:val="both"/>
            </w:pPr>
          </w:p>
          <w:p w14:paraId="6BE2CE63">
            <w:pPr>
              <w:jc w:val="center"/>
              <w:rPr>
                <w:lang w:eastAsia="zh-CN"/>
              </w:rPr>
            </w:pPr>
            <w:r>
              <w:rPr>
                <w:rFonts w:hint="eastAsia"/>
                <w:lang w:eastAsia="zh-CN"/>
              </w:rPr>
              <w:t>建设工程投标保证金</w:t>
            </w:r>
          </w:p>
        </w:tc>
        <w:tc>
          <w:tcPr>
            <w:tcW w:w="1785" w:type="dxa"/>
            <w:vAlign w:val="center"/>
          </w:tcPr>
          <w:p w14:paraId="0B62FB43">
            <w:pPr>
              <w:jc w:val="center"/>
              <w:rPr>
                <w:lang w:eastAsia="zh-CN"/>
              </w:rPr>
            </w:pPr>
            <w:r>
              <w:rPr>
                <w:rFonts w:hint="eastAsia"/>
                <w:lang w:eastAsia="zh-CN"/>
              </w:rPr>
              <w:t>投标保证金不得超过招标项目估算价的</w:t>
            </w:r>
            <w:r>
              <w:rPr>
                <w:lang w:eastAsia="zh-CN"/>
              </w:rPr>
              <w:t xml:space="preserve"> 2%</w:t>
            </w:r>
          </w:p>
        </w:tc>
        <w:tc>
          <w:tcPr>
            <w:tcW w:w="1185" w:type="dxa"/>
            <w:vAlign w:val="center"/>
          </w:tcPr>
          <w:p w14:paraId="773B9900">
            <w:pPr>
              <w:jc w:val="center"/>
              <w:rPr>
                <w:rFonts w:hint="eastAsia"/>
                <w:lang w:eastAsia="zh-CN"/>
              </w:rPr>
            </w:pPr>
            <w:r>
              <w:rPr>
                <w:rFonts w:hint="eastAsia"/>
                <w:lang w:eastAsia="zh-CN"/>
              </w:rPr>
              <w:t>国务院</w:t>
            </w:r>
          </w:p>
        </w:tc>
        <w:tc>
          <w:tcPr>
            <w:tcW w:w="1710" w:type="dxa"/>
            <w:vAlign w:val="center"/>
          </w:tcPr>
          <w:p w14:paraId="77EC0569">
            <w:pPr>
              <w:jc w:val="center"/>
              <w:rPr>
                <w:lang w:eastAsia="zh-CN"/>
              </w:rPr>
            </w:pPr>
            <w:r>
              <w:rPr>
                <w:rFonts w:hint="eastAsia"/>
                <w:lang w:eastAsia="zh-CN"/>
              </w:rPr>
              <w:t>《招标投标法实施条例》第二十六条</w:t>
            </w:r>
          </w:p>
        </w:tc>
        <w:tc>
          <w:tcPr>
            <w:tcW w:w="785" w:type="dxa"/>
            <w:vAlign w:val="center"/>
          </w:tcPr>
          <w:p w14:paraId="418B4CED">
            <w:pPr>
              <w:jc w:val="center"/>
            </w:pPr>
          </w:p>
        </w:tc>
      </w:tr>
      <w:tr w14:paraId="4AC46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5" w:type="dxa"/>
            <w:shd w:val="clear" w:color="auto" w:fill="auto"/>
            <w:vAlign w:val="center"/>
          </w:tcPr>
          <w:p w14:paraId="3519E63A">
            <w:pPr>
              <w:jc w:val="center"/>
              <w:rPr>
                <w:lang w:val="en-US" w:eastAsia="zh-CN"/>
              </w:rPr>
            </w:pPr>
            <w:r>
              <w:rPr>
                <w:rFonts w:hint="eastAsia"/>
                <w:lang w:val="en-US" w:eastAsia="zh-CN"/>
              </w:rPr>
              <w:t>2</w:t>
            </w:r>
          </w:p>
        </w:tc>
        <w:tc>
          <w:tcPr>
            <w:tcW w:w="1149" w:type="dxa"/>
            <w:shd w:val="clear" w:color="auto" w:fill="auto"/>
            <w:vAlign w:val="center"/>
          </w:tcPr>
          <w:p w14:paraId="4576CD54">
            <w:pPr>
              <w:jc w:val="center"/>
              <w:rPr>
                <w:lang w:eastAsia="zh-CN"/>
              </w:rPr>
            </w:pPr>
            <w:r>
              <w:rPr>
                <w:rFonts w:hint="eastAsia"/>
                <w:lang w:eastAsia="zh-CN"/>
              </w:rPr>
              <w:t>渑池县公共资源交易</w:t>
            </w:r>
          </w:p>
          <w:p w14:paraId="1C65BB59">
            <w:pPr>
              <w:jc w:val="center"/>
              <w:rPr>
                <w:lang w:val="en-US" w:eastAsia="zh-CN"/>
              </w:rPr>
            </w:pPr>
            <w:r>
              <w:rPr>
                <w:rFonts w:hint="eastAsia"/>
                <w:lang w:eastAsia="zh-CN"/>
              </w:rPr>
              <w:t>中心</w:t>
            </w:r>
          </w:p>
        </w:tc>
        <w:tc>
          <w:tcPr>
            <w:tcW w:w="1399" w:type="dxa"/>
            <w:shd w:val="clear" w:color="auto" w:fill="auto"/>
            <w:vAlign w:val="center"/>
          </w:tcPr>
          <w:p w14:paraId="5B49F0ED">
            <w:pPr>
              <w:jc w:val="center"/>
              <w:rPr>
                <w:lang w:val="en-US" w:eastAsia="zh-CN"/>
              </w:rPr>
            </w:pPr>
            <w:r>
              <w:rPr>
                <w:rFonts w:hint="eastAsia"/>
                <w:lang w:eastAsia="zh-CN"/>
              </w:rPr>
              <w:t>渑池县公共资源交易中心</w:t>
            </w:r>
          </w:p>
        </w:tc>
        <w:tc>
          <w:tcPr>
            <w:tcW w:w="989" w:type="dxa"/>
            <w:shd w:val="clear" w:color="auto" w:fill="auto"/>
            <w:vAlign w:val="center"/>
          </w:tcPr>
          <w:p w14:paraId="4D3649E9">
            <w:pPr>
              <w:jc w:val="center"/>
              <w:rPr>
                <w:lang w:val="en-US" w:eastAsia="en-US"/>
              </w:rPr>
            </w:pPr>
            <w:r>
              <w:t>事业单位</w:t>
            </w:r>
          </w:p>
        </w:tc>
        <w:tc>
          <w:tcPr>
            <w:tcW w:w="1267" w:type="dxa"/>
            <w:shd w:val="clear" w:color="auto" w:fill="auto"/>
            <w:vAlign w:val="center"/>
          </w:tcPr>
          <w:p w14:paraId="164559C3">
            <w:pPr>
              <w:jc w:val="center"/>
              <w:rPr>
                <w:lang w:val="en-US" w:eastAsia="en-US"/>
              </w:rPr>
            </w:pPr>
            <w:r>
              <w:rPr>
                <w:rFonts w:hint="eastAsia"/>
                <w:lang w:eastAsia="zh-CN"/>
              </w:rPr>
              <w:t>土地招拍挂竞买保证金</w:t>
            </w:r>
          </w:p>
        </w:tc>
        <w:tc>
          <w:tcPr>
            <w:tcW w:w="1170" w:type="dxa"/>
            <w:shd w:val="clear" w:color="auto" w:fill="auto"/>
            <w:vAlign w:val="center"/>
          </w:tcPr>
          <w:p w14:paraId="0575C591">
            <w:pPr>
              <w:jc w:val="center"/>
              <w:rPr>
                <w:lang w:val="en-US" w:eastAsia="zh-CN"/>
              </w:rPr>
            </w:pPr>
            <w:r>
              <w:rPr>
                <w:rFonts w:hint="eastAsia"/>
                <w:lang w:eastAsia="zh-CN"/>
              </w:rPr>
              <w:t>涉企保证金</w:t>
            </w:r>
          </w:p>
        </w:tc>
        <w:tc>
          <w:tcPr>
            <w:tcW w:w="1515" w:type="dxa"/>
            <w:vAlign w:val="center"/>
          </w:tcPr>
          <w:p w14:paraId="63A5D7E7">
            <w:pPr>
              <w:jc w:val="center"/>
              <w:rPr>
                <w:rFonts w:hint="eastAsia"/>
                <w:lang w:eastAsia="zh-CN"/>
              </w:rPr>
            </w:pPr>
            <w:r>
              <w:rPr>
                <w:rFonts w:hint="eastAsia"/>
                <w:lang w:eastAsia="zh-CN"/>
              </w:rPr>
              <w:t>土地招拍挂竞</w:t>
            </w:r>
          </w:p>
          <w:p w14:paraId="508F7849">
            <w:pPr>
              <w:jc w:val="center"/>
              <w:rPr>
                <w:lang w:eastAsia="zh-CN"/>
              </w:rPr>
            </w:pPr>
            <w:r>
              <w:rPr>
                <w:rFonts w:hint="eastAsia"/>
                <w:lang w:eastAsia="zh-CN"/>
              </w:rPr>
              <w:t>买保证金</w:t>
            </w:r>
          </w:p>
        </w:tc>
        <w:tc>
          <w:tcPr>
            <w:tcW w:w="1785" w:type="dxa"/>
            <w:vAlign w:val="center"/>
          </w:tcPr>
          <w:p w14:paraId="24AFAA1B">
            <w:pPr>
              <w:jc w:val="center"/>
            </w:pPr>
            <w:r>
              <w:rPr>
                <w:rFonts w:hint="eastAsia"/>
              </w:rPr>
              <w:t>竞买保证金不得低于出让最低价的</w:t>
            </w:r>
            <w:r>
              <w:t>20%</w:t>
            </w:r>
            <w:bookmarkStart w:id="0" w:name="_GoBack"/>
            <w:bookmarkEnd w:id="0"/>
          </w:p>
        </w:tc>
        <w:tc>
          <w:tcPr>
            <w:tcW w:w="1185" w:type="dxa"/>
            <w:vAlign w:val="center"/>
          </w:tcPr>
          <w:p w14:paraId="759E791D">
            <w:pPr>
              <w:jc w:val="center"/>
              <w:rPr>
                <w:rFonts w:hint="eastAsia"/>
                <w:lang w:eastAsia="zh-CN"/>
              </w:rPr>
            </w:pPr>
            <w:r>
              <w:rPr>
                <w:rFonts w:hint="eastAsia"/>
                <w:lang w:eastAsia="zh-CN"/>
              </w:rPr>
              <w:t>国土资源部</w:t>
            </w:r>
          </w:p>
        </w:tc>
        <w:tc>
          <w:tcPr>
            <w:tcW w:w="1710" w:type="dxa"/>
            <w:vAlign w:val="center"/>
          </w:tcPr>
          <w:p w14:paraId="76483282">
            <w:pPr>
              <w:jc w:val="center"/>
              <w:rPr>
                <w:rFonts w:hint="eastAsia"/>
              </w:rPr>
            </w:pPr>
            <w:r>
              <w:rPr>
                <w:rFonts w:hint="eastAsia"/>
              </w:rPr>
              <w:t>国土资源部关于加强房地产用地供应和监管有关问题的通知国土资发</w:t>
            </w:r>
          </w:p>
          <w:p w14:paraId="44F66E0C">
            <w:pPr>
              <w:jc w:val="center"/>
            </w:pPr>
            <w:r>
              <w:rPr>
                <w:rFonts w:hint="eastAsia" w:eastAsia="宋体"/>
                <w:lang w:val="en-US" w:eastAsia="zh-CN"/>
              </w:rPr>
              <w:t>〔</w:t>
            </w:r>
            <w:r>
              <w:t>2010</w:t>
            </w:r>
            <w:r>
              <w:rPr>
                <w:rFonts w:hint="eastAsia" w:eastAsia="宋体"/>
                <w:lang w:val="en-US" w:eastAsia="zh-CN"/>
              </w:rPr>
              <w:t>〕</w:t>
            </w:r>
            <w:r>
              <w:t>34</w:t>
            </w:r>
            <w:r>
              <w:rPr>
                <w:rFonts w:hint="eastAsia"/>
              </w:rPr>
              <w:t>号</w:t>
            </w:r>
          </w:p>
        </w:tc>
        <w:tc>
          <w:tcPr>
            <w:tcW w:w="785" w:type="dxa"/>
            <w:vAlign w:val="center"/>
          </w:tcPr>
          <w:p w14:paraId="2022F194">
            <w:pPr>
              <w:jc w:val="center"/>
            </w:pPr>
          </w:p>
        </w:tc>
      </w:tr>
      <w:tr w14:paraId="5B48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5" w:type="dxa"/>
            <w:vAlign w:val="center"/>
          </w:tcPr>
          <w:p w14:paraId="6F9FCB9C">
            <w:pPr>
              <w:jc w:val="center"/>
            </w:pPr>
          </w:p>
        </w:tc>
        <w:tc>
          <w:tcPr>
            <w:tcW w:w="1149" w:type="dxa"/>
            <w:vAlign w:val="center"/>
          </w:tcPr>
          <w:p w14:paraId="3AB284E2">
            <w:pPr>
              <w:jc w:val="center"/>
            </w:pPr>
          </w:p>
        </w:tc>
        <w:tc>
          <w:tcPr>
            <w:tcW w:w="1399" w:type="dxa"/>
            <w:vAlign w:val="center"/>
          </w:tcPr>
          <w:p w14:paraId="3266ED68">
            <w:pPr>
              <w:jc w:val="center"/>
            </w:pPr>
          </w:p>
        </w:tc>
        <w:tc>
          <w:tcPr>
            <w:tcW w:w="989" w:type="dxa"/>
            <w:vAlign w:val="center"/>
          </w:tcPr>
          <w:p w14:paraId="062DA9BE">
            <w:pPr>
              <w:jc w:val="center"/>
            </w:pPr>
          </w:p>
        </w:tc>
        <w:tc>
          <w:tcPr>
            <w:tcW w:w="1267" w:type="dxa"/>
            <w:vAlign w:val="center"/>
          </w:tcPr>
          <w:p w14:paraId="2C63B696">
            <w:pPr>
              <w:jc w:val="center"/>
            </w:pPr>
          </w:p>
        </w:tc>
        <w:tc>
          <w:tcPr>
            <w:tcW w:w="1170" w:type="dxa"/>
            <w:vAlign w:val="center"/>
          </w:tcPr>
          <w:p w14:paraId="2AB7F490">
            <w:pPr>
              <w:jc w:val="center"/>
            </w:pPr>
          </w:p>
        </w:tc>
        <w:tc>
          <w:tcPr>
            <w:tcW w:w="1515" w:type="dxa"/>
            <w:vAlign w:val="center"/>
          </w:tcPr>
          <w:p w14:paraId="0078F84A">
            <w:pPr>
              <w:jc w:val="center"/>
            </w:pPr>
          </w:p>
        </w:tc>
        <w:tc>
          <w:tcPr>
            <w:tcW w:w="1785" w:type="dxa"/>
            <w:vAlign w:val="center"/>
          </w:tcPr>
          <w:p w14:paraId="5056AE7D">
            <w:pPr>
              <w:jc w:val="center"/>
            </w:pPr>
          </w:p>
        </w:tc>
        <w:tc>
          <w:tcPr>
            <w:tcW w:w="1185" w:type="dxa"/>
            <w:vAlign w:val="center"/>
          </w:tcPr>
          <w:p w14:paraId="27F54817">
            <w:pPr>
              <w:jc w:val="center"/>
            </w:pPr>
          </w:p>
        </w:tc>
        <w:tc>
          <w:tcPr>
            <w:tcW w:w="1710" w:type="dxa"/>
            <w:vAlign w:val="center"/>
          </w:tcPr>
          <w:p w14:paraId="78657674">
            <w:pPr>
              <w:jc w:val="center"/>
            </w:pPr>
          </w:p>
        </w:tc>
        <w:tc>
          <w:tcPr>
            <w:tcW w:w="785" w:type="dxa"/>
            <w:vAlign w:val="center"/>
          </w:tcPr>
          <w:p w14:paraId="19072446">
            <w:pPr>
              <w:jc w:val="center"/>
            </w:pPr>
          </w:p>
        </w:tc>
      </w:tr>
      <w:tr w14:paraId="5A1BF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15" w:type="dxa"/>
          </w:tcPr>
          <w:p w14:paraId="142142ED">
            <w:pPr>
              <w:pStyle w:val="10"/>
              <w:rPr>
                <w:rFonts w:ascii="Times New Roman" w:hAnsi="Times New Roman" w:cs="Times New Roman"/>
              </w:rPr>
            </w:pPr>
          </w:p>
        </w:tc>
        <w:tc>
          <w:tcPr>
            <w:tcW w:w="1149" w:type="dxa"/>
          </w:tcPr>
          <w:p w14:paraId="074597A4">
            <w:pPr>
              <w:pStyle w:val="10"/>
              <w:rPr>
                <w:rFonts w:ascii="Times New Roman" w:hAnsi="Times New Roman" w:cs="Times New Roman"/>
              </w:rPr>
            </w:pPr>
          </w:p>
        </w:tc>
        <w:tc>
          <w:tcPr>
            <w:tcW w:w="1399" w:type="dxa"/>
          </w:tcPr>
          <w:p w14:paraId="28DBA9B5">
            <w:pPr>
              <w:pStyle w:val="10"/>
              <w:rPr>
                <w:rFonts w:ascii="Times New Roman" w:hAnsi="Times New Roman" w:cs="Times New Roman"/>
              </w:rPr>
            </w:pPr>
          </w:p>
        </w:tc>
        <w:tc>
          <w:tcPr>
            <w:tcW w:w="989" w:type="dxa"/>
          </w:tcPr>
          <w:p w14:paraId="30A798ED">
            <w:pPr>
              <w:pStyle w:val="10"/>
              <w:rPr>
                <w:rFonts w:ascii="Times New Roman" w:hAnsi="Times New Roman" w:cs="Times New Roman"/>
              </w:rPr>
            </w:pPr>
          </w:p>
        </w:tc>
        <w:tc>
          <w:tcPr>
            <w:tcW w:w="1267" w:type="dxa"/>
          </w:tcPr>
          <w:p w14:paraId="2C2A4874">
            <w:pPr>
              <w:pStyle w:val="10"/>
              <w:rPr>
                <w:rFonts w:ascii="Times New Roman" w:hAnsi="Times New Roman" w:cs="Times New Roman"/>
              </w:rPr>
            </w:pPr>
          </w:p>
        </w:tc>
        <w:tc>
          <w:tcPr>
            <w:tcW w:w="1170" w:type="dxa"/>
          </w:tcPr>
          <w:p w14:paraId="7B5893A4">
            <w:pPr>
              <w:pStyle w:val="10"/>
              <w:rPr>
                <w:rFonts w:ascii="Times New Roman" w:hAnsi="Times New Roman" w:cs="Times New Roman"/>
              </w:rPr>
            </w:pPr>
          </w:p>
        </w:tc>
        <w:tc>
          <w:tcPr>
            <w:tcW w:w="1515" w:type="dxa"/>
          </w:tcPr>
          <w:p w14:paraId="3502F4CA">
            <w:pPr>
              <w:pStyle w:val="10"/>
              <w:rPr>
                <w:rFonts w:ascii="Times New Roman" w:hAnsi="Times New Roman" w:cs="Times New Roman"/>
              </w:rPr>
            </w:pPr>
          </w:p>
        </w:tc>
        <w:tc>
          <w:tcPr>
            <w:tcW w:w="1785" w:type="dxa"/>
          </w:tcPr>
          <w:p w14:paraId="7FC04601">
            <w:pPr>
              <w:pStyle w:val="10"/>
              <w:rPr>
                <w:rFonts w:ascii="Times New Roman" w:hAnsi="Times New Roman" w:cs="Times New Roman"/>
              </w:rPr>
            </w:pPr>
          </w:p>
        </w:tc>
        <w:tc>
          <w:tcPr>
            <w:tcW w:w="1185" w:type="dxa"/>
          </w:tcPr>
          <w:p w14:paraId="1DC9E16A">
            <w:pPr>
              <w:pStyle w:val="10"/>
              <w:rPr>
                <w:rFonts w:ascii="Times New Roman" w:hAnsi="Times New Roman" w:cs="Times New Roman"/>
              </w:rPr>
            </w:pPr>
          </w:p>
        </w:tc>
        <w:tc>
          <w:tcPr>
            <w:tcW w:w="1710" w:type="dxa"/>
          </w:tcPr>
          <w:p w14:paraId="5327E7F1">
            <w:pPr>
              <w:pStyle w:val="10"/>
              <w:rPr>
                <w:rFonts w:ascii="Times New Roman" w:hAnsi="Times New Roman" w:cs="Times New Roman"/>
              </w:rPr>
            </w:pPr>
          </w:p>
        </w:tc>
        <w:tc>
          <w:tcPr>
            <w:tcW w:w="785" w:type="dxa"/>
          </w:tcPr>
          <w:p w14:paraId="23CA9F7A">
            <w:pPr>
              <w:pStyle w:val="10"/>
              <w:rPr>
                <w:rFonts w:ascii="Times New Roman" w:hAnsi="Times New Roman" w:cs="Times New Roman"/>
              </w:rPr>
            </w:pPr>
          </w:p>
        </w:tc>
      </w:tr>
    </w:tbl>
    <w:p w14:paraId="5D90FFAB">
      <w:pPr>
        <w:pStyle w:val="10"/>
        <w:rPr>
          <w:rFonts w:ascii="Times New Roman" w:hAnsi="Times New Roman" w:cs="Times New Roman"/>
        </w:r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14:paraId="2F143E82">
      <w:pPr>
        <w:rPr>
          <w:rFonts w:hint="default"/>
          <w:lang w:val="en-US" w:eastAsia="zh-CN"/>
        </w:rPr>
      </w:pPr>
    </w:p>
    <w:p w14:paraId="2CFFD9D5">
      <w:pPr>
        <w:rPr>
          <w:rFonts w:hint="default"/>
          <w:lang w:val="en-US" w:eastAsia="zh-CN"/>
        </w:rPr>
      </w:pPr>
    </w:p>
    <w:p w14:paraId="0092D949">
      <w:pPr>
        <w:rPr>
          <w:rFonts w:hint="default"/>
          <w:lang w:val="en-US" w:eastAsia="zh-CN"/>
        </w:rPr>
      </w:pPr>
    </w:p>
    <w:p w14:paraId="15FA1E19">
      <w:pPr>
        <w:rPr>
          <w:rFonts w:hint="default"/>
          <w:lang w:val="en-US" w:eastAsia="zh-CN"/>
        </w:rPr>
      </w:pPr>
    </w:p>
    <w:p w14:paraId="065B69BC">
      <w:pPr>
        <w:rPr>
          <w:rFonts w:hint="default"/>
          <w:lang w:val="en-US" w:eastAsia="zh-CN"/>
        </w:rPr>
      </w:pPr>
    </w:p>
    <w:p w14:paraId="6D82344A">
      <w:pPr>
        <w:rPr>
          <w:rFonts w:hint="default"/>
          <w:lang w:val="en-US" w:eastAsia="zh-CN"/>
        </w:rPr>
      </w:pPr>
    </w:p>
    <w:p w14:paraId="654723B1">
      <w:pPr>
        <w:rPr>
          <w:rFonts w:hint="default"/>
          <w:lang w:val="en-US" w:eastAsia="zh-CN"/>
        </w:rPr>
      </w:pPr>
    </w:p>
    <w:p w14:paraId="6D43E23D">
      <w:pPr>
        <w:rPr>
          <w:rFonts w:hint="default"/>
          <w:lang w:val="en-US" w:eastAsia="zh-CN"/>
        </w:rPr>
      </w:pPr>
    </w:p>
    <w:p w14:paraId="2783CD76">
      <w:pPr>
        <w:rPr>
          <w:rFonts w:hint="default"/>
          <w:lang w:val="en-US" w:eastAsia="zh-CN"/>
        </w:rPr>
      </w:pPr>
    </w:p>
    <w:p w14:paraId="3B74A24F">
      <w:pPr>
        <w:rPr>
          <w:rFonts w:hint="default"/>
          <w:lang w:val="en-US" w:eastAsia="zh-CN"/>
        </w:rPr>
      </w:pPr>
    </w:p>
    <w:p w14:paraId="1C312324">
      <w:pPr>
        <w:rPr>
          <w:rFonts w:hint="default"/>
          <w:lang w:val="en-US" w:eastAsia="zh-CN"/>
        </w:rPr>
      </w:pPr>
    </w:p>
    <w:p w14:paraId="57A90330">
      <w:pPr>
        <w:rPr>
          <w:rFonts w:hint="default"/>
          <w:lang w:val="en-US" w:eastAsia="zh-CN"/>
        </w:rPr>
      </w:pPr>
    </w:p>
    <w:p w14:paraId="462372B2">
      <w:pPr>
        <w:rPr>
          <w:rFonts w:hint="default"/>
          <w:lang w:val="en-US" w:eastAsia="zh-CN"/>
        </w:rPr>
      </w:pPr>
    </w:p>
    <w:p w14:paraId="10D8F6C5">
      <w:pPr>
        <w:rPr>
          <w:rFonts w:hint="default"/>
          <w:lang w:val="en-US" w:eastAsia="zh-CN"/>
        </w:rPr>
      </w:pPr>
    </w:p>
    <w:p w14:paraId="1DDD32F4">
      <w:pPr>
        <w:rPr>
          <w:rFonts w:hint="default"/>
          <w:lang w:val="en-US" w:eastAsia="zh-CN"/>
        </w:rPr>
      </w:pPr>
    </w:p>
    <w:p w14:paraId="4F89FE72">
      <w:pPr>
        <w:rPr>
          <w:rFonts w:hint="default"/>
          <w:lang w:val="en-US" w:eastAsia="zh-CN"/>
        </w:rPr>
      </w:pPr>
    </w:p>
    <w:p w14:paraId="7341A0D5">
      <w:pPr>
        <w:rPr>
          <w:rFonts w:hint="default"/>
          <w:lang w:val="en-US" w:eastAsia="zh-CN"/>
        </w:rPr>
      </w:pPr>
    </w:p>
    <w:p w14:paraId="19059C06">
      <w:pPr>
        <w:rPr>
          <w:rFonts w:hint="default"/>
          <w:lang w:val="en-US" w:eastAsia="zh-CN"/>
        </w:rPr>
      </w:pPr>
    </w:p>
    <w:p w14:paraId="0D1E1156">
      <w:pPr>
        <w:rPr>
          <w:rFonts w:hint="default"/>
          <w:lang w:val="en-US" w:eastAsia="zh-CN"/>
        </w:rPr>
      </w:pPr>
    </w:p>
    <w:p w14:paraId="2FF14091">
      <w:pPr>
        <w:rPr>
          <w:rFonts w:hint="default"/>
          <w:lang w:val="en-US" w:eastAsia="zh-CN"/>
        </w:rPr>
      </w:pPr>
    </w:p>
    <w:p w14:paraId="608E7B2C">
      <w:pPr>
        <w:rPr>
          <w:rFonts w:hint="default"/>
          <w:lang w:val="en-US" w:eastAsia="zh-CN"/>
        </w:rPr>
      </w:pPr>
    </w:p>
    <w:p w14:paraId="193FF84B">
      <w:pPr>
        <w:rPr>
          <w:rFonts w:hint="default"/>
          <w:lang w:val="en-US" w:eastAsia="zh-CN"/>
        </w:rPr>
      </w:pPr>
    </w:p>
    <w:p w14:paraId="5F53FD03">
      <w:pPr>
        <w:rPr>
          <w:rFonts w:hint="default"/>
          <w:lang w:val="en-US" w:eastAsia="zh-CN"/>
        </w:rPr>
      </w:pPr>
    </w:p>
    <w:p w14:paraId="658EFF56">
      <w:pPr>
        <w:rPr>
          <w:rFonts w:hint="default"/>
          <w:lang w:val="en-US" w:eastAsia="zh-CN"/>
        </w:rPr>
      </w:pPr>
    </w:p>
    <w:p w14:paraId="00E47A06">
      <w:pPr>
        <w:rPr>
          <w:rFonts w:hint="default"/>
          <w:lang w:val="en-US" w:eastAsia="zh-CN"/>
        </w:rPr>
      </w:pPr>
    </w:p>
    <w:p w14:paraId="3787D767">
      <w:pPr>
        <w:rPr>
          <w:rFonts w:hint="default"/>
          <w:lang w:val="en-US" w:eastAsia="zh-CN"/>
        </w:rPr>
      </w:pPr>
    </w:p>
    <w:p w14:paraId="22BE73F6">
      <w:pPr>
        <w:rPr>
          <w:rFonts w:hint="default"/>
          <w:lang w:val="en-US" w:eastAsia="zh-CN"/>
        </w:rPr>
      </w:pPr>
    </w:p>
    <w:p w14:paraId="63592026">
      <w:pPr>
        <w:rPr>
          <w:rFonts w:hint="default"/>
          <w:lang w:val="en-US" w:eastAsia="zh-CN"/>
        </w:rPr>
      </w:pPr>
    </w:p>
    <w:p w14:paraId="577B1B7F">
      <w:pPr>
        <w:rPr>
          <w:rFonts w:hint="default"/>
          <w:lang w:val="en-US" w:eastAsia="zh-CN"/>
        </w:rPr>
      </w:pPr>
    </w:p>
    <w:p w14:paraId="07AA91FF">
      <w:pPr>
        <w:rPr>
          <w:rFonts w:hint="default"/>
          <w:lang w:val="en-US" w:eastAsia="zh-CN"/>
        </w:rPr>
      </w:pPr>
    </w:p>
    <w:p w14:paraId="55F76DF4">
      <w:pPr>
        <w:rPr>
          <w:rFonts w:hint="default"/>
          <w:lang w:val="en-US" w:eastAsia="zh-CN"/>
        </w:rPr>
      </w:pPr>
    </w:p>
    <w:p w14:paraId="5A89276D">
      <w:pPr>
        <w:rPr>
          <w:rFonts w:hint="default"/>
          <w:lang w:val="en-US" w:eastAsia="zh-CN"/>
        </w:rPr>
      </w:pPr>
    </w:p>
    <w:p w14:paraId="111424CF">
      <w:pPr>
        <w:rPr>
          <w:rFonts w:hint="default"/>
          <w:lang w:val="en-US" w:eastAsia="zh-CN"/>
        </w:rPr>
      </w:pPr>
    </w:p>
    <w:p w14:paraId="5B756746">
      <w:pPr>
        <w:rPr>
          <w:rFonts w:hint="default"/>
          <w:lang w:val="en-US" w:eastAsia="zh-CN"/>
        </w:rPr>
      </w:pPr>
    </w:p>
    <w:p w14:paraId="0DDFB002">
      <w:pPr>
        <w:rPr>
          <w:rFonts w:hint="default"/>
          <w:lang w:val="en-US" w:eastAsia="zh-CN"/>
        </w:rPr>
      </w:pPr>
    </w:p>
    <w:p w14:paraId="7B3C11FD">
      <w:pPr>
        <w:rPr>
          <w:rFonts w:hint="default"/>
          <w:lang w:val="en-US" w:eastAsia="zh-CN"/>
        </w:rPr>
      </w:pPr>
    </w:p>
    <w:p w14:paraId="374E8230">
      <w:pPr>
        <w:rPr>
          <w:rFonts w:hint="default"/>
          <w:lang w:val="en-US" w:eastAsia="zh-CN"/>
        </w:rPr>
      </w:pPr>
    </w:p>
    <w:p w14:paraId="232DAAA9">
      <w:pPr>
        <w:rPr>
          <w:rFonts w:hint="default"/>
          <w:lang w:val="en-US" w:eastAsia="zh-CN"/>
        </w:rPr>
      </w:pPr>
    </w:p>
    <w:p w14:paraId="2A47CBEC">
      <w:pPr>
        <w:rPr>
          <w:rFonts w:hint="default"/>
          <w:lang w:val="en-US" w:eastAsia="zh-CN"/>
        </w:rPr>
      </w:pPr>
    </w:p>
    <w:p w14:paraId="5F06F720">
      <w:pPr>
        <w:rPr>
          <w:rFonts w:hint="default"/>
          <w:lang w:val="en-US" w:eastAsia="zh-CN"/>
        </w:rPr>
      </w:pPr>
    </w:p>
    <w:p w14:paraId="682182B9">
      <w:pPr>
        <w:rPr>
          <w:rFonts w:hint="default"/>
          <w:lang w:val="en-US" w:eastAsia="zh-CN"/>
        </w:rPr>
      </w:pPr>
    </w:p>
    <w:p w14:paraId="32112632">
      <w:pPr>
        <w:rPr>
          <w:rFonts w:hint="default"/>
          <w:lang w:val="en-US" w:eastAsia="zh-CN"/>
        </w:rPr>
      </w:pPr>
    </w:p>
    <w:p w14:paraId="378495C8">
      <w:pPr>
        <w:rPr>
          <w:rFonts w:hint="default"/>
          <w:lang w:val="en-US" w:eastAsia="zh-CN"/>
        </w:rPr>
      </w:pPr>
    </w:p>
    <w:p w14:paraId="6055D3D5">
      <w:pPr>
        <w:rPr>
          <w:rFonts w:hint="default"/>
          <w:lang w:val="en-US" w:eastAsia="zh-CN"/>
        </w:rPr>
      </w:pPr>
    </w:p>
    <w:p w14:paraId="42A9EF72">
      <w:pPr>
        <w:rPr>
          <w:rFonts w:hint="default"/>
          <w:lang w:val="en-US" w:eastAsia="zh-CN"/>
        </w:rPr>
      </w:pPr>
    </w:p>
    <w:p w14:paraId="5B7EEF9E">
      <w:pPr>
        <w:rPr>
          <w:rFonts w:hint="default"/>
          <w:lang w:val="en-US" w:eastAsia="zh-CN"/>
        </w:rPr>
      </w:pPr>
    </w:p>
    <w:p w14:paraId="2150C535">
      <w:pPr>
        <w:rPr>
          <w:rFonts w:hint="default"/>
          <w:lang w:val="en-US" w:eastAsia="zh-CN"/>
        </w:rPr>
      </w:pPr>
    </w:p>
    <w:p w14:paraId="7F0A176D">
      <w:pPr>
        <w:rPr>
          <w:rFonts w:hint="default"/>
          <w:lang w:val="en-US" w:eastAsia="zh-CN"/>
        </w:rPr>
      </w:pPr>
    </w:p>
    <w:p w14:paraId="4A74FC29">
      <w:pPr>
        <w:rPr>
          <w:rFonts w:hint="default"/>
          <w:lang w:val="en-US" w:eastAsia="zh-CN"/>
        </w:rPr>
      </w:pPr>
    </w:p>
    <w:p w14:paraId="0D3F0D7A">
      <w:pPr>
        <w:rPr>
          <w:rFonts w:hint="default"/>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DC8C">
    <w:pPr>
      <w:spacing w:line="177" w:lineRule="auto"/>
      <w:ind w:left="8082"/>
      <w:rPr>
        <w:rFonts w:ascii="Times New Roman" w:hAnsi="Times New Roman" w:eastAsia="Times New Roman" w:cs="Times New Roman"/>
        <w:sz w:val="19"/>
        <w:szCs w:val="19"/>
      </w:rPr>
    </w:pPr>
    <w:r>
      <w:rPr>
        <w:sz w:val="19"/>
      </w:rPr>
      <w:pict>
        <v:shape id="_x0000_s1026" o:spid="_x0000_s1026" o:spt="202" type="#_x0000_t202" style="position:absolute;left:0pt;margin-top:-17.4pt;height:144pt;width:144pt;mso-position-horizontal:center;mso-position-horizontal-relative:margin;mso-wrap-style:none;z-index:251659264;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VcN11gAAAAgBAAAPAAAAAAAAAAEAIAAAACIAAABkcnMvZG93bnJldi54bWxQ&#10;SwECFAAUAAAACACHTuJA4YDTjjICAABhBAAADgAAAAAAAAABACAAAAAlAQAAZHJzL2Uyb0RvYy54&#10;bWxQSwUGAAAAAAYABgBZAQAAyQUAAAAA&#10;">
          <v:path/>
          <v:fill on="f" focussize="0,0"/>
          <v:stroke on="f" weight="0.5pt" joinstyle="miter"/>
          <v:imagedata o:title=""/>
          <o:lock v:ext="edit"/>
          <v:textbox inset="0mm,0mm,0mm,0mm" style="mso-fit-shape-to-text:t;">
            <w:txbxContent>
              <w:p w14:paraId="7491DD0E">
                <w:pPr>
                  <w:pStyle w:val="3"/>
                  <w:rPr>
                    <w:rFonts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ascii="宋体" w:hAnsi="宋体" w:eastAsia="宋体" w:cs="宋体"/>
                    <w:sz w:val="20"/>
                    <w:szCs w:val="20"/>
                  </w:rPr>
                  <w:t>- 1 -</w:t>
                </w:r>
                <w:r>
                  <w:rPr>
                    <w:rFonts w:hint="eastAsia" w:ascii="宋体" w:hAnsi="宋体" w:eastAsia="宋体" w:cs="宋体"/>
                    <w:sz w:val="20"/>
                    <w:szCs w:val="2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C1AE">
    <w:pPr>
      <w:spacing w:line="177" w:lineRule="auto"/>
      <w:ind w:left="8082"/>
      <w:rPr>
        <w:rFonts w:ascii="Times New Roman" w:hAnsi="Times New Roman" w:eastAsia="Times New Roman" w:cs="Times New Roman"/>
        <w:sz w:val="19"/>
        <w:szCs w:val="1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iZjg5YjFmYjQyM2IxY2RlMzhjYmNiNjRmN2M3NzYifQ=="/>
  </w:docVars>
  <w:rsids>
    <w:rsidRoot w:val="00502D3A"/>
    <w:rsid w:val="000F2766"/>
    <w:rsid w:val="000F5F20"/>
    <w:rsid w:val="00200EE5"/>
    <w:rsid w:val="002336F3"/>
    <w:rsid w:val="00502D3A"/>
    <w:rsid w:val="00C95FBA"/>
    <w:rsid w:val="00D02997"/>
    <w:rsid w:val="00DB6301"/>
    <w:rsid w:val="06801284"/>
    <w:rsid w:val="163D242B"/>
    <w:rsid w:val="1CFB2F27"/>
    <w:rsid w:val="22774C88"/>
    <w:rsid w:val="24455956"/>
    <w:rsid w:val="2A973610"/>
    <w:rsid w:val="36340A6A"/>
    <w:rsid w:val="39BC72DD"/>
    <w:rsid w:val="49D26F16"/>
    <w:rsid w:val="4C95297E"/>
    <w:rsid w:val="530C47BC"/>
    <w:rsid w:val="5DA50256"/>
    <w:rsid w:val="658D6AB2"/>
    <w:rsid w:val="6C256F31"/>
    <w:rsid w:val="6D5D6BA3"/>
    <w:rsid w:val="75D21A46"/>
    <w:rsid w:val="7B9ECBD4"/>
    <w:rsid w:val="7DCA1B42"/>
    <w:rsid w:val="BFEF87EF"/>
    <w:rsid w:val="EB9FBE35"/>
    <w:rsid w:val="F67F3906"/>
    <w:rsid w:val="FFDFC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8"/>
      <w:szCs w:val="5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rPr>
      <w:sz w:val="24"/>
    </w:rPr>
  </w:style>
  <w:style w:type="character" w:styleId="8">
    <w:name w:val="Hyperlink"/>
    <w:basedOn w:val="7"/>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276</Words>
  <Characters>287</Characters>
  <Lines>6</Lines>
  <Paragraphs>1</Paragraphs>
  <TotalTime>1053</TotalTime>
  <ScaleCrop>false</ScaleCrop>
  <LinksUpToDate>false</LinksUpToDate>
  <CharactersWithSpaces>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2025-10-15T07:03:00Z</dcterms:created>
  <dc:creator>Administrator</dc:creator>
  <cp:lastModifiedBy>IOGE</cp:lastModifiedBy>
  <cp:lastPrinted>2025-10-15T08:35:04Z</cp:lastPrinted>
  <dcterms:modified xsi:type="dcterms:W3CDTF">2025-10-16T07:27:21Z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F8AAECCFC2E94278A3A9D20EC5579CC0_13</vt:lpwstr>
  </property>
  <property fmtid="{D5CDD505-2E9C-101B-9397-08002B2CF9AE}" pid="4" name="KSOTemplateDocerSaveRecord">
    <vt:lpwstr>eyJoZGlkIjoiMTg5YmZkNzYwMWNhM2VmM2VjNDFhNzE2MjhhZWVlYTMiLCJ1c2VySWQiOiIyNzQwNDg0NjUifQ==</vt:lpwstr>
  </property>
</Properties>
</file>