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E0276">
      <w:pPr>
        <w:jc w:val="center"/>
        <w:rPr>
          <w:rFonts w:hint="default" w:ascii="宋体" w:hAnsi="宋体" w:eastAsia="宋体" w:cs="宋体"/>
          <w:b/>
          <w:bCs/>
          <w:sz w:val="44"/>
          <w:szCs w:val="36"/>
          <w:lang w:val="en-US" w:eastAsia="zh-CN"/>
        </w:rPr>
      </w:pPr>
      <w:r>
        <w:rPr>
          <w:rFonts w:hint="eastAsia" w:ascii="宋体" w:hAnsi="宋体" w:eastAsia="宋体" w:cs="宋体"/>
          <w:b/>
          <w:bCs/>
          <w:sz w:val="44"/>
          <w:szCs w:val="36"/>
          <w:lang w:val="en-US" w:eastAsia="zh-CN"/>
        </w:rPr>
        <w:t>检查频次上限</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8"/>
        <w:gridCol w:w="2846"/>
        <w:gridCol w:w="2838"/>
      </w:tblGrid>
      <w:tr w14:paraId="1404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top"/>
          </w:tcPr>
          <w:p w14:paraId="2360BC7A">
            <w:pPr>
              <w:jc w:val="center"/>
              <w:rPr>
                <w:rFonts w:hint="default"/>
                <w:vertAlign w:val="baseline"/>
                <w:lang w:val="en-US" w:eastAsia="zh-CN"/>
              </w:rPr>
            </w:pPr>
            <w:r>
              <w:rPr>
                <w:rFonts w:hint="eastAsia"/>
                <w:vertAlign w:val="baseline"/>
                <w:lang w:val="en-US" w:eastAsia="zh-CN"/>
              </w:rPr>
              <w:t>序号</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23D3D058">
            <w:pPr>
              <w:jc w:val="center"/>
              <w:rPr>
                <w:rFonts w:hint="eastAsia"/>
                <w:vertAlign w:val="baseline"/>
                <w:lang w:val="en-US" w:eastAsia="zh-CN"/>
              </w:rPr>
            </w:pPr>
            <w:r>
              <w:rPr>
                <w:rFonts w:hint="eastAsia"/>
                <w:vertAlign w:val="baseline"/>
                <w:lang w:val="en-US" w:eastAsia="zh-CN"/>
              </w:rPr>
              <w:t>行政检查事项名称</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0CF3DF83">
            <w:pPr>
              <w:jc w:val="center"/>
              <w:rPr>
                <w:rFonts w:hint="default"/>
                <w:vertAlign w:val="baseline"/>
                <w:lang w:val="en-US" w:eastAsia="zh-CN"/>
              </w:rPr>
            </w:pPr>
            <w:r>
              <w:rPr>
                <w:rFonts w:hint="eastAsia"/>
                <w:vertAlign w:val="baseline"/>
                <w:lang w:val="en-US" w:eastAsia="zh-CN"/>
              </w:rPr>
              <w:t>频次上限</w:t>
            </w:r>
          </w:p>
        </w:tc>
      </w:tr>
      <w:tr w14:paraId="1317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303DE56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585EB10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对艾滋病预防控制的行政检查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7EB9D2C8">
            <w:pPr>
              <w:keepNext w:val="0"/>
              <w:keepLines w:val="0"/>
              <w:widowControl/>
              <w:suppressLineNumbers w:val="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7DACB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2191DCF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17D2A67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对按职责分工的残疾预防和残疾人康复工作的行政检查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26FA3023">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p w14:paraId="1DA002DF">
            <w:pPr>
              <w:keepNext w:val="0"/>
              <w:keepLines w:val="0"/>
              <w:widowControl/>
              <w:suppressLineNumbers w:val="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0178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48C48D3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3014E61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对采供血机构的行政检查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00483F70">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3B9A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6033DEA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3937625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对高致病性病原微生物或疑似高致病性病原微生物实验的行政检查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75B68EF5">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7DEA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263C444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1701ADD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对公共场所卫生的行政检查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7F9F9E45">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1F674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67EDBB9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0BFE624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对互联网医疗保健信息服务的行政检查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3A07C5E1">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1FA0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10D893F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52B3C27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对护士的行政检查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7419C0D0">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3F8C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0E4AED1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0B20798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对疾病预防控制机构、医疗机构传染病防控工作的行政检查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150970B9">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3ED9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4239DB1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20B9A71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对戒毒医疗机构的行政检查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1F1A23D7">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2D19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7113A0B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29B1A9C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对精神卫生工作的行政检查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393B78CD">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0724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7361A1E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1B576A2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对具备使用有毒物品、粉尘超标等易导致职业病因素的作业场所的行政检查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5785EFF9">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588B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2AFBB1B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3DADCAD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对麻醉药品和第一类精神药品的行政检查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44D93F96">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042B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043F2A4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34E2838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对母婴保健和计划生育技术服务的行政检查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2C99E090">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1E45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00CC4AC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2A4FE48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对女职工劳动保护的行政检查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00515EC7">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51DB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7C647D4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268B276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对涉及人的生物医学研究伦理工作的行政检查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085DB3B8">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5030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0483EC8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78D0D4A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对突发事件应急处理中医疗机构的行政检查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295CFB91">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5D94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58FDED5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6060758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对消毒剂和消毒器械及其生产经营使用单位的行政检查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1DFDAE65">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08E2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17EA709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336BE85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对学校卫生、托幼机构卫生工作的行政检查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7F6B210E">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1144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75423F9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5853B82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对血吸虫病防治工作的行政检查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51578DEF">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6F2E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21EFFC1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69DD446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对医疗废物收集、运送、贮存、处置活动中的疾病防治工作的行政检查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64B517C7">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6FFE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27AEA08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4A77D69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对医疗机构等级评审评价的行政检查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6777F824">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5204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60B3205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3D34484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对医疗机构抗菌药物临床应用的行政检查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3BC9F8C2">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3ADD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0E1F404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75B1EE7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对医疗机构临床使用境外来源血液的行政检查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4850D2EB">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2E93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3917D9A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047FB4C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对医疗机构设置和执业的行政检查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04A2CC0E">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3476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2630AA5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497C552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对医疗技术临床应用的行政检查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1012E669">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014F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5AB9904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7F25049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对医疗器械使用的行政检查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61415B49">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20F2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14354C9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4D8AEE7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对医师执业的行政检查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3E0F1CF6">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2BA1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3B7DFD5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13BD248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对饮用水供水单位和涉及饮用水卫生安全产品的行政检查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074C0863">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7BE2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021BB49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7AA765C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对用人单位职业病防治情况的监督检查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25EF35A5">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13E9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4AFBAFF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5C05561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对预防接种的行政检查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77C44F41">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4FF8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51AA699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68649EE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对职业病危害场所、单位和项目的行政检查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3503B928">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0C19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5204470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134DAE9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对职业病诊断、鉴定、报告工作的行政检查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445AE840">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6D86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290A3C2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132A3A5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对职业健康检查机构的行政检查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3324423F">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6F83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3064B04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4D82292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对职业卫生技术服务机构（含医用放射技术服务机构）的行政检查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4E6F6CBB">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7290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508E364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39CB1F0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对中医药工作的行政检查</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2E4EDAFA">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6CC5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Borders>
              <w:top w:val="single" w:color="auto" w:sz="4" w:space="0"/>
              <w:left w:val="single" w:color="auto" w:sz="4" w:space="0"/>
              <w:bottom w:val="single" w:color="auto" w:sz="4" w:space="0"/>
              <w:right w:val="single" w:color="auto" w:sz="4" w:space="0"/>
            </w:tcBorders>
            <w:noWrap w:val="0"/>
            <w:vAlign w:val="center"/>
          </w:tcPr>
          <w:p w14:paraId="5614EAB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3020" w:type="dxa"/>
            <w:tcBorders>
              <w:top w:val="single" w:color="auto" w:sz="4" w:space="0"/>
              <w:left w:val="single" w:color="auto" w:sz="4" w:space="0"/>
              <w:bottom w:val="single" w:color="auto" w:sz="4" w:space="0"/>
              <w:right w:val="single" w:color="auto" w:sz="4" w:space="0"/>
            </w:tcBorders>
            <w:noWrap w:val="0"/>
            <w:vAlign w:val="center"/>
          </w:tcPr>
          <w:p w14:paraId="38F6E2D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放射诊疗卫生事项监管</w:t>
            </w:r>
          </w:p>
        </w:tc>
        <w:tc>
          <w:tcPr>
            <w:tcW w:w="3020" w:type="dxa"/>
            <w:tcBorders>
              <w:top w:val="single" w:color="auto" w:sz="4" w:space="0"/>
              <w:left w:val="single" w:color="auto" w:sz="4" w:space="0"/>
              <w:bottom w:val="single" w:color="auto" w:sz="4" w:space="0"/>
              <w:right w:val="single" w:color="auto" w:sz="4" w:space="0"/>
            </w:tcBorders>
            <w:noWrap w:val="0"/>
            <w:vAlign w:val="top"/>
          </w:tcPr>
          <w:p w14:paraId="709F98D0">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bl>
    <w:p w14:paraId="0BB359EC">
      <w:r>
        <w:rPr>
          <w:rFonts w:hint="eastAsia"/>
          <w:lang w:val="en-US" w:eastAsia="zh-CN"/>
        </w:rPr>
        <w:t>备注：渑池县卫生健康领域同一行政机关对同一企业实施行政检查的年度频次上限为1次。投诉举报、转办交办、“双随机、一公开”、专项行动、行政处罚的单位等确需实施行政检查，或者应企业申请实施行政检查的，不受频次上限限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SI仿宋-GB2312">
    <w:altName w:val="仿宋"/>
    <w:panose1 w:val="02000500000000000000"/>
    <w:charset w:val="7A"/>
    <w:family w:val="auto"/>
    <w:pitch w:val="default"/>
    <w:sig w:usb0="00000000" w:usb1="00000000"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557087D0">
    <w:panose1 w:val="02000500000000000000"/>
    <w:charset w:val="86"/>
    <w:family w:val="auto"/>
    <w:pitch w:val="default"/>
    <w:sig w:usb0="00000001" w:usb1="00000000" w:usb2="00000000" w:usb3="00000000" w:csb0="00040001" w:csb1="00000000"/>
  </w:font>
  <w:font w:name="KSOF5570FC2F">
    <w:panose1 w:val="020005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422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SI仿宋-GB2312" w:hAnsi="CESI仿宋-GB2312"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2025-11-25T01:22:57Z</dcterms:created>
  <dc:creator>Administrator</dc:creator>
  <cp:lastModifiedBy>Deniece</cp:lastModifiedBy>
  <dcterms:modified xsi:type="dcterms:W3CDTF">2025-11-25T01:23:06Z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eyJoZGlkIjoiNWU5MjMwYTU2NzM5ZWFlYzY2MWViZjYyNzIzYzliYjAiLCJ1c2VySWQiOiI3MjIzMzE2MDMifQ==</vt:lpwstr>
  </property>
  <property fmtid="{D5CDD505-2E9C-101B-9397-08002B2CF9AE}" pid="4" name="ICV">
    <vt:lpwstr>4899E24092E14D04AFB610F4F967461C_12</vt:lpwstr>
  </property>
</Properties>
</file>