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39751">
      <w:pPr>
        <w:adjustRightInd w:val="0"/>
        <w:snapToGrid w:val="0"/>
        <w:spacing w:line="440" w:lineRule="exact"/>
        <w:rPr>
          <w:rFonts w:ascii="Times New Roman" w:hAnsi="Times New Roman" w:eastAsia="黑体" w:cs="Times New Roman"/>
          <w:bCs/>
          <w:sz w:val="28"/>
          <w:szCs w:val="28"/>
        </w:rPr>
      </w:pPr>
      <w:bookmarkStart w:id="0" w:name="_GoBack"/>
      <w:bookmarkEnd w:id="0"/>
      <w:r>
        <w:rPr>
          <w:rFonts w:ascii="黑体" w:hAnsi="黑体" w:eastAsia="黑体" w:cs="Times New Roman"/>
          <w:bCs/>
          <w:spacing w:val="11"/>
          <w:sz w:val="28"/>
          <w:szCs w:val="28"/>
        </w:rPr>
        <w:t>渑池县十</w:t>
      </w:r>
      <w:r>
        <w:rPr>
          <w:rFonts w:hint="eastAsia" w:ascii="黑体" w:hAnsi="黑体" w:eastAsia="黑体" w:cs="Times New Roman"/>
          <w:bCs/>
          <w:spacing w:val="11"/>
          <w:sz w:val="28"/>
          <w:szCs w:val="28"/>
        </w:rPr>
        <w:t>五</w:t>
      </w:r>
      <w:r>
        <w:rPr>
          <w:rFonts w:ascii="黑体" w:hAnsi="黑体" w:eastAsia="黑体" w:cs="Times New Roman"/>
          <w:bCs/>
          <w:spacing w:val="11"/>
          <w:sz w:val="28"/>
          <w:szCs w:val="28"/>
        </w:rPr>
        <w:t>届人大</w:t>
      </w:r>
    </w:p>
    <w:p w14:paraId="5BF0DD22">
      <w:pPr>
        <w:adjustRightInd w:val="0"/>
        <w:snapToGrid w:val="0"/>
        <w:spacing w:line="440" w:lineRule="exact"/>
        <w:rPr>
          <w:rFonts w:ascii="Times New Roman" w:hAnsi="Times New Roman" w:eastAsia="黑体" w:cs="Times New Roman"/>
          <w:bCs/>
          <w:spacing w:val="10"/>
          <w:sz w:val="28"/>
          <w:szCs w:val="28"/>
        </w:rPr>
      </w:pPr>
      <w:r>
        <w:rPr>
          <w:rFonts w:hint="eastAsia" w:ascii="黑体" w:hAnsi="黑体" w:eastAsia="黑体" w:cs="Times New Roman"/>
          <w:bCs/>
          <w:sz w:val="28"/>
          <w:szCs w:val="28"/>
          <w:lang w:val="en-US" w:eastAsia="zh-CN"/>
        </w:rPr>
        <w:t>七</w:t>
      </w:r>
      <w:r>
        <w:rPr>
          <w:rFonts w:ascii="黑体" w:hAnsi="黑体" w:eastAsia="黑体" w:cs="Times New Roman"/>
          <w:bCs/>
          <w:sz w:val="28"/>
          <w:szCs w:val="28"/>
        </w:rPr>
        <w:t>次会议文件</w:t>
      </w:r>
      <w:r>
        <w:rPr>
          <w:rFonts w:hint="eastAsia" w:ascii="黑体" w:hAnsi="黑体" w:eastAsia="黑体" w:cs="Times New Roman"/>
          <w:bCs/>
          <w:sz w:val="28"/>
          <w:szCs w:val="28"/>
        </w:rPr>
        <w:t>（</w:t>
      </w:r>
      <w:r>
        <w:rPr>
          <w:rFonts w:hint="eastAsia" w:ascii="黑体" w:hAnsi="黑体" w:eastAsia="黑体" w:cs="Times New Roman"/>
          <w:bCs/>
          <w:sz w:val="28"/>
          <w:szCs w:val="28"/>
          <w:lang w:val="en-US" w:eastAsia="zh-CN"/>
        </w:rPr>
        <w:t>24</w:t>
      </w:r>
      <w:r>
        <w:rPr>
          <w:rFonts w:hint="eastAsia" w:ascii="黑体" w:hAnsi="黑体" w:eastAsia="黑体" w:cs="Times New Roman"/>
          <w:bCs/>
          <w:sz w:val="28"/>
          <w:szCs w:val="28"/>
        </w:rPr>
        <w:t>）</w:t>
      </w:r>
    </w:p>
    <w:p w14:paraId="426051F8">
      <w:pPr>
        <w:adjustRightInd w:val="0"/>
        <w:snapToGrid w:val="0"/>
        <w:spacing w:line="560" w:lineRule="exact"/>
        <w:ind w:firstLine="320" w:firstLineChars="100"/>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 xml:space="preserve"> </w:t>
      </w:r>
    </w:p>
    <w:p w14:paraId="04357129">
      <w:pPr>
        <w:adjustRightInd w:val="0"/>
        <w:snapToGrid w:val="0"/>
        <w:spacing w:line="560" w:lineRule="exact"/>
        <w:ind w:firstLine="440" w:firstLineChars="100"/>
        <w:rPr>
          <w:rFonts w:hint="eastAsia"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关于渑池县202</w:t>
      </w:r>
      <w:r>
        <w:rPr>
          <w:rFonts w:hint="eastAsia" w:ascii="方正小标宋简体" w:hAnsi="方正小标宋简体" w:eastAsia="方正小标宋简体" w:cs="Times New Roman"/>
          <w:sz w:val="44"/>
          <w:szCs w:val="44"/>
          <w:lang w:val="en-US" w:eastAsia="zh-CN"/>
        </w:rPr>
        <w:t>5</w:t>
      </w:r>
      <w:r>
        <w:rPr>
          <w:rFonts w:hint="eastAsia" w:ascii="方正小标宋简体" w:hAnsi="方正小标宋简体" w:eastAsia="方正小标宋简体" w:cs="Times New Roman"/>
          <w:sz w:val="44"/>
          <w:szCs w:val="44"/>
        </w:rPr>
        <w:t>年财政预算执行情况和</w:t>
      </w:r>
    </w:p>
    <w:p w14:paraId="1142F21C">
      <w:pPr>
        <w:adjustRightInd w:val="0"/>
        <w:snapToGrid w:val="0"/>
        <w:spacing w:line="560" w:lineRule="exact"/>
        <w:jc w:val="center"/>
        <w:rPr>
          <w:rFonts w:hint="eastAsia"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202</w:t>
      </w:r>
      <w:r>
        <w:rPr>
          <w:rFonts w:hint="eastAsia" w:ascii="方正小标宋简体" w:hAnsi="方正小标宋简体" w:eastAsia="方正小标宋简体" w:cs="Times New Roman"/>
          <w:sz w:val="44"/>
          <w:szCs w:val="44"/>
          <w:lang w:val="en-US" w:eastAsia="zh-CN"/>
        </w:rPr>
        <w:t>6</w:t>
      </w:r>
      <w:r>
        <w:rPr>
          <w:rFonts w:hint="eastAsia" w:ascii="方正小标宋简体" w:hAnsi="方正小标宋简体" w:eastAsia="方正小标宋简体" w:cs="Times New Roman"/>
          <w:sz w:val="44"/>
          <w:szCs w:val="44"/>
        </w:rPr>
        <w:t>年财政预算（草案）的报告</w:t>
      </w:r>
    </w:p>
    <w:p w14:paraId="504EE933">
      <w:pPr>
        <w:adjustRightInd w:val="0"/>
        <w:snapToGrid w:val="0"/>
        <w:spacing w:line="400" w:lineRule="exact"/>
        <w:jc w:val="center"/>
        <w:rPr>
          <w:rFonts w:hint="eastAsia" w:ascii="Times New Roman" w:hAnsi="Times New Roman" w:eastAsia="楷体_GB2312" w:cs="Times New Roman"/>
          <w:b/>
          <w:spacing w:val="-14"/>
          <w:sz w:val="28"/>
          <w:szCs w:val="28"/>
        </w:rPr>
      </w:pPr>
      <w:r>
        <w:rPr>
          <w:rFonts w:ascii="Times New Roman" w:hAnsi="Times New Roman" w:eastAsia="楷体_GB2312" w:cs="Times New Roman"/>
          <w:spacing w:val="-14"/>
          <w:sz w:val="28"/>
          <w:szCs w:val="28"/>
        </w:rPr>
        <w:t xml:space="preserve"> </w:t>
      </w:r>
      <w:r>
        <w:rPr>
          <w:rFonts w:hint="eastAsia" w:ascii="Times New Roman" w:hAnsi="Times New Roman" w:eastAsia="楷体_GB2312" w:cs="Times New Roman"/>
          <w:b/>
          <w:spacing w:val="-14"/>
          <w:sz w:val="28"/>
          <w:szCs w:val="28"/>
        </w:rPr>
        <w:t xml:space="preserve"> </w:t>
      </w:r>
    </w:p>
    <w:p w14:paraId="7E5518DF">
      <w:pPr>
        <w:adjustRightInd w:val="0"/>
        <w:snapToGrid w:val="0"/>
        <w:spacing w:line="560" w:lineRule="exact"/>
        <w:rPr>
          <w:rFonts w:ascii="Times New Roman" w:hAnsi="Times New Roman" w:eastAsia="楷体_GB2312" w:cs="Times New Roman"/>
          <w:spacing w:val="-14"/>
          <w:sz w:val="32"/>
          <w:szCs w:val="32"/>
        </w:rPr>
      </w:pPr>
      <w:r>
        <w:rPr>
          <w:rFonts w:hint="eastAsia" w:ascii="楷体_GB2312" w:hAnsi="Times New Roman" w:eastAsia="楷体_GB2312" w:cs="Times New Roman"/>
          <w:spacing w:val="-14"/>
          <w:sz w:val="32"/>
          <w:szCs w:val="32"/>
        </w:rPr>
        <w:t>—2026年</w:t>
      </w:r>
      <w:r>
        <w:rPr>
          <w:rFonts w:hint="eastAsia" w:ascii="楷体_GB2312" w:hAnsi="Times New Roman" w:eastAsia="楷体_GB2312" w:cs="Times New Roman"/>
          <w:spacing w:val="-14"/>
          <w:sz w:val="32"/>
          <w:szCs w:val="32"/>
          <w:lang w:val="en-US" w:eastAsia="zh-CN"/>
        </w:rPr>
        <w:t>4</w:t>
      </w:r>
      <w:r>
        <w:rPr>
          <w:rFonts w:hint="eastAsia" w:ascii="楷体_GB2312" w:hAnsi="Times New Roman" w:eastAsia="楷体_GB2312" w:cs="Times New Roman"/>
          <w:spacing w:val="-14"/>
          <w:sz w:val="32"/>
          <w:szCs w:val="32"/>
        </w:rPr>
        <w:t>月</w:t>
      </w:r>
      <w:r>
        <w:rPr>
          <w:rFonts w:hint="eastAsia" w:ascii="楷体_GB2312" w:hAnsi="Times New Roman" w:eastAsia="楷体_GB2312" w:cs="Times New Roman"/>
          <w:spacing w:val="-14"/>
          <w:sz w:val="32"/>
          <w:szCs w:val="32"/>
          <w:lang w:val="en-US" w:eastAsia="zh-CN"/>
        </w:rPr>
        <w:t>1</w:t>
      </w:r>
      <w:r>
        <w:rPr>
          <w:rFonts w:hint="eastAsia" w:ascii="楷体_GB2312" w:hAnsi="Times New Roman" w:eastAsia="楷体_GB2312" w:cs="Times New Roman"/>
          <w:spacing w:val="-14"/>
          <w:sz w:val="32"/>
          <w:szCs w:val="32"/>
        </w:rPr>
        <w:t>日在渑池县第十五届人民代表大会第</w:t>
      </w:r>
      <w:r>
        <w:rPr>
          <w:rFonts w:hint="eastAsia" w:ascii="楷体_GB2312" w:hAnsi="Times New Roman" w:eastAsia="楷体_GB2312" w:cs="Times New Roman"/>
          <w:spacing w:val="-14"/>
          <w:sz w:val="32"/>
          <w:szCs w:val="32"/>
          <w:lang w:val="en-US" w:eastAsia="zh-CN"/>
        </w:rPr>
        <w:t>七</w:t>
      </w:r>
      <w:r>
        <w:rPr>
          <w:rFonts w:hint="eastAsia" w:ascii="楷体_GB2312" w:hAnsi="Times New Roman" w:eastAsia="楷体_GB2312" w:cs="Times New Roman"/>
          <w:spacing w:val="-14"/>
          <w:sz w:val="32"/>
          <w:szCs w:val="32"/>
        </w:rPr>
        <w:t>次会议上</w:t>
      </w:r>
    </w:p>
    <w:p w14:paraId="21A830EE">
      <w:pPr>
        <w:adjustRightInd w:val="0"/>
        <w:snapToGrid w:val="0"/>
        <w:spacing w:line="560" w:lineRule="exact"/>
        <w:jc w:val="center"/>
        <w:rPr>
          <w:rFonts w:ascii="Times New Roman" w:hAnsi="Times New Roman" w:eastAsia="楷体_GB2312" w:cs="Times New Roman"/>
          <w:kern w:val="0"/>
          <w:sz w:val="32"/>
          <w:szCs w:val="32"/>
        </w:rPr>
      </w:pPr>
      <w:r>
        <w:rPr>
          <w:rFonts w:hint="eastAsia" w:ascii="楷体_GB2312" w:hAnsi="Times New Roman" w:eastAsia="楷体_GB2312" w:cs="Times New Roman"/>
          <w:kern w:val="0"/>
          <w:sz w:val="32"/>
          <w:szCs w:val="32"/>
        </w:rPr>
        <w:t>渑池县财政局</w:t>
      </w:r>
      <w:r>
        <w:rPr>
          <w:rFonts w:hint="eastAsia" w:ascii="楷体_GB2312" w:hAnsi="Times New Roman" w:eastAsia="楷体_GB2312" w:cs="Times New Roman"/>
          <w:kern w:val="0"/>
          <w:sz w:val="32"/>
          <w:szCs w:val="32"/>
          <w:lang w:val="en-US" w:eastAsia="zh-CN"/>
        </w:rPr>
        <w:t>局</w:t>
      </w:r>
      <w:r>
        <w:rPr>
          <w:rFonts w:hint="eastAsia" w:ascii="楷体_GB2312" w:hAnsi="Times New Roman" w:eastAsia="楷体_GB2312" w:cs="Times New Roman"/>
          <w:kern w:val="0"/>
          <w:sz w:val="32"/>
          <w:szCs w:val="32"/>
        </w:rPr>
        <w:t>长</w:t>
      </w:r>
      <w:r>
        <w:rPr>
          <w:rFonts w:ascii="Times New Roman" w:hAnsi="Times New Roman" w:eastAsia="楷体_GB2312" w:cs="Times New Roman"/>
          <w:kern w:val="0"/>
          <w:sz w:val="32"/>
          <w:szCs w:val="32"/>
        </w:rPr>
        <w:t xml:space="preserve">  </w:t>
      </w:r>
      <w:r>
        <w:rPr>
          <w:rFonts w:hint="eastAsia" w:ascii="楷体_GB2312" w:hAnsi="Times New Roman" w:eastAsia="楷体_GB2312" w:cs="Times New Roman"/>
          <w:kern w:val="0"/>
          <w:sz w:val="32"/>
          <w:szCs w:val="32"/>
        </w:rPr>
        <w:t>代伟锋</w:t>
      </w:r>
    </w:p>
    <w:p w14:paraId="4C69CF23">
      <w:pPr>
        <w:adjustRightInd w:val="0"/>
        <w:snapToGrid w:val="0"/>
        <w:spacing w:line="40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 xml:space="preserve"> </w:t>
      </w:r>
    </w:p>
    <w:p w14:paraId="123C3FCB">
      <w:pPr>
        <w:keepNext w:val="0"/>
        <w:keepLines w:val="0"/>
        <w:pageBreakBefore w:val="0"/>
        <w:widowControl w:val="0"/>
        <w:kinsoku/>
        <w:wordWrap/>
        <w:overflowPunct/>
        <w:topLinePunct/>
        <w:autoSpaceDE/>
        <w:autoSpaceDN w:val="0"/>
        <w:bidi w:val="0"/>
        <w:adjustRightInd w:val="0"/>
        <w:snapToGrid w:val="0"/>
        <w:spacing w:line="600" w:lineRule="exact"/>
        <w:textAlignment w:val="auto"/>
        <w:rPr>
          <w:rFonts w:ascii="仿宋_GB2312" w:hAnsi="Times New Roman" w:eastAsia="仿宋_GB2312" w:cs="Times New Roman"/>
          <w:spacing w:val="3"/>
          <w:sz w:val="32"/>
          <w:szCs w:val="32"/>
        </w:rPr>
      </w:pPr>
      <w:r>
        <w:rPr>
          <w:rFonts w:hint="eastAsia" w:ascii="仿宋_GB2312" w:hAnsi="Times New Roman" w:eastAsia="仿宋_GB2312" w:cs="Times New Roman"/>
          <w:spacing w:val="3"/>
          <w:sz w:val="32"/>
          <w:szCs w:val="32"/>
        </w:rPr>
        <w:t>各位代表：</w:t>
      </w:r>
    </w:p>
    <w:p w14:paraId="2C680C90">
      <w:pPr>
        <w:keepNext w:val="0"/>
        <w:keepLines w:val="0"/>
        <w:pageBreakBefore w:val="0"/>
        <w:widowControl w:val="0"/>
        <w:kinsoku/>
        <w:wordWrap/>
        <w:overflowPunct/>
        <w:topLinePunct/>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spacing w:val="3"/>
          <w:sz w:val="32"/>
          <w:szCs w:val="32"/>
        </w:rPr>
      </w:pPr>
      <w:r>
        <w:rPr>
          <w:rFonts w:hint="eastAsia" w:ascii="仿宋_GB2312" w:hAnsi="Times New Roman" w:eastAsia="仿宋_GB2312" w:cs="Times New Roman"/>
          <w:bCs/>
          <w:sz w:val="32"/>
          <w:szCs w:val="32"/>
        </w:rPr>
        <w:t>受县人民政府委托，我向大会报告渑池县2025年财政预算执行情况和2026年财政预算（草案），请予审议，并请各位政协委员和其他列席人员提出宝贵意见。</w:t>
      </w:r>
    </w:p>
    <w:p w14:paraId="2EB6C489">
      <w:pPr>
        <w:keepNext w:val="0"/>
        <w:keepLines w:val="0"/>
        <w:pageBreakBefore w:val="0"/>
        <w:widowControl w:val="0"/>
        <w:kinsoku/>
        <w:wordWrap/>
        <w:overflowPunct/>
        <w:topLinePunct/>
        <w:autoSpaceDE/>
        <w:autoSpaceDN w:val="0"/>
        <w:bidi w:val="0"/>
        <w:adjustRightInd w:val="0"/>
        <w:snapToGrid w:val="0"/>
        <w:spacing w:line="600" w:lineRule="exact"/>
        <w:ind w:firstLine="652" w:firstLineChars="200"/>
        <w:textAlignment w:val="auto"/>
        <w:rPr>
          <w:rFonts w:hint="eastAsia" w:ascii="黑体" w:hAnsi="黑体" w:eastAsia="黑体" w:cs="Times New Roman"/>
          <w:spacing w:val="3"/>
          <w:sz w:val="32"/>
          <w:szCs w:val="32"/>
        </w:rPr>
      </w:pPr>
      <w:r>
        <w:rPr>
          <w:rFonts w:hint="eastAsia" w:ascii="黑体" w:hAnsi="黑体" w:eastAsia="黑体" w:cs="Times New Roman"/>
          <w:spacing w:val="3"/>
          <w:sz w:val="32"/>
          <w:szCs w:val="32"/>
        </w:rPr>
        <w:t>一、2025年财政预算执行情况</w:t>
      </w:r>
    </w:p>
    <w:p w14:paraId="53B94E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autoSpaceDE/>
        <w:bidi w:val="0"/>
        <w:spacing w:before="0" w:beforeAutospacing="0" w:after="0" w:afterAutospacing="0" w:line="600" w:lineRule="exact"/>
        <w:ind w:left="0" w:right="0" w:firstLine="640"/>
        <w:jc w:val="both"/>
        <w:textAlignment w:val="auto"/>
        <w:rPr>
          <w:rFonts w:hint="eastAsia" w:ascii="仿宋_GB2312" w:hAnsi="Times New Roman" w:eastAsia="仿宋_GB2312" w:cs="Times New Roman"/>
          <w:spacing w:val="3"/>
          <w:sz w:val="32"/>
          <w:szCs w:val="32"/>
        </w:rPr>
      </w:pPr>
      <w:r>
        <w:rPr>
          <w:rFonts w:hint="eastAsia" w:ascii="仿宋_GB2312" w:hAnsi="Times New Roman" w:eastAsia="仿宋_GB2312" w:cs="Times New Roman"/>
          <w:bCs/>
          <w:sz w:val="32"/>
          <w:szCs w:val="32"/>
        </w:rPr>
        <w:t>2025年，面对外部环境复杂多变、内部挑战交织叠加的严峻形</w:t>
      </w:r>
      <w:r>
        <w:rPr>
          <w:rFonts w:hint="eastAsia" w:ascii="仿宋_GB2312" w:hAnsi="Times New Roman" w:eastAsia="仿宋_GB2312" w:cs="Times New Roman"/>
          <w:bCs/>
          <w:kern w:val="2"/>
          <w:sz w:val="32"/>
          <w:szCs w:val="32"/>
          <w:lang w:val="en-US" w:eastAsia="zh-CN" w:bidi="ar-SA"/>
        </w:rPr>
        <w:t>势，全县财政工作始终坚持以习近平新时代中国特色社会主义思想为指导，全</w:t>
      </w:r>
      <w:r>
        <w:rPr>
          <w:rFonts w:hint="eastAsia" w:ascii="仿宋" w:hAnsi="仿宋" w:eastAsia="仿宋" w:cs="仿宋"/>
          <w:i w:val="0"/>
          <w:iCs w:val="0"/>
          <w:caps w:val="0"/>
          <w:color w:val="333333"/>
          <w:spacing w:val="0"/>
          <w:sz w:val="32"/>
          <w:szCs w:val="32"/>
          <w:shd w:val="clear" w:color="auto" w:fill="FFFFFF"/>
        </w:rPr>
        <w:t>面</w:t>
      </w:r>
      <w:r>
        <w:rPr>
          <w:rFonts w:hint="eastAsia" w:ascii="仿宋_GB2312" w:hAnsi="Times New Roman" w:eastAsia="仿宋_GB2312" w:cs="Times New Roman"/>
          <w:bCs/>
          <w:sz w:val="32"/>
          <w:szCs w:val="32"/>
        </w:rPr>
        <w:t>贯彻</w:t>
      </w:r>
      <w:r>
        <w:rPr>
          <w:rFonts w:hint="eastAsia" w:ascii="仿宋_GB2312" w:hAnsi="Times New Roman" w:eastAsia="仿宋_GB2312" w:cs="Times New Roman"/>
          <w:bCs/>
          <w:sz w:val="32"/>
          <w:szCs w:val="32"/>
          <w:lang w:eastAsia="zh-CN"/>
        </w:rPr>
        <w:t>落实</w:t>
      </w:r>
      <w:r>
        <w:rPr>
          <w:rFonts w:hint="eastAsia" w:ascii="仿宋_GB2312" w:hAnsi="Times New Roman" w:eastAsia="仿宋_GB2312" w:cs="Times New Roman"/>
          <w:bCs/>
          <w:sz w:val="32"/>
          <w:szCs w:val="32"/>
        </w:rPr>
        <w:t>党的二十大及二十届</w:t>
      </w:r>
      <w:r>
        <w:rPr>
          <w:rFonts w:hint="eastAsia" w:ascii="仿宋_GB2312" w:hAnsi="Times New Roman" w:eastAsia="仿宋_GB2312" w:cs="Times New Roman"/>
          <w:bCs/>
          <w:sz w:val="32"/>
          <w:szCs w:val="32"/>
          <w:lang w:eastAsia="zh-CN"/>
        </w:rPr>
        <w:t>历次</w:t>
      </w:r>
      <w:r>
        <w:rPr>
          <w:rFonts w:hint="eastAsia" w:ascii="仿宋_GB2312" w:hAnsi="Times New Roman" w:eastAsia="仿宋_GB2312" w:cs="Times New Roman"/>
          <w:bCs/>
          <w:sz w:val="32"/>
          <w:szCs w:val="32"/>
        </w:rPr>
        <w:t>全会精神，</w:t>
      </w:r>
      <w:r>
        <w:rPr>
          <w:rFonts w:hint="eastAsia" w:ascii="仿宋_GB2312" w:hAnsi="Times New Roman" w:eastAsia="仿宋_GB2312" w:cs="Times New Roman"/>
          <w:bCs/>
          <w:sz w:val="32"/>
          <w:szCs w:val="32"/>
          <w:lang w:eastAsia="zh-CN"/>
        </w:rPr>
        <w:t>在县委</w:t>
      </w:r>
      <w:r>
        <w:rPr>
          <w:rFonts w:hint="eastAsia" w:ascii="仿宋_GB2312" w:hAnsi="Times New Roman" w:eastAsia="仿宋_GB2312" w:cs="Times New Roman"/>
          <w:bCs/>
          <w:sz w:val="32"/>
          <w:szCs w:val="32"/>
          <w:lang w:val="en-US" w:eastAsia="zh-CN"/>
        </w:rPr>
        <w:t>的坚强</w:t>
      </w:r>
      <w:r>
        <w:rPr>
          <w:rFonts w:hint="eastAsia" w:ascii="仿宋_GB2312" w:hAnsi="Times New Roman" w:eastAsia="仿宋_GB2312" w:cs="Times New Roman"/>
          <w:bCs/>
          <w:sz w:val="32"/>
          <w:szCs w:val="32"/>
          <w:lang w:eastAsia="zh-CN"/>
        </w:rPr>
        <w:t>领导和县人大</w:t>
      </w:r>
      <w:r>
        <w:rPr>
          <w:rFonts w:hint="eastAsia" w:ascii="仿宋_GB2312" w:hAnsi="Times New Roman" w:eastAsia="仿宋_GB2312" w:cs="Times New Roman"/>
          <w:bCs/>
          <w:sz w:val="32"/>
          <w:szCs w:val="32"/>
          <w:lang w:val="en-US" w:eastAsia="zh-CN"/>
        </w:rPr>
        <w:t>及其常委会</w:t>
      </w:r>
      <w:r>
        <w:rPr>
          <w:rFonts w:hint="eastAsia" w:ascii="仿宋_GB2312" w:hAnsi="Times New Roman" w:eastAsia="仿宋_GB2312" w:cs="Times New Roman"/>
          <w:bCs/>
          <w:sz w:val="32"/>
          <w:szCs w:val="32"/>
          <w:lang w:eastAsia="zh-CN"/>
        </w:rPr>
        <w:t>的监督支持下，</w:t>
      </w:r>
      <w:r>
        <w:rPr>
          <w:rFonts w:hint="eastAsia" w:ascii="仿宋_GB2312" w:hAnsi="Times New Roman" w:eastAsia="仿宋_GB2312" w:cs="Times New Roman"/>
          <w:bCs/>
          <w:sz w:val="32"/>
          <w:szCs w:val="32"/>
        </w:rPr>
        <w:t>立足财政紧平衡实际，</w:t>
      </w:r>
      <w:r>
        <w:rPr>
          <w:rFonts w:hint="eastAsia" w:ascii="仿宋_GB2312" w:hAnsi="Times New Roman" w:eastAsia="仿宋_GB2312" w:cs="Times New Roman"/>
          <w:bCs/>
          <w:sz w:val="32"/>
          <w:szCs w:val="32"/>
          <w:lang w:eastAsia="zh-CN"/>
        </w:rPr>
        <w:t>坚持稳中求进总基调，</w:t>
      </w:r>
      <w:r>
        <w:rPr>
          <w:rFonts w:hint="eastAsia" w:ascii="仿宋_GB2312" w:hAnsi="Times New Roman" w:eastAsia="仿宋_GB2312" w:cs="Times New Roman"/>
          <w:bCs/>
          <w:sz w:val="32"/>
          <w:szCs w:val="32"/>
          <w:lang w:val="en-US" w:eastAsia="zh-CN"/>
        </w:rPr>
        <w:t>秉持</w:t>
      </w:r>
      <w:r>
        <w:rPr>
          <w:rFonts w:hint="eastAsia" w:ascii="仿宋_GB2312" w:hAnsi="Times New Roman" w:eastAsia="仿宋_GB2312" w:cs="Times New Roman"/>
          <w:bCs/>
          <w:sz w:val="32"/>
          <w:szCs w:val="32"/>
          <w:lang w:eastAsia="zh-CN"/>
        </w:rPr>
        <w:t>迎难而上的奋斗姿态和砥砺前行的实干精神，全力争资增效，精准保障民生，深化财政改革，全县财政运行平稳有序，为县域经济社会发展提供了坚实财力支撑。</w:t>
      </w:r>
    </w:p>
    <w:p w14:paraId="3E100AB2">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楷体_GB2312" w:hAnsi="楷体" w:eastAsia="楷体_GB2312" w:cs="Times New Roman"/>
          <w:b/>
          <w:bCs/>
          <w:spacing w:val="3"/>
          <w:sz w:val="32"/>
          <w:szCs w:val="32"/>
        </w:rPr>
      </w:pPr>
      <w:r>
        <w:rPr>
          <w:rFonts w:hint="eastAsia" w:ascii="楷体_GB2312" w:hAnsi="楷体" w:eastAsia="楷体_GB2312" w:cs="Times New Roman"/>
          <w:b/>
          <w:bCs/>
          <w:spacing w:val="3"/>
          <w:sz w:val="32"/>
          <w:szCs w:val="32"/>
        </w:rPr>
        <w:t>（一）202</w:t>
      </w:r>
      <w:r>
        <w:rPr>
          <w:rFonts w:hint="eastAsia" w:ascii="楷体_GB2312" w:hAnsi="楷体" w:eastAsia="楷体_GB2312" w:cs="Times New Roman"/>
          <w:b/>
          <w:bCs/>
          <w:spacing w:val="3"/>
          <w:sz w:val="32"/>
          <w:szCs w:val="32"/>
          <w:lang w:val="en-US" w:eastAsia="zh-CN"/>
        </w:rPr>
        <w:t>5</w:t>
      </w:r>
      <w:r>
        <w:rPr>
          <w:rFonts w:hint="eastAsia" w:ascii="楷体_GB2312" w:hAnsi="楷体" w:eastAsia="楷体_GB2312" w:cs="Times New Roman"/>
          <w:b/>
          <w:bCs/>
          <w:spacing w:val="3"/>
          <w:sz w:val="32"/>
          <w:szCs w:val="32"/>
        </w:rPr>
        <w:t>年财政预算收支完成情况</w:t>
      </w:r>
    </w:p>
    <w:p w14:paraId="17927C6C">
      <w:pPr>
        <w:keepNext w:val="0"/>
        <w:keepLines w:val="0"/>
        <w:pageBreakBefore w:val="0"/>
        <w:widowControl w:val="0"/>
        <w:numPr>
          <w:ilvl w:val="0"/>
          <w:numId w:val="0"/>
        </w:numPr>
        <w:kinsoku/>
        <w:wordWrap/>
        <w:overflowPunct/>
        <w:topLinePunct w:val="0"/>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bCs/>
          <w:spacing w:val="3"/>
          <w:sz w:val="32"/>
          <w:szCs w:val="32"/>
          <w:lang w:val="en-US" w:eastAsia="zh-CN"/>
        </w:rPr>
        <w:t>1.</w:t>
      </w:r>
      <w:r>
        <w:rPr>
          <w:rFonts w:hint="eastAsia" w:ascii="仿宋_GB2312" w:hAnsi="Times New Roman" w:eastAsia="仿宋_GB2312" w:cs="Times New Roman"/>
          <w:b/>
          <w:bCs/>
          <w:spacing w:val="3"/>
          <w:sz w:val="32"/>
          <w:szCs w:val="32"/>
        </w:rPr>
        <w:t>一般公共预算。</w:t>
      </w:r>
      <w:r>
        <w:rPr>
          <w:rFonts w:hint="eastAsia" w:ascii="仿宋_GB2312" w:hAnsi="Times New Roman" w:eastAsia="仿宋_GB2312" w:cs="Times New Roman"/>
          <w:b w:val="0"/>
          <w:bCs w:val="0"/>
          <w:spacing w:val="3"/>
          <w:sz w:val="32"/>
          <w:szCs w:val="32"/>
          <w:lang w:val="en-US" w:eastAsia="zh-CN"/>
        </w:rPr>
        <w:t>根据</w:t>
      </w: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5</w:t>
      </w:r>
      <w:r>
        <w:rPr>
          <w:rFonts w:hint="eastAsia" w:ascii="仿宋_GB2312" w:hAnsi="Times New Roman" w:eastAsia="仿宋_GB2312" w:cs="Times New Roman"/>
          <w:bCs/>
          <w:sz w:val="32"/>
          <w:szCs w:val="32"/>
        </w:rPr>
        <w:t>年初县十五届人大</w:t>
      </w:r>
      <w:r>
        <w:rPr>
          <w:rFonts w:hint="eastAsia" w:ascii="仿宋_GB2312" w:hAnsi="Times New Roman" w:eastAsia="仿宋_GB2312" w:cs="Times New Roman"/>
          <w:bCs/>
          <w:sz w:val="32"/>
          <w:szCs w:val="32"/>
          <w:lang w:val="en-US" w:eastAsia="zh-CN"/>
        </w:rPr>
        <w:t>六</w:t>
      </w:r>
      <w:r>
        <w:rPr>
          <w:rFonts w:hint="eastAsia" w:ascii="仿宋_GB2312" w:hAnsi="Times New Roman" w:eastAsia="仿宋_GB2312" w:cs="Times New Roman"/>
          <w:bCs/>
          <w:sz w:val="32"/>
          <w:szCs w:val="32"/>
        </w:rPr>
        <w:t>次会议批准的</w:t>
      </w:r>
      <w:r>
        <w:rPr>
          <w:rFonts w:hint="eastAsia" w:ascii="仿宋_GB2312" w:hAnsi="Times New Roman" w:eastAsia="仿宋_GB2312" w:cs="Times New Roman"/>
          <w:bCs/>
          <w:sz w:val="32"/>
          <w:szCs w:val="32"/>
          <w:lang w:val="en-US" w:eastAsia="zh-CN"/>
        </w:rPr>
        <w:t>预算，</w:t>
      </w:r>
      <w:r>
        <w:rPr>
          <w:rFonts w:hint="eastAsia" w:ascii="仿宋_GB2312" w:hAnsi="Times New Roman" w:eastAsia="仿宋_GB2312" w:cs="Times New Roman"/>
          <w:bCs/>
          <w:sz w:val="32"/>
          <w:szCs w:val="32"/>
        </w:rPr>
        <w:t>全县一般公共预算收入为</w:t>
      </w:r>
      <w:r>
        <w:rPr>
          <w:rFonts w:hint="eastAsia" w:ascii="仿宋_GB2312" w:hAnsi="Times New Roman" w:eastAsia="仿宋_GB2312" w:cs="Times New Roman"/>
          <w:bCs/>
          <w:sz w:val="32"/>
          <w:szCs w:val="32"/>
          <w:lang w:val="en-US" w:eastAsia="zh-CN"/>
        </w:rPr>
        <w:t>24.26</w:t>
      </w:r>
      <w:r>
        <w:rPr>
          <w:rFonts w:hint="eastAsia" w:ascii="仿宋_GB2312" w:hAnsi="Times New Roman" w:eastAsia="仿宋_GB2312" w:cs="Times New Roman"/>
          <w:bCs/>
          <w:sz w:val="32"/>
          <w:szCs w:val="32"/>
        </w:rPr>
        <w:t>亿元，年度执行中，</w:t>
      </w:r>
      <w:r>
        <w:rPr>
          <w:rFonts w:hint="eastAsia" w:ascii="仿宋_GB2312" w:hAnsi="Times New Roman" w:eastAsia="仿宋_GB2312" w:cs="Times New Roman"/>
          <w:bCs/>
          <w:sz w:val="32"/>
          <w:szCs w:val="32"/>
          <w:lang w:val="en-US" w:eastAsia="zh-CN"/>
        </w:rPr>
        <w:t>由于经济和政策因素的影响，</w:t>
      </w:r>
      <w:r>
        <w:rPr>
          <w:rFonts w:hint="eastAsia" w:ascii="仿宋_GB2312" w:hAnsi="Times New Roman" w:eastAsia="仿宋_GB2312" w:cs="Times New Roman"/>
          <w:bCs/>
          <w:sz w:val="32"/>
          <w:szCs w:val="32"/>
        </w:rPr>
        <w:t>12月份经县人大常委会批准，年初预算数调整为</w:t>
      </w:r>
      <w:r>
        <w:rPr>
          <w:rFonts w:hint="eastAsia" w:ascii="仿宋_GB2312" w:hAnsi="Times New Roman" w:eastAsia="仿宋_GB2312" w:cs="Times New Roman"/>
          <w:bCs/>
          <w:sz w:val="32"/>
          <w:szCs w:val="32"/>
          <w:lang w:val="en-US" w:eastAsia="zh-CN"/>
        </w:rPr>
        <w:t>18.71</w:t>
      </w:r>
      <w:r>
        <w:rPr>
          <w:rFonts w:hint="eastAsia" w:ascii="仿宋_GB2312" w:hAnsi="Times New Roman" w:eastAsia="仿宋_GB2312" w:cs="Times New Roman"/>
          <w:bCs/>
          <w:sz w:val="32"/>
          <w:szCs w:val="32"/>
        </w:rPr>
        <w:t>亿元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最终全县</w:t>
      </w:r>
      <w:r>
        <w:rPr>
          <w:rFonts w:hint="eastAsia" w:ascii="仿宋_GB2312" w:hAnsi="Times New Roman" w:eastAsia="仿宋_GB2312" w:cs="Times New Roman"/>
          <w:bCs/>
          <w:sz w:val="32"/>
          <w:szCs w:val="32"/>
        </w:rPr>
        <w:t>实际完成</w:t>
      </w:r>
      <w:r>
        <w:rPr>
          <w:rFonts w:hint="eastAsia" w:ascii="仿宋_GB2312" w:hAnsi="Times New Roman" w:eastAsia="仿宋_GB2312" w:cs="Times New Roman"/>
          <w:bCs/>
          <w:sz w:val="32"/>
          <w:szCs w:val="32"/>
          <w:lang w:val="en-US" w:eastAsia="zh-CN"/>
        </w:rPr>
        <w:t>一般公共预算收入20.3</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108.5</w:t>
      </w:r>
      <w:r>
        <w:rPr>
          <w:rFonts w:hint="eastAsia" w:ascii="仿宋_GB2312" w:hAnsi="Times New Roman" w:eastAsia="仿宋_GB2312" w:cs="Times New Roman"/>
          <w:bCs/>
          <w:sz w:val="32"/>
          <w:szCs w:val="32"/>
        </w:rPr>
        <w:t>%。</w:t>
      </w:r>
    </w:p>
    <w:p w14:paraId="5E115401">
      <w:pPr>
        <w:keepNext w:val="0"/>
        <w:keepLines w:val="0"/>
        <w:pageBreakBefore w:val="0"/>
        <w:widowControl w:val="0"/>
        <w:numPr>
          <w:ilvl w:val="0"/>
          <w:numId w:val="0"/>
        </w:numPr>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主要项目完成情况：</w:t>
      </w:r>
    </w:p>
    <w:p w14:paraId="644905AF">
      <w:pPr>
        <w:keepNext w:val="0"/>
        <w:keepLines w:val="0"/>
        <w:pageBreakBefore w:val="0"/>
        <w:widowControl w:val="0"/>
        <w:numPr>
          <w:ilvl w:val="0"/>
          <w:numId w:val="0"/>
        </w:numPr>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税收收入完成</w:t>
      </w:r>
      <w:r>
        <w:rPr>
          <w:rFonts w:hint="eastAsia" w:ascii="仿宋_GB2312" w:hAnsi="Times New Roman" w:eastAsia="仿宋_GB2312" w:cs="Times New Roman"/>
          <w:bCs/>
          <w:sz w:val="32"/>
          <w:szCs w:val="32"/>
          <w:lang w:val="en-US" w:eastAsia="zh-CN"/>
        </w:rPr>
        <w:t>13.14</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104.7</w:t>
      </w:r>
      <w:r>
        <w:rPr>
          <w:rFonts w:hint="eastAsia" w:ascii="仿宋_GB2312" w:hAnsi="Times New Roman" w:eastAsia="仿宋_GB2312" w:cs="Times New Roman"/>
          <w:bCs/>
          <w:sz w:val="32"/>
          <w:szCs w:val="32"/>
        </w:rPr>
        <w:t>%；</w:t>
      </w:r>
    </w:p>
    <w:p w14:paraId="16AE57DF">
      <w:pPr>
        <w:keepNext w:val="0"/>
        <w:keepLines w:val="0"/>
        <w:pageBreakBefore w:val="0"/>
        <w:widowControl w:val="0"/>
        <w:numPr>
          <w:ilvl w:val="0"/>
          <w:numId w:val="0"/>
        </w:numPr>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非税收入完成</w:t>
      </w:r>
      <w:r>
        <w:rPr>
          <w:rFonts w:hint="eastAsia" w:ascii="仿宋_GB2312" w:hAnsi="Times New Roman" w:eastAsia="仿宋_GB2312" w:cs="Times New Roman"/>
          <w:bCs/>
          <w:sz w:val="32"/>
          <w:szCs w:val="32"/>
          <w:lang w:val="en-US" w:eastAsia="zh-CN"/>
        </w:rPr>
        <w:t>7.16</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116.3</w:t>
      </w:r>
      <w:r>
        <w:rPr>
          <w:rFonts w:hint="eastAsia" w:ascii="仿宋_GB2312" w:hAnsi="Times New Roman" w:eastAsia="仿宋_GB2312" w:cs="Times New Roman"/>
          <w:bCs/>
          <w:sz w:val="32"/>
          <w:szCs w:val="32"/>
        </w:rPr>
        <w:t>%。</w:t>
      </w:r>
    </w:p>
    <w:p w14:paraId="08772728">
      <w:pPr>
        <w:keepNext w:val="0"/>
        <w:keepLines w:val="0"/>
        <w:pageBreakBefore w:val="0"/>
        <w:widowControl w:val="0"/>
        <w:numPr>
          <w:ilvl w:val="0"/>
          <w:numId w:val="0"/>
        </w:numPr>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一般公共预算支出年初预算为</w:t>
      </w:r>
      <w:r>
        <w:rPr>
          <w:rFonts w:hint="eastAsia" w:ascii="仿宋_GB2312" w:hAnsi="Times New Roman" w:eastAsia="仿宋_GB2312" w:cs="Times New Roman"/>
          <w:bCs/>
          <w:sz w:val="32"/>
          <w:szCs w:val="32"/>
          <w:lang w:val="en-US" w:eastAsia="zh-CN"/>
        </w:rPr>
        <w:t>31.95</w:t>
      </w:r>
      <w:r>
        <w:rPr>
          <w:rFonts w:hint="eastAsia" w:ascii="仿宋_GB2312" w:hAnsi="Times New Roman" w:eastAsia="仿宋_GB2312" w:cs="Times New Roman"/>
          <w:bCs/>
          <w:sz w:val="32"/>
          <w:szCs w:val="32"/>
        </w:rPr>
        <w:t>亿元，年度执行中，12月份经县人大常委会批准，支出预算数调整为</w:t>
      </w:r>
      <w:r>
        <w:rPr>
          <w:rFonts w:hint="eastAsia" w:ascii="仿宋_GB2312" w:hAnsi="Times New Roman" w:eastAsia="仿宋_GB2312" w:cs="Times New Roman"/>
          <w:bCs/>
          <w:sz w:val="32"/>
          <w:szCs w:val="32"/>
          <w:lang w:val="en-US" w:eastAsia="zh-CN"/>
        </w:rPr>
        <w:t>33.16</w:t>
      </w:r>
      <w:r>
        <w:rPr>
          <w:rFonts w:hint="eastAsia" w:ascii="仿宋_GB2312" w:hAnsi="Times New Roman" w:eastAsia="仿宋_GB2312" w:cs="Times New Roman"/>
          <w:bCs/>
          <w:sz w:val="32"/>
          <w:szCs w:val="32"/>
        </w:rPr>
        <w:t>亿元，实际完成</w:t>
      </w:r>
      <w:r>
        <w:rPr>
          <w:rFonts w:hint="eastAsia" w:ascii="仿宋_GB2312" w:hAnsi="Times New Roman" w:eastAsia="仿宋_GB2312" w:cs="Times New Roman"/>
          <w:bCs/>
          <w:sz w:val="32"/>
          <w:szCs w:val="32"/>
          <w:lang w:val="en-US" w:eastAsia="zh-CN"/>
        </w:rPr>
        <w:t>34.43</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103.8</w:t>
      </w:r>
      <w:r>
        <w:rPr>
          <w:rFonts w:hint="eastAsia" w:ascii="仿宋_GB2312" w:hAnsi="Times New Roman" w:eastAsia="仿宋_GB2312" w:cs="Times New Roman"/>
          <w:bCs/>
          <w:sz w:val="32"/>
          <w:szCs w:val="32"/>
        </w:rPr>
        <w:t>%。</w:t>
      </w:r>
    </w:p>
    <w:p w14:paraId="5E25F0DD">
      <w:pPr>
        <w:keepNext w:val="0"/>
        <w:keepLines w:val="0"/>
        <w:pageBreakBefore w:val="0"/>
        <w:widowControl w:val="0"/>
        <w:kinsoku/>
        <w:wordWrap/>
        <w:overflowPunct/>
        <w:topLinePunct w:val="0"/>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spacing w:val="3"/>
          <w:sz w:val="32"/>
          <w:szCs w:val="32"/>
        </w:rPr>
        <w:t xml:space="preserve">县本级收支情况: </w:t>
      </w:r>
      <w:r>
        <w:rPr>
          <w:rFonts w:hint="eastAsia" w:ascii="仿宋_GB2312" w:hAnsi="Times New Roman" w:eastAsia="仿宋_GB2312" w:cs="Times New Roman"/>
          <w:bCs/>
          <w:sz w:val="32"/>
          <w:szCs w:val="32"/>
        </w:rPr>
        <w:t>县十五届人大</w:t>
      </w:r>
      <w:r>
        <w:rPr>
          <w:rFonts w:hint="eastAsia" w:ascii="仿宋_GB2312" w:hAnsi="Times New Roman" w:eastAsia="仿宋_GB2312" w:cs="Times New Roman"/>
          <w:bCs/>
          <w:sz w:val="32"/>
          <w:szCs w:val="32"/>
          <w:lang w:val="en-US" w:eastAsia="zh-CN"/>
        </w:rPr>
        <w:t>六</w:t>
      </w:r>
      <w:r>
        <w:rPr>
          <w:rFonts w:hint="eastAsia" w:ascii="仿宋_GB2312" w:hAnsi="Times New Roman" w:eastAsia="仿宋_GB2312" w:cs="Times New Roman"/>
          <w:bCs/>
          <w:sz w:val="32"/>
          <w:szCs w:val="32"/>
        </w:rPr>
        <w:t>次会议批准的202</w:t>
      </w:r>
      <w:r>
        <w:rPr>
          <w:rFonts w:hint="eastAsia" w:ascii="仿宋_GB2312" w:hAnsi="Times New Roman" w:eastAsia="仿宋_GB2312" w:cs="Times New Roman"/>
          <w:bCs/>
          <w:sz w:val="32"/>
          <w:szCs w:val="32"/>
          <w:lang w:val="en-US" w:eastAsia="zh-CN"/>
        </w:rPr>
        <w:t>5</w:t>
      </w:r>
      <w:r>
        <w:rPr>
          <w:rFonts w:hint="eastAsia" w:ascii="仿宋_GB2312" w:hAnsi="Times New Roman" w:eastAsia="仿宋_GB2312" w:cs="Times New Roman"/>
          <w:bCs/>
          <w:sz w:val="32"/>
          <w:szCs w:val="32"/>
        </w:rPr>
        <w:t>年县本级一般公共预算收入为</w:t>
      </w:r>
      <w:r>
        <w:rPr>
          <w:rFonts w:hint="eastAsia" w:ascii="仿宋_GB2312" w:hAnsi="Times New Roman" w:eastAsia="仿宋_GB2312" w:cs="Times New Roman"/>
          <w:bCs/>
          <w:sz w:val="32"/>
          <w:szCs w:val="32"/>
          <w:lang w:val="en-US" w:eastAsia="zh-CN"/>
        </w:rPr>
        <w:t>17.71</w:t>
      </w:r>
      <w:r>
        <w:rPr>
          <w:rFonts w:hint="eastAsia" w:ascii="仿宋_GB2312" w:hAnsi="Times New Roman" w:eastAsia="仿宋_GB2312" w:cs="Times New Roman"/>
          <w:bCs/>
          <w:sz w:val="32"/>
          <w:szCs w:val="32"/>
        </w:rPr>
        <w:t>亿元，实际完成</w:t>
      </w:r>
      <w:r>
        <w:rPr>
          <w:rFonts w:hint="eastAsia" w:ascii="仿宋_GB2312" w:hAnsi="Times New Roman" w:eastAsia="仿宋_GB2312" w:cs="Times New Roman"/>
          <w:bCs/>
          <w:sz w:val="32"/>
          <w:szCs w:val="32"/>
          <w:lang w:val="en-US" w:eastAsia="zh-CN"/>
        </w:rPr>
        <w:t>15.99</w:t>
      </w:r>
      <w:r>
        <w:rPr>
          <w:rFonts w:hint="eastAsia" w:ascii="仿宋_GB2312" w:hAnsi="Times New Roman" w:eastAsia="仿宋_GB2312" w:cs="Times New Roman"/>
          <w:bCs/>
          <w:sz w:val="32"/>
          <w:szCs w:val="32"/>
        </w:rPr>
        <w:t>亿元，为预算的</w:t>
      </w:r>
      <w:r>
        <w:rPr>
          <w:rFonts w:hint="eastAsia" w:ascii="仿宋_GB2312" w:hAnsi="Times New Roman" w:eastAsia="仿宋_GB2312" w:cs="Times New Roman"/>
          <w:bCs/>
          <w:sz w:val="32"/>
          <w:szCs w:val="32"/>
          <w:lang w:val="en-US" w:eastAsia="zh-CN"/>
        </w:rPr>
        <w:t>90.3</w:t>
      </w:r>
      <w:r>
        <w:rPr>
          <w:rFonts w:hint="eastAsia" w:ascii="仿宋_GB2312" w:hAnsi="Times New Roman" w:eastAsia="仿宋_GB2312" w:cs="Times New Roman"/>
          <w:bCs/>
          <w:sz w:val="32"/>
          <w:szCs w:val="32"/>
        </w:rPr>
        <w:t>%。支出预算为</w:t>
      </w:r>
      <w:r>
        <w:rPr>
          <w:rFonts w:hint="eastAsia" w:ascii="仿宋_GB2312" w:hAnsi="Times New Roman" w:eastAsia="仿宋_GB2312" w:cs="Times New Roman"/>
          <w:bCs/>
          <w:sz w:val="32"/>
          <w:szCs w:val="32"/>
          <w:lang w:val="en-US" w:eastAsia="zh-CN"/>
        </w:rPr>
        <w:t>27.67</w:t>
      </w:r>
      <w:r>
        <w:rPr>
          <w:rFonts w:hint="eastAsia" w:ascii="仿宋_GB2312" w:hAnsi="Times New Roman" w:eastAsia="仿宋_GB2312" w:cs="Times New Roman"/>
          <w:bCs/>
          <w:sz w:val="32"/>
          <w:szCs w:val="32"/>
        </w:rPr>
        <w:t>亿元，执行中，12月份经县人大常委会批准，支出预算数调整为</w:t>
      </w:r>
      <w:r>
        <w:rPr>
          <w:rFonts w:hint="eastAsia" w:ascii="仿宋_GB2312" w:hAnsi="Times New Roman" w:eastAsia="仿宋_GB2312" w:cs="Times New Roman"/>
          <w:bCs/>
          <w:sz w:val="32"/>
          <w:szCs w:val="32"/>
          <w:lang w:val="en-US" w:eastAsia="zh-CN"/>
        </w:rPr>
        <w:t>29.2</w:t>
      </w:r>
      <w:r>
        <w:rPr>
          <w:rFonts w:hint="eastAsia" w:ascii="仿宋_GB2312" w:hAnsi="Times New Roman" w:eastAsia="仿宋_GB2312" w:cs="Times New Roman"/>
          <w:bCs/>
          <w:sz w:val="32"/>
          <w:szCs w:val="32"/>
        </w:rPr>
        <w:t>亿元，实际完成</w:t>
      </w:r>
      <w:r>
        <w:rPr>
          <w:rFonts w:hint="eastAsia" w:ascii="仿宋_GB2312" w:hAnsi="Times New Roman" w:eastAsia="仿宋_GB2312" w:cs="Times New Roman"/>
          <w:bCs/>
          <w:sz w:val="32"/>
          <w:szCs w:val="32"/>
          <w:lang w:val="en-US" w:eastAsia="zh-CN"/>
        </w:rPr>
        <w:t>31.19</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106.8</w:t>
      </w:r>
      <w:r>
        <w:rPr>
          <w:rFonts w:hint="eastAsia" w:ascii="仿宋_GB2312" w:hAnsi="Times New Roman" w:eastAsia="仿宋_GB2312" w:cs="Times New Roman"/>
          <w:bCs/>
          <w:sz w:val="32"/>
          <w:szCs w:val="32"/>
        </w:rPr>
        <w:t>%。</w:t>
      </w:r>
    </w:p>
    <w:p w14:paraId="70962520">
      <w:pPr>
        <w:keepNext w:val="0"/>
        <w:keepLines w:val="0"/>
        <w:pageBreakBefore w:val="0"/>
        <w:widowControl w:val="0"/>
        <w:kinsoku/>
        <w:wordWrap/>
        <w:overflowPunct/>
        <w:topLinePunct w:val="0"/>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pacing w:val="3"/>
          <w:sz w:val="32"/>
          <w:szCs w:val="32"/>
        </w:rPr>
        <w:t>2</w:t>
      </w:r>
      <w:r>
        <w:rPr>
          <w:rFonts w:hint="eastAsia" w:ascii="仿宋_GB2312" w:hAnsi="Times New Roman" w:eastAsia="仿宋_GB2312" w:cs="Times New Roman"/>
          <w:b/>
          <w:spacing w:val="3"/>
          <w:sz w:val="32"/>
          <w:szCs w:val="32"/>
          <w:lang w:val="en-US" w:eastAsia="zh-CN"/>
        </w:rPr>
        <w:t>.</w:t>
      </w:r>
      <w:r>
        <w:rPr>
          <w:rFonts w:hint="eastAsia" w:ascii="仿宋_GB2312" w:hAnsi="Times New Roman" w:eastAsia="仿宋_GB2312" w:cs="Times New Roman"/>
          <w:b/>
          <w:spacing w:val="3"/>
          <w:sz w:val="32"/>
          <w:szCs w:val="32"/>
        </w:rPr>
        <w:t>政府性基金预算。</w:t>
      </w:r>
      <w:r>
        <w:rPr>
          <w:rFonts w:hint="eastAsia" w:ascii="仿宋_GB2312" w:hAnsi="Times New Roman" w:eastAsia="仿宋_GB2312" w:cs="Times New Roman"/>
          <w:bCs/>
          <w:sz w:val="32"/>
          <w:szCs w:val="32"/>
        </w:rPr>
        <w:t>县十五届人大</w:t>
      </w:r>
      <w:r>
        <w:rPr>
          <w:rFonts w:hint="eastAsia" w:ascii="仿宋_GB2312" w:hAnsi="Times New Roman" w:eastAsia="仿宋_GB2312" w:cs="Times New Roman"/>
          <w:bCs/>
          <w:sz w:val="32"/>
          <w:szCs w:val="32"/>
          <w:lang w:val="en-US" w:eastAsia="zh-CN"/>
        </w:rPr>
        <w:t>六</w:t>
      </w:r>
      <w:r>
        <w:rPr>
          <w:rFonts w:hint="eastAsia" w:ascii="仿宋_GB2312" w:hAnsi="Times New Roman" w:eastAsia="仿宋_GB2312" w:cs="Times New Roman"/>
          <w:bCs/>
          <w:sz w:val="32"/>
          <w:szCs w:val="32"/>
        </w:rPr>
        <w:t>次会议批准的全县政府性基金预算收入为</w:t>
      </w:r>
      <w:r>
        <w:rPr>
          <w:rFonts w:hint="eastAsia" w:ascii="仿宋_GB2312" w:hAnsi="Times New Roman" w:eastAsia="仿宋_GB2312" w:cs="Times New Roman"/>
          <w:bCs/>
          <w:sz w:val="32"/>
          <w:szCs w:val="32"/>
          <w:lang w:val="en-US" w:eastAsia="zh-CN"/>
        </w:rPr>
        <w:t>4.72</w:t>
      </w:r>
      <w:r>
        <w:rPr>
          <w:rFonts w:hint="eastAsia" w:ascii="仿宋_GB2312" w:hAnsi="Times New Roman" w:eastAsia="仿宋_GB2312" w:cs="Times New Roman"/>
          <w:bCs/>
          <w:sz w:val="32"/>
          <w:szCs w:val="32"/>
        </w:rPr>
        <w:t>亿元，年度执行中，12月份经县人大常委会批准，年初预算数调整为</w:t>
      </w:r>
      <w:r>
        <w:rPr>
          <w:rFonts w:hint="eastAsia" w:ascii="仿宋_GB2312" w:hAnsi="Times New Roman" w:eastAsia="仿宋_GB2312" w:cs="Times New Roman"/>
          <w:bCs/>
          <w:sz w:val="32"/>
          <w:szCs w:val="32"/>
          <w:lang w:val="en-US" w:eastAsia="zh-CN"/>
        </w:rPr>
        <w:t>9.58</w:t>
      </w:r>
      <w:r>
        <w:rPr>
          <w:rFonts w:hint="eastAsia" w:ascii="仿宋_GB2312" w:hAnsi="Times New Roman" w:eastAsia="仿宋_GB2312" w:cs="Times New Roman"/>
          <w:bCs/>
          <w:sz w:val="32"/>
          <w:szCs w:val="32"/>
        </w:rPr>
        <w:t>亿元，实际完成</w:t>
      </w:r>
      <w:r>
        <w:rPr>
          <w:rFonts w:hint="eastAsia" w:ascii="仿宋_GB2312" w:hAnsi="Times New Roman" w:eastAsia="仿宋_GB2312" w:cs="Times New Roman"/>
          <w:bCs/>
          <w:sz w:val="32"/>
          <w:szCs w:val="32"/>
          <w:lang w:val="en-US" w:eastAsia="zh-CN"/>
        </w:rPr>
        <w:t>11.22</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117.2</w:t>
      </w:r>
      <w:r>
        <w:rPr>
          <w:rFonts w:hint="eastAsia" w:ascii="仿宋_GB2312" w:hAnsi="Times New Roman" w:eastAsia="仿宋_GB2312" w:cs="Times New Roman"/>
          <w:bCs/>
          <w:sz w:val="32"/>
          <w:szCs w:val="32"/>
        </w:rPr>
        <w:t>%。支出预算</w:t>
      </w:r>
      <w:r>
        <w:rPr>
          <w:rFonts w:hint="eastAsia" w:ascii="仿宋_GB2312" w:hAnsi="Times New Roman" w:eastAsia="仿宋_GB2312" w:cs="Times New Roman"/>
          <w:bCs/>
          <w:sz w:val="32"/>
          <w:szCs w:val="32"/>
          <w:lang w:val="en-US" w:eastAsia="zh-CN"/>
        </w:rPr>
        <w:t>6.23</w:t>
      </w:r>
      <w:r>
        <w:rPr>
          <w:rFonts w:hint="eastAsia" w:ascii="仿宋_GB2312" w:hAnsi="Times New Roman" w:eastAsia="仿宋_GB2312" w:cs="Times New Roman"/>
          <w:bCs/>
          <w:sz w:val="32"/>
          <w:szCs w:val="32"/>
        </w:rPr>
        <w:t>亿元，年度执行中，12月份经县人大常委会批准，支出预算数调整为</w:t>
      </w:r>
      <w:r>
        <w:rPr>
          <w:rFonts w:hint="eastAsia" w:ascii="仿宋_GB2312" w:hAnsi="Times New Roman" w:eastAsia="仿宋_GB2312" w:cs="Times New Roman"/>
          <w:bCs/>
          <w:sz w:val="32"/>
          <w:szCs w:val="32"/>
          <w:lang w:val="en-US" w:eastAsia="zh-CN"/>
        </w:rPr>
        <w:t xml:space="preserve">  13.8</w:t>
      </w:r>
      <w:r>
        <w:rPr>
          <w:rFonts w:hint="eastAsia" w:ascii="仿宋_GB2312" w:hAnsi="Times New Roman" w:eastAsia="仿宋_GB2312" w:cs="Times New Roman"/>
          <w:bCs/>
          <w:sz w:val="32"/>
          <w:szCs w:val="32"/>
        </w:rPr>
        <w:t>亿元，实际完成</w:t>
      </w:r>
      <w:r>
        <w:rPr>
          <w:rFonts w:hint="eastAsia" w:ascii="仿宋_GB2312" w:hAnsi="Times New Roman" w:eastAsia="仿宋_GB2312" w:cs="Times New Roman"/>
          <w:bCs/>
          <w:sz w:val="32"/>
          <w:szCs w:val="32"/>
          <w:lang w:val="en-US" w:eastAsia="zh-CN"/>
        </w:rPr>
        <w:t>16.6</w:t>
      </w:r>
      <w:r>
        <w:rPr>
          <w:rFonts w:hint="eastAsia" w:ascii="仿宋_GB2312" w:hAnsi="Times New Roman" w:eastAsia="仿宋_GB2312" w:cs="Times New Roman"/>
          <w:bCs/>
          <w:sz w:val="32"/>
          <w:szCs w:val="32"/>
        </w:rPr>
        <w:t>亿元，为调整预算的</w:t>
      </w:r>
      <w:r>
        <w:rPr>
          <w:rFonts w:hint="eastAsia" w:ascii="仿宋_GB2312" w:hAnsi="Times New Roman" w:eastAsia="仿宋_GB2312" w:cs="Times New Roman"/>
          <w:bCs/>
          <w:sz w:val="32"/>
          <w:szCs w:val="32"/>
          <w:lang w:val="en-US" w:eastAsia="zh-CN"/>
        </w:rPr>
        <w:t>120.2</w:t>
      </w:r>
      <w:r>
        <w:rPr>
          <w:rFonts w:hint="eastAsia" w:ascii="仿宋_GB2312" w:hAnsi="Times New Roman" w:eastAsia="仿宋_GB2312" w:cs="Times New Roman"/>
          <w:bCs/>
          <w:sz w:val="32"/>
          <w:szCs w:val="32"/>
        </w:rPr>
        <w:t>%。政府性基金收支全部为县本级收支。</w:t>
      </w:r>
    </w:p>
    <w:p w14:paraId="4B1B2A78">
      <w:pPr>
        <w:keepNext w:val="0"/>
        <w:keepLines w:val="0"/>
        <w:pageBreakBefore w:val="0"/>
        <w:widowControl w:val="0"/>
        <w:kinsoku/>
        <w:wordWrap/>
        <w:overflowPunct/>
        <w:topLinePunct w:val="0"/>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spacing w:val="3"/>
          <w:sz w:val="32"/>
          <w:szCs w:val="32"/>
        </w:rPr>
        <w:t>3</w:t>
      </w:r>
      <w:r>
        <w:rPr>
          <w:rFonts w:hint="eastAsia" w:ascii="仿宋_GB2312" w:hAnsi="Times New Roman" w:eastAsia="仿宋_GB2312" w:cs="Times New Roman"/>
          <w:b/>
          <w:spacing w:val="3"/>
          <w:sz w:val="32"/>
          <w:szCs w:val="32"/>
          <w:lang w:val="en-US" w:eastAsia="zh-CN"/>
        </w:rPr>
        <w:t>.</w:t>
      </w:r>
      <w:r>
        <w:rPr>
          <w:rFonts w:hint="eastAsia" w:ascii="仿宋_GB2312" w:hAnsi="Times New Roman" w:eastAsia="仿宋_GB2312" w:cs="Times New Roman"/>
          <w:b/>
          <w:spacing w:val="3"/>
          <w:sz w:val="32"/>
          <w:szCs w:val="32"/>
        </w:rPr>
        <w:t>国有资本经营预算。</w:t>
      </w: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5</w:t>
      </w:r>
      <w:r>
        <w:rPr>
          <w:rFonts w:hint="eastAsia" w:ascii="仿宋_GB2312" w:hAnsi="Times New Roman" w:eastAsia="仿宋_GB2312" w:cs="Times New Roman"/>
          <w:bCs/>
          <w:sz w:val="32"/>
          <w:szCs w:val="32"/>
        </w:rPr>
        <w:t>年，我县国有资本经营预算收支为零，在实际执行中，收到上级转移支付补助收入53万元，用于支持国有企业退休人员社会化管理支出，此笔支出调入一般公共预算列支。</w:t>
      </w:r>
    </w:p>
    <w:p w14:paraId="6C392285">
      <w:pPr>
        <w:keepNext w:val="0"/>
        <w:keepLines w:val="0"/>
        <w:pageBreakBefore w:val="0"/>
        <w:widowControl w:val="0"/>
        <w:kinsoku/>
        <w:wordWrap/>
        <w:overflowPunct/>
        <w:topLinePunct w:val="0"/>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spacing w:val="3"/>
          <w:sz w:val="32"/>
          <w:szCs w:val="32"/>
        </w:rPr>
        <w:t>4</w:t>
      </w:r>
      <w:r>
        <w:rPr>
          <w:rFonts w:hint="eastAsia" w:ascii="仿宋_GB2312" w:hAnsi="Times New Roman" w:eastAsia="仿宋_GB2312" w:cs="Times New Roman"/>
          <w:b/>
          <w:spacing w:val="3"/>
          <w:sz w:val="32"/>
          <w:szCs w:val="32"/>
          <w:lang w:val="en-US" w:eastAsia="zh-CN"/>
        </w:rPr>
        <w:t>.</w:t>
      </w:r>
      <w:r>
        <w:rPr>
          <w:rFonts w:hint="eastAsia" w:ascii="仿宋_GB2312" w:hAnsi="Times New Roman" w:eastAsia="仿宋_GB2312" w:cs="Times New Roman"/>
          <w:b/>
          <w:spacing w:val="3"/>
          <w:sz w:val="32"/>
          <w:szCs w:val="32"/>
        </w:rPr>
        <w:t>社会保险基金预算。</w:t>
      </w:r>
      <w:r>
        <w:rPr>
          <w:rFonts w:hint="eastAsia" w:ascii="仿宋_GB2312" w:hAnsi="Times New Roman" w:eastAsia="仿宋_GB2312" w:cs="Times New Roman"/>
          <w:bCs/>
          <w:sz w:val="32"/>
          <w:szCs w:val="32"/>
        </w:rPr>
        <w:t>县十五届人大</w:t>
      </w:r>
      <w:r>
        <w:rPr>
          <w:rFonts w:hint="eastAsia" w:ascii="仿宋_GB2312" w:hAnsi="Times New Roman" w:eastAsia="仿宋_GB2312" w:cs="Times New Roman"/>
          <w:bCs/>
          <w:sz w:val="32"/>
          <w:szCs w:val="32"/>
          <w:lang w:val="en-US" w:eastAsia="zh-CN"/>
        </w:rPr>
        <w:t>六</w:t>
      </w:r>
      <w:r>
        <w:rPr>
          <w:rFonts w:hint="eastAsia" w:ascii="仿宋_GB2312" w:hAnsi="Times New Roman" w:eastAsia="仿宋_GB2312" w:cs="Times New Roman"/>
          <w:bCs/>
          <w:sz w:val="32"/>
          <w:szCs w:val="32"/>
        </w:rPr>
        <w:t>次会议批准的全县社会保险基金预算收入为</w:t>
      </w:r>
      <w:r>
        <w:rPr>
          <w:rFonts w:hint="eastAsia" w:ascii="仿宋_GB2312" w:hAnsi="Times New Roman" w:eastAsia="仿宋_GB2312" w:cs="Times New Roman"/>
          <w:bCs/>
          <w:sz w:val="32"/>
          <w:szCs w:val="32"/>
          <w:lang w:val="en-US" w:eastAsia="zh-CN"/>
        </w:rPr>
        <w:t>1.29</w:t>
      </w:r>
      <w:r>
        <w:rPr>
          <w:rFonts w:hint="eastAsia" w:ascii="仿宋_GB2312" w:hAnsi="Times New Roman" w:eastAsia="仿宋_GB2312" w:cs="Times New Roman"/>
          <w:bCs/>
          <w:sz w:val="32"/>
          <w:szCs w:val="32"/>
        </w:rPr>
        <w:t>亿元，实际完成</w:t>
      </w:r>
      <w:r>
        <w:rPr>
          <w:rFonts w:hint="eastAsia" w:ascii="仿宋_GB2312" w:hAnsi="Times New Roman" w:eastAsia="仿宋_GB2312" w:cs="Times New Roman"/>
          <w:bCs/>
          <w:sz w:val="32"/>
          <w:szCs w:val="32"/>
          <w:lang w:val="en-US" w:eastAsia="zh-CN"/>
        </w:rPr>
        <w:t>1.77</w:t>
      </w:r>
      <w:r>
        <w:rPr>
          <w:rFonts w:hint="eastAsia" w:ascii="仿宋_GB2312" w:hAnsi="Times New Roman" w:eastAsia="仿宋_GB2312" w:cs="Times New Roman"/>
          <w:bCs/>
          <w:sz w:val="32"/>
          <w:szCs w:val="32"/>
        </w:rPr>
        <w:t>亿元，为预算的</w:t>
      </w:r>
      <w:r>
        <w:rPr>
          <w:rFonts w:hint="eastAsia" w:ascii="仿宋_GB2312" w:hAnsi="Times New Roman" w:eastAsia="仿宋_GB2312" w:cs="Times New Roman"/>
          <w:bCs/>
          <w:sz w:val="32"/>
          <w:szCs w:val="32"/>
          <w:lang w:val="en-US" w:eastAsia="zh-CN"/>
        </w:rPr>
        <w:t>137.7</w:t>
      </w:r>
      <w:r>
        <w:rPr>
          <w:rFonts w:hint="eastAsia" w:ascii="仿宋_GB2312" w:hAnsi="Times New Roman" w:eastAsia="仿宋_GB2312" w:cs="Times New Roman"/>
          <w:bCs/>
          <w:sz w:val="32"/>
          <w:szCs w:val="32"/>
        </w:rPr>
        <w:t>%。支出预算为</w:t>
      </w:r>
      <w:r>
        <w:rPr>
          <w:rFonts w:hint="eastAsia" w:ascii="仿宋_GB2312" w:hAnsi="Times New Roman" w:eastAsia="仿宋_GB2312" w:cs="Times New Roman"/>
          <w:bCs/>
          <w:sz w:val="32"/>
          <w:szCs w:val="32"/>
          <w:lang w:val="en-US" w:eastAsia="zh-CN"/>
        </w:rPr>
        <w:t>1.01亿</w:t>
      </w:r>
      <w:r>
        <w:rPr>
          <w:rFonts w:hint="eastAsia" w:ascii="仿宋_GB2312" w:hAnsi="Times New Roman" w:eastAsia="仿宋_GB2312" w:cs="Times New Roman"/>
          <w:bCs/>
          <w:sz w:val="32"/>
          <w:szCs w:val="32"/>
        </w:rPr>
        <w:t>元，实际完成</w:t>
      </w:r>
      <w:r>
        <w:rPr>
          <w:rFonts w:hint="eastAsia" w:ascii="仿宋_GB2312" w:hAnsi="Times New Roman" w:eastAsia="仿宋_GB2312" w:cs="Times New Roman"/>
          <w:bCs/>
          <w:sz w:val="32"/>
          <w:szCs w:val="32"/>
          <w:lang w:val="en-US" w:eastAsia="zh-CN"/>
        </w:rPr>
        <w:t>1.31亿</w:t>
      </w:r>
      <w:r>
        <w:rPr>
          <w:rFonts w:hint="eastAsia" w:ascii="仿宋_GB2312" w:hAnsi="Times New Roman" w:eastAsia="仿宋_GB2312" w:cs="Times New Roman"/>
          <w:bCs/>
          <w:sz w:val="32"/>
          <w:szCs w:val="32"/>
        </w:rPr>
        <w:t>元，为预算的</w:t>
      </w:r>
      <w:r>
        <w:rPr>
          <w:rFonts w:hint="eastAsia" w:ascii="仿宋_GB2312" w:hAnsi="Times New Roman" w:eastAsia="仿宋_GB2312" w:cs="Times New Roman"/>
          <w:bCs/>
          <w:sz w:val="32"/>
          <w:szCs w:val="32"/>
          <w:lang w:val="en-US" w:eastAsia="zh-CN"/>
        </w:rPr>
        <w:t>129.4</w:t>
      </w:r>
      <w:r>
        <w:rPr>
          <w:rFonts w:hint="eastAsia" w:ascii="仿宋_GB2312" w:hAnsi="Times New Roman" w:eastAsia="仿宋_GB2312" w:cs="Times New Roman"/>
          <w:bCs/>
          <w:sz w:val="32"/>
          <w:szCs w:val="32"/>
        </w:rPr>
        <w:t>%。</w:t>
      </w:r>
    </w:p>
    <w:p w14:paraId="66EE3BDB">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楷体_GB2312" w:hAnsi="楷体" w:eastAsia="楷体_GB2312" w:cs="Times New Roman"/>
          <w:b/>
          <w:bCs/>
          <w:spacing w:val="3"/>
          <w:sz w:val="32"/>
          <w:szCs w:val="32"/>
        </w:rPr>
      </w:pPr>
      <w:r>
        <w:rPr>
          <w:rFonts w:hint="eastAsia" w:ascii="楷体_GB2312" w:hAnsi="楷体" w:eastAsia="楷体_GB2312" w:cs="Times New Roman"/>
          <w:b/>
          <w:bCs/>
          <w:spacing w:val="3"/>
          <w:sz w:val="32"/>
          <w:szCs w:val="32"/>
        </w:rPr>
        <w:t>（二）政府债务情况</w:t>
      </w:r>
    </w:p>
    <w:p w14:paraId="2CC35C81">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default" w:ascii="仿宋_GB2312" w:hAnsi="Times New Roman" w:eastAsia="仿宋_GB2312" w:cs="Times New Roman"/>
          <w:bCs/>
          <w:sz w:val="32"/>
          <w:szCs w:val="32"/>
          <w:lang w:val="en-US" w:eastAsia="zh-CN"/>
        </w:rPr>
      </w:pPr>
      <w:r>
        <w:rPr>
          <w:rFonts w:hint="eastAsia" w:ascii="仿宋_GB2312" w:hAnsi="Times New Roman" w:eastAsia="仿宋_GB2312" w:cs="Times New Roman"/>
          <w:b/>
          <w:bCs w:val="0"/>
          <w:sz w:val="32"/>
          <w:szCs w:val="32"/>
          <w:lang w:val="en-US" w:eastAsia="zh-CN"/>
        </w:rPr>
        <w:t>1.债务限额情况：</w:t>
      </w:r>
      <w:r>
        <w:rPr>
          <w:rFonts w:hint="eastAsia" w:ascii="仿宋_GB2312" w:hAnsi="Times New Roman" w:eastAsia="仿宋_GB2312" w:cs="Times New Roman"/>
          <w:bCs/>
          <w:sz w:val="32"/>
          <w:szCs w:val="32"/>
        </w:rPr>
        <w:t>省财政厅核定我县2025年政府债务限额69.49亿元，其中：一般债务13.4亿元，专项债务56.09亿元。截至2025年底，我县政府债务余额为69.04亿元，其中：一般债务13.25亿元，专项债务55.7</w:t>
      </w:r>
      <w:r>
        <w:rPr>
          <w:rFonts w:hint="eastAsia" w:ascii="仿宋_GB2312" w:hAnsi="Times New Roman" w:eastAsia="仿宋_GB2312" w:cs="Times New Roman"/>
          <w:bCs/>
          <w:sz w:val="32"/>
          <w:szCs w:val="32"/>
          <w:lang w:val="en-US" w:eastAsia="zh-CN"/>
        </w:rPr>
        <w:t>6</w:t>
      </w:r>
      <w:r>
        <w:rPr>
          <w:rFonts w:hint="eastAsia" w:ascii="仿宋_GB2312" w:hAnsi="Times New Roman" w:eastAsia="仿宋_GB2312" w:cs="Times New Roman"/>
          <w:bCs/>
          <w:sz w:val="32"/>
          <w:szCs w:val="32"/>
        </w:rPr>
        <w:t>亿元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或有债务334万元，</w:t>
      </w:r>
      <w:r>
        <w:rPr>
          <w:rFonts w:hint="eastAsia" w:ascii="仿宋_GB2312" w:hAnsi="Times New Roman" w:eastAsia="仿宋_GB2312" w:cs="Times New Roman"/>
          <w:bCs/>
          <w:sz w:val="32"/>
          <w:szCs w:val="32"/>
          <w:lang w:eastAsia="zh-CN"/>
        </w:rPr>
        <w:t>债务期限包括5年期、7年期、10年期、15年期、20年期、30年期，</w:t>
      </w:r>
      <w:r>
        <w:rPr>
          <w:rFonts w:hint="eastAsia" w:ascii="仿宋_GB2312" w:hAnsi="Times New Roman" w:eastAsia="仿宋_GB2312" w:cs="Times New Roman"/>
          <w:bCs/>
          <w:sz w:val="32"/>
          <w:szCs w:val="32"/>
          <w:lang w:val="en-US" w:eastAsia="zh-CN"/>
        </w:rPr>
        <w:t>在省财政厅核定限额合理范围之内。</w:t>
      </w:r>
    </w:p>
    <w:p w14:paraId="28E725AE">
      <w:pPr>
        <w:keepNext w:val="0"/>
        <w:keepLines w:val="0"/>
        <w:pageBreakBefore w:val="0"/>
        <w:widowControl w:val="0"/>
        <w:kinsoku/>
        <w:wordWrap/>
        <w:overflowPunct/>
        <w:autoSpaceDE/>
        <w:autoSpaceDN w:val="0"/>
        <w:bidi w:val="0"/>
        <w:adjustRightInd w:val="0"/>
        <w:snapToGrid w:val="0"/>
        <w:spacing w:line="600" w:lineRule="exact"/>
        <w:ind w:firstLine="643"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bCs w:val="0"/>
          <w:sz w:val="32"/>
          <w:szCs w:val="32"/>
          <w:lang w:val="en-US" w:eastAsia="zh-CN"/>
        </w:rPr>
        <w:t>2.债券发行情况：</w:t>
      </w:r>
      <w:r>
        <w:rPr>
          <w:rFonts w:hint="eastAsia" w:ascii="仿宋_GB2312" w:hAnsi="Times New Roman" w:eastAsia="仿宋_GB2312" w:cs="Times New Roman"/>
          <w:bCs/>
          <w:sz w:val="32"/>
          <w:szCs w:val="32"/>
        </w:rPr>
        <w:t>2025年我县共发行政府债券</w:t>
      </w:r>
      <w:r>
        <w:rPr>
          <w:rFonts w:hint="eastAsia" w:ascii="仿宋_GB2312" w:hAnsi="Times New Roman" w:eastAsia="仿宋_GB2312" w:cs="Times New Roman"/>
          <w:bCs/>
          <w:sz w:val="32"/>
          <w:szCs w:val="32"/>
          <w:lang w:val="en-US" w:eastAsia="zh-CN"/>
        </w:rPr>
        <w:t>11.63</w:t>
      </w:r>
      <w:r>
        <w:rPr>
          <w:rFonts w:hint="eastAsia" w:ascii="仿宋_GB2312" w:hAnsi="Times New Roman" w:eastAsia="仿宋_GB2312" w:cs="Times New Roman"/>
          <w:bCs/>
          <w:sz w:val="32"/>
          <w:szCs w:val="32"/>
        </w:rPr>
        <w:t>亿元，其中：新增专项债券</w:t>
      </w:r>
      <w:r>
        <w:rPr>
          <w:rFonts w:hint="eastAsia" w:ascii="仿宋_GB2312" w:hAnsi="Times New Roman" w:eastAsia="仿宋_GB2312" w:cs="Times New Roman"/>
          <w:bCs/>
          <w:sz w:val="32"/>
          <w:szCs w:val="32"/>
          <w:lang w:val="en-US" w:eastAsia="zh-CN"/>
        </w:rPr>
        <w:t>2.55</w:t>
      </w:r>
      <w:r>
        <w:rPr>
          <w:rFonts w:hint="eastAsia" w:ascii="仿宋_GB2312" w:hAnsi="Times New Roman" w:eastAsia="仿宋_GB2312" w:cs="Times New Roman"/>
          <w:bCs/>
          <w:sz w:val="32"/>
          <w:szCs w:val="32"/>
        </w:rPr>
        <w:t>亿元，置换存量隐性债务专项债券3.6亿元，补充政府性基金财力专项债券1.48亿元，清欠债券3.58亿元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再融资债券4200万元，</w:t>
      </w:r>
      <w:r>
        <w:rPr>
          <w:rFonts w:hint="eastAsia" w:ascii="仿宋_GB2312" w:hAnsi="Times New Roman" w:eastAsia="仿宋_GB2312" w:cs="Times New Roman"/>
          <w:bCs/>
          <w:sz w:val="32"/>
          <w:szCs w:val="32"/>
        </w:rPr>
        <w:t>具体用途如下：</w:t>
      </w:r>
    </w:p>
    <w:p w14:paraId="3CF3C8C2">
      <w:pPr>
        <w:keepNext w:val="0"/>
        <w:keepLines w:val="0"/>
        <w:pageBreakBefore w:val="0"/>
        <w:widowControl w:val="0"/>
        <w:kinsoku/>
        <w:wordWrap/>
        <w:overflowPunct/>
        <w:autoSpaceDE/>
        <w:autoSpaceDN w:val="0"/>
        <w:bidi w:val="0"/>
        <w:adjustRightInd w:val="0"/>
        <w:snapToGrid w:val="0"/>
        <w:spacing w:line="60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rPr>
        <w:tab/>
      </w:r>
      <w:r>
        <w:rPr>
          <w:rFonts w:hint="eastAsia" w:ascii="仿宋_GB2312" w:hAnsi="Times New Roman" w:eastAsia="仿宋_GB2312" w:cs="Times New Roman"/>
          <w:bCs/>
          <w:sz w:val="32"/>
          <w:szCs w:val="32"/>
        </w:rPr>
        <w:t>新增专项债券</w:t>
      </w:r>
      <w:r>
        <w:rPr>
          <w:rFonts w:hint="eastAsia" w:ascii="仿宋_GB2312" w:hAnsi="Times New Roman" w:eastAsia="仿宋_GB2312" w:cs="Times New Roman"/>
          <w:bCs/>
          <w:sz w:val="32"/>
          <w:szCs w:val="32"/>
          <w:lang w:val="en-US" w:eastAsia="zh-CN"/>
        </w:rPr>
        <w:t>2.55</w:t>
      </w:r>
      <w:r>
        <w:rPr>
          <w:rFonts w:hint="eastAsia" w:ascii="仿宋_GB2312" w:hAnsi="Times New Roman" w:eastAsia="仿宋_GB2312" w:cs="Times New Roman"/>
          <w:bCs/>
          <w:sz w:val="32"/>
          <w:szCs w:val="32"/>
        </w:rPr>
        <w:t>亿元，支持重大项目建设；</w:t>
      </w:r>
    </w:p>
    <w:p w14:paraId="260699C9">
      <w:pPr>
        <w:keepNext w:val="0"/>
        <w:keepLines w:val="0"/>
        <w:pageBreakBefore w:val="0"/>
        <w:widowControl w:val="0"/>
        <w:kinsoku/>
        <w:wordWrap/>
        <w:overflowPunct/>
        <w:autoSpaceDE/>
        <w:autoSpaceDN w:val="0"/>
        <w:bidi w:val="0"/>
        <w:adjustRightInd w:val="0"/>
        <w:snapToGrid w:val="0"/>
        <w:spacing w:line="60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rPr>
        <w:tab/>
      </w:r>
      <w:r>
        <w:rPr>
          <w:rFonts w:hint="eastAsia" w:ascii="仿宋_GB2312" w:hAnsi="Times New Roman" w:eastAsia="仿宋_GB2312" w:cs="Times New Roman"/>
          <w:bCs/>
          <w:sz w:val="32"/>
          <w:szCs w:val="32"/>
        </w:rPr>
        <w:t>置换存量隐性债务专项债券</w:t>
      </w:r>
      <w:r>
        <w:rPr>
          <w:rFonts w:hint="eastAsia" w:ascii="仿宋_GB2312" w:hAnsi="Times New Roman" w:eastAsia="仿宋_GB2312" w:cs="Times New Roman"/>
          <w:bCs/>
          <w:sz w:val="32"/>
          <w:szCs w:val="32"/>
          <w:lang w:val="en-US" w:eastAsia="zh-CN"/>
        </w:rPr>
        <w:t>3.6</w:t>
      </w:r>
      <w:r>
        <w:rPr>
          <w:rFonts w:hint="eastAsia" w:ascii="仿宋_GB2312" w:hAnsi="Times New Roman" w:eastAsia="仿宋_GB2312" w:cs="Times New Roman"/>
          <w:bCs/>
          <w:sz w:val="32"/>
          <w:szCs w:val="32"/>
        </w:rPr>
        <w:t>亿元，减轻债务利息负担；</w:t>
      </w:r>
    </w:p>
    <w:p w14:paraId="09CC5168">
      <w:pPr>
        <w:keepNext w:val="0"/>
        <w:keepLines w:val="0"/>
        <w:pageBreakBefore w:val="0"/>
        <w:widowControl w:val="0"/>
        <w:kinsoku/>
        <w:wordWrap/>
        <w:overflowPunct/>
        <w:autoSpaceDE/>
        <w:autoSpaceDN w:val="0"/>
        <w:bidi w:val="0"/>
        <w:adjustRightInd w:val="0"/>
        <w:snapToGrid w:val="0"/>
        <w:spacing w:line="60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rPr>
        <w:tab/>
      </w:r>
      <w:r>
        <w:rPr>
          <w:rFonts w:hint="eastAsia" w:ascii="仿宋_GB2312" w:hAnsi="Times New Roman" w:eastAsia="仿宋_GB2312" w:cs="Times New Roman"/>
          <w:bCs/>
          <w:sz w:val="32"/>
          <w:szCs w:val="32"/>
        </w:rPr>
        <w:t>补充政府性基金财力专项债券</w:t>
      </w:r>
      <w:r>
        <w:rPr>
          <w:rFonts w:hint="eastAsia" w:ascii="仿宋_GB2312" w:hAnsi="Times New Roman" w:eastAsia="仿宋_GB2312" w:cs="Times New Roman"/>
          <w:bCs/>
          <w:sz w:val="32"/>
          <w:szCs w:val="32"/>
          <w:lang w:val="en-US" w:eastAsia="zh-CN"/>
        </w:rPr>
        <w:t>1.48</w:t>
      </w:r>
      <w:r>
        <w:rPr>
          <w:rFonts w:hint="eastAsia" w:ascii="仿宋_GB2312" w:hAnsi="Times New Roman" w:eastAsia="仿宋_GB2312" w:cs="Times New Roman"/>
          <w:bCs/>
          <w:sz w:val="32"/>
          <w:szCs w:val="32"/>
        </w:rPr>
        <w:t>亿元，增强基金预算保障能力；</w:t>
      </w:r>
    </w:p>
    <w:p w14:paraId="72CD1D5B">
      <w:pPr>
        <w:keepNext w:val="0"/>
        <w:keepLines w:val="0"/>
        <w:pageBreakBefore w:val="0"/>
        <w:widowControl w:val="0"/>
        <w:kinsoku/>
        <w:wordWrap/>
        <w:overflowPunct/>
        <w:autoSpaceDE/>
        <w:autoSpaceDN w:val="0"/>
        <w:bidi w:val="0"/>
        <w:adjustRightInd w:val="0"/>
        <w:snapToGrid w:val="0"/>
        <w:spacing w:line="60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rPr>
        <w:tab/>
      </w:r>
      <w:r>
        <w:rPr>
          <w:rFonts w:hint="eastAsia" w:ascii="仿宋_GB2312" w:hAnsi="Times New Roman" w:eastAsia="仿宋_GB2312" w:cs="Times New Roman"/>
          <w:bCs/>
          <w:sz w:val="32"/>
          <w:szCs w:val="32"/>
        </w:rPr>
        <w:t>清欠债券</w:t>
      </w:r>
      <w:r>
        <w:rPr>
          <w:rFonts w:hint="eastAsia" w:ascii="仿宋_GB2312" w:hAnsi="Times New Roman" w:eastAsia="仿宋_GB2312" w:cs="Times New Roman"/>
          <w:bCs/>
          <w:sz w:val="32"/>
          <w:szCs w:val="32"/>
          <w:lang w:val="en-US" w:eastAsia="zh-CN"/>
        </w:rPr>
        <w:t>3.58</w:t>
      </w:r>
      <w:r>
        <w:rPr>
          <w:rFonts w:hint="eastAsia" w:ascii="仿宋_GB2312" w:hAnsi="Times New Roman" w:eastAsia="仿宋_GB2312" w:cs="Times New Roman"/>
          <w:bCs/>
          <w:sz w:val="32"/>
          <w:szCs w:val="32"/>
        </w:rPr>
        <w:t>亿元，化解企业欠款问题，优化营商环境。</w:t>
      </w:r>
    </w:p>
    <w:p w14:paraId="695A8306">
      <w:pPr>
        <w:keepNext w:val="0"/>
        <w:keepLines w:val="0"/>
        <w:pageBreakBefore w:val="0"/>
        <w:widowControl w:val="0"/>
        <w:kinsoku/>
        <w:wordWrap/>
        <w:overflowPunct/>
        <w:autoSpaceDE/>
        <w:autoSpaceDN w:val="0"/>
        <w:bidi w:val="0"/>
        <w:adjustRightInd w:val="0"/>
        <w:snapToGrid w:val="0"/>
        <w:spacing w:line="60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rPr>
        <w:tab/>
      </w:r>
      <w:r>
        <w:rPr>
          <w:rFonts w:hint="eastAsia" w:ascii="仿宋_GB2312" w:hAnsi="Times New Roman" w:eastAsia="仿宋_GB2312" w:cs="Times New Roman"/>
          <w:bCs/>
          <w:sz w:val="32"/>
          <w:szCs w:val="32"/>
          <w:lang w:val="en-US" w:eastAsia="zh-CN"/>
        </w:rPr>
        <w:t>再融资</w:t>
      </w:r>
      <w:r>
        <w:rPr>
          <w:rFonts w:hint="eastAsia" w:ascii="仿宋_GB2312" w:hAnsi="Times New Roman" w:eastAsia="仿宋_GB2312" w:cs="Times New Roman"/>
          <w:bCs/>
          <w:sz w:val="32"/>
          <w:szCs w:val="32"/>
        </w:rPr>
        <w:t>债券</w:t>
      </w:r>
      <w:r>
        <w:rPr>
          <w:rFonts w:hint="eastAsia" w:ascii="仿宋_GB2312" w:hAnsi="Times New Roman" w:eastAsia="仿宋_GB2312" w:cs="Times New Roman"/>
          <w:bCs/>
          <w:sz w:val="32"/>
          <w:szCs w:val="32"/>
          <w:lang w:val="en-US" w:eastAsia="zh-CN"/>
        </w:rPr>
        <w:t>4200万</w:t>
      </w:r>
      <w:r>
        <w:rPr>
          <w:rFonts w:hint="eastAsia" w:ascii="仿宋_GB2312" w:hAnsi="Times New Roman" w:eastAsia="仿宋_GB2312" w:cs="Times New Roman"/>
          <w:bCs/>
          <w:sz w:val="32"/>
          <w:szCs w:val="32"/>
        </w:rPr>
        <w:t>元，偿还已到期的债券本金，确保债务按期兑付，维护政府信用。</w:t>
      </w:r>
    </w:p>
    <w:p w14:paraId="79957966">
      <w:pPr>
        <w:keepNext w:val="0"/>
        <w:keepLines w:val="0"/>
        <w:pageBreakBefore w:val="0"/>
        <w:widowControl w:val="0"/>
        <w:kinsoku/>
        <w:wordWrap/>
        <w:overflowPunct/>
        <w:autoSpaceDE/>
        <w:autoSpaceDN w:val="0"/>
        <w:bidi w:val="0"/>
        <w:adjustRightInd w:val="0"/>
        <w:snapToGrid w:val="0"/>
        <w:spacing w:line="600" w:lineRule="exact"/>
        <w:ind w:firstLine="643" w:firstLineChars="200"/>
        <w:jc w:val="both"/>
        <w:textAlignment w:val="auto"/>
        <w:rPr>
          <w:rFonts w:hint="eastAsia" w:ascii="仿宋_GB2312" w:hAnsi="Times New Roman" w:eastAsia="仿宋_GB2312" w:cs="Times New Roman"/>
          <w:bCs/>
          <w:sz w:val="32"/>
          <w:szCs w:val="32"/>
          <w:lang w:eastAsia="zh-CN"/>
        </w:rPr>
      </w:pPr>
      <w:r>
        <w:rPr>
          <w:rFonts w:hint="eastAsia" w:ascii="仿宋_GB2312" w:hAnsi="Times New Roman" w:eastAsia="仿宋_GB2312" w:cs="Times New Roman"/>
          <w:b/>
          <w:bCs w:val="0"/>
          <w:sz w:val="32"/>
          <w:szCs w:val="32"/>
          <w:lang w:val="en-US" w:eastAsia="zh-CN"/>
        </w:rPr>
        <w:t>3.还本付息情况：</w:t>
      </w:r>
      <w:r>
        <w:rPr>
          <w:rFonts w:hint="eastAsia" w:ascii="仿宋_GB2312" w:hAnsi="Times New Roman" w:eastAsia="仿宋_GB2312" w:cs="Times New Roman"/>
          <w:bCs/>
          <w:sz w:val="32"/>
          <w:szCs w:val="32"/>
        </w:rPr>
        <w:t>2025年，我县政府债务还本付息2.1</w:t>
      </w:r>
      <w:r>
        <w:rPr>
          <w:rFonts w:hint="eastAsia" w:ascii="仿宋_GB2312" w:hAnsi="Times New Roman" w:eastAsia="仿宋_GB2312" w:cs="Times New Roman"/>
          <w:bCs/>
          <w:sz w:val="32"/>
          <w:szCs w:val="32"/>
          <w:lang w:val="en-US" w:eastAsia="zh-CN"/>
        </w:rPr>
        <w:t>9</w:t>
      </w:r>
      <w:r>
        <w:rPr>
          <w:rFonts w:hint="eastAsia" w:ascii="仿宋_GB2312" w:hAnsi="Times New Roman" w:eastAsia="仿宋_GB2312" w:cs="Times New Roman"/>
          <w:bCs/>
          <w:sz w:val="32"/>
          <w:szCs w:val="32"/>
        </w:rPr>
        <w:t>亿元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其中：</w:t>
      </w:r>
      <w:r>
        <w:rPr>
          <w:rFonts w:hint="eastAsia" w:ascii="仿宋_GB2312" w:hAnsi="Times New Roman" w:eastAsia="仿宋_GB2312" w:cs="Times New Roman"/>
          <w:bCs/>
          <w:sz w:val="32"/>
          <w:szCs w:val="32"/>
        </w:rPr>
        <w:t>还本</w:t>
      </w:r>
      <w:r>
        <w:rPr>
          <w:rFonts w:hint="eastAsia" w:ascii="仿宋_GB2312" w:hAnsi="Times New Roman" w:eastAsia="仿宋_GB2312" w:cs="Times New Roman"/>
          <w:bCs/>
          <w:sz w:val="32"/>
          <w:szCs w:val="32"/>
          <w:lang w:val="en-US" w:eastAsia="zh-CN"/>
        </w:rPr>
        <w:t>4717万</w:t>
      </w:r>
      <w:r>
        <w:rPr>
          <w:rFonts w:hint="eastAsia" w:ascii="仿宋_GB2312" w:hAnsi="Times New Roman" w:eastAsia="仿宋_GB2312" w:cs="Times New Roman"/>
          <w:bCs/>
          <w:sz w:val="32"/>
          <w:szCs w:val="32"/>
        </w:rPr>
        <w:t>元，付息1.7</w:t>
      </w:r>
      <w:r>
        <w:rPr>
          <w:rFonts w:hint="eastAsia" w:ascii="仿宋_GB2312" w:hAnsi="Times New Roman" w:eastAsia="仿宋_GB2312" w:cs="Times New Roman"/>
          <w:bCs/>
          <w:sz w:val="32"/>
          <w:szCs w:val="32"/>
          <w:lang w:val="en-US" w:eastAsia="zh-CN"/>
        </w:rPr>
        <w:t>2</w:t>
      </w:r>
      <w:r>
        <w:rPr>
          <w:rFonts w:hint="eastAsia" w:ascii="仿宋_GB2312" w:hAnsi="Times New Roman" w:eastAsia="仿宋_GB2312" w:cs="Times New Roman"/>
          <w:bCs/>
          <w:sz w:val="32"/>
          <w:szCs w:val="32"/>
        </w:rPr>
        <w:t>亿元</w:t>
      </w:r>
      <w:r>
        <w:rPr>
          <w:rFonts w:hint="eastAsia" w:ascii="仿宋_GB2312" w:hAnsi="Times New Roman" w:eastAsia="仿宋_GB2312" w:cs="Times New Roman"/>
          <w:bCs/>
          <w:sz w:val="32"/>
          <w:szCs w:val="32"/>
          <w:lang w:eastAsia="zh-CN"/>
        </w:rPr>
        <w:t>，债务偿还有序推进，未发生债务违约情况。</w:t>
      </w:r>
    </w:p>
    <w:p w14:paraId="765F278D">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spacing w:val="3"/>
          <w:sz w:val="32"/>
          <w:szCs w:val="32"/>
        </w:rPr>
      </w:pPr>
      <w:r>
        <w:rPr>
          <w:rFonts w:hint="eastAsia" w:ascii="仿宋_GB2312" w:hAnsi="Times New Roman" w:eastAsia="仿宋_GB2312" w:cs="Times New Roman"/>
          <w:bCs/>
          <w:sz w:val="32"/>
          <w:szCs w:val="32"/>
        </w:rPr>
        <w:t>以上收支均为快报数，待与上级财政结算后，最终决算数另行向县人大常委会报告。</w:t>
      </w:r>
    </w:p>
    <w:p w14:paraId="3B7D42D6">
      <w:pPr>
        <w:keepNext w:val="0"/>
        <w:keepLines w:val="0"/>
        <w:pageBreakBefore w:val="0"/>
        <w:widowControl w:val="0"/>
        <w:kinsoku/>
        <w:wordWrap/>
        <w:overflowPunct/>
        <w:topLinePunct/>
        <w:autoSpaceDE/>
        <w:autoSpaceDN w:val="0"/>
        <w:bidi w:val="0"/>
        <w:adjustRightInd w:val="0"/>
        <w:snapToGrid w:val="0"/>
        <w:spacing w:line="600" w:lineRule="exact"/>
        <w:ind w:firstLine="652" w:firstLineChars="200"/>
        <w:textAlignment w:val="auto"/>
        <w:rPr>
          <w:rFonts w:hint="eastAsia" w:ascii="黑体" w:hAnsi="黑体" w:eastAsia="黑体" w:cs="Times New Roman"/>
          <w:spacing w:val="3"/>
          <w:sz w:val="32"/>
          <w:szCs w:val="32"/>
        </w:rPr>
      </w:pPr>
      <w:r>
        <w:rPr>
          <w:rFonts w:hint="eastAsia" w:ascii="黑体" w:hAnsi="黑体" w:eastAsia="黑体" w:cs="Times New Roman"/>
          <w:spacing w:val="3"/>
          <w:sz w:val="32"/>
          <w:szCs w:val="32"/>
        </w:rPr>
        <w:t>二、落实县人大决议和主要财政工作情况</w:t>
      </w:r>
    </w:p>
    <w:p w14:paraId="3FB66FDF">
      <w:pPr>
        <w:keepNext w:val="0"/>
        <w:keepLines w:val="0"/>
        <w:pageBreakBefore w:val="0"/>
        <w:widowControl w:val="0"/>
        <w:kinsoku/>
        <w:wordWrap/>
        <w:overflowPunct/>
        <w:autoSpaceDE/>
        <w:autoSpaceDN w:val="0"/>
        <w:bidi w:val="0"/>
        <w:spacing w:line="600" w:lineRule="exact"/>
        <w:ind w:firstLine="643"/>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5</w:t>
      </w:r>
      <w:r>
        <w:rPr>
          <w:rFonts w:hint="eastAsia" w:ascii="仿宋_GB2312" w:hAnsi="Times New Roman" w:eastAsia="仿宋_GB2312" w:cs="Times New Roman"/>
          <w:bCs/>
          <w:sz w:val="32"/>
          <w:szCs w:val="32"/>
        </w:rPr>
        <w:t>年，根据县十五届人大</w:t>
      </w:r>
      <w:r>
        <w:rPr>
          <w:rFonts w:hint="eastAsia" w:ascii="仿宋_GB2312" w:hAnsi="Times New Roman" w:eastAsia="仿宋_GB2312" w:cs="Times New Roman"/>
          <w:bCs/>
          <w:sz w:val="32"/>
          <w:szCs w:val="32"/>
          <w:lang w:val="en-US" w:eastAsia="zh-CN"/>
        </w:rPr>
        <w:t>六</w:t>
      </w:r>
      <w:r>
        <w:rPr>
          <w:rFonts w:hint="eastAsia" w:ascii="仿宋_GB2312" w:hAnsi="Times New Roman" w:eastAsia="仿宋_GB2312" w:cs="Times New Roman"/>
          <w:bCs/>
          <w:sz w:val="32"/>
          <w:szCs w:val="32"/>
        </w:rPr>
        <w:t>次会议有关决议和县人大财政经济委员会审查意见，重点推进了以下几方面工作：</w:t>
      </w:r>
    </w:p>
    <w:p w14:paraId="0684DC3B">
      <w:pPr>
        <w:keepNext w:val="0"/>
        <w:keepLines w:val="0"/>
        <w:pageBreakBefore w:val="0"/>
        <w:widowControl w:val="0"/>
        <w:kinsoku/>
        <w:wordWrap/>
        <w:overflowPunct/>
        <w:autoSpaceDE/>
        <w:autoSpaceDN w:val="0"/>
        <w:bidi w:val="0"/>
        <w:spacing w:line="600" w:lineRule="exact"/>
        <w:ind w:firstLine="643"/>
        <w:textAlignment w:val="auto"/>
        <w:rPr>
          <w:rFonts w:hint="eastAsia" w:ascii="楷体_GB2312" w:hAnsi="Times New Roman" w:eastAsia="楷体_GB2312" w:cs="Times New Roman"/>
          <w:b/>
          <w:bCs/>
          <w:kern w:val="0"/>
          <w:sz w:val="32"/>
          <w:szCs w:val="32"/>
          <w:shd w:val="clear" w:color="auto" w:fill="FFFFFF"/>
          <w:lang w:eastAsia="zh-CN"/>
        </w:rPr>
      </w:pPr>
      <w:r>
        <w:rPr>
          <w:rFonts w:hint="eastAsia" w:ascii="楷体_GB2312" w:hAnsi="Times New Roman" w:eastAsia="楷体_GB2312" w:cs="Times New Roman"/>
          <w:b/>
          <w:bCs/>
          <w:kern w:val="0"/>
          <w:sz w:val="32"/>
          <w:szCs w:val="32"/>
          <w:shd w:val="clear" w:color="auto" w:fill="FFFFFF"/>
        </w:rPr>
        <w:t>（一）</w:t>
      </w:r>
      <w:r>
        <w:rPr>
          <w:rFonts w:hint="eastAsia" w:ascii="楷体_GB2312" w:hAnsi="Times New Roman" w:eastAsia="楷体_GB2312" w:cs="Times New Roman"/>
          <w:b/>
          <w:bCs/>
          <w:kern w:val="0"/>
          <w:sz w:val="32"/>
          <w:szCs w:val="32"/>
          <w:shd w:val="clear" w:color="auto" w:fill="FFFFFF"/>
          <w:lang w:eastAsia="zh-CN"/>
        </w:rPr>
        <w:t>聚力财源建设，经济发展动能持续增强</w:t>
      </w:r>
    </w:p>
    <w:p w14:paraId="240D7B85">
      <w:pPr>
        <w:keepNext w:val="0"/>
        <w:keepLines w:val="0"/>
        <w:pageBreakBefore w:val="0"/>
        <w:widowControl w:val="0"/>
        <w:numPr>
          <w:ilvl w:val="0"/>
          <w:numId w:val="0"/>
        </w:numPr>
        <w:kinsoku/>
        <w:wordWrap/>
        <w:overflowPunct/>
        <w:autoSpaceDE/>
        <w:autoSpaceDN w:val="0"/>
        <w:bidi w:val="0"/>
        <w:spacing w:line="600" w:lineRule="exact"/>
        <w:ind w:firstLine="640"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锚定县域经济高质量发展目标，聚焦财源培植、主体赋能、环境优化三大重点，打出一套政策、金融、服务、消费</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rPr>
        <w:t>组合拳”，有效激发市场主体内生动力。</w:t>
      </w:r>
    </w:p>
    <w:p w14:paraId="238A1677">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bCs w:val="0"/>
          <w:sz w:val="32"/>
          <w:szCs w:val="32"/>
        </w:rPr>
        <w:t>一是</w:t>
      </w:r>
      <w:r>
        <w:rPr>
          <w:rFonts w:hint="eastAsia" w:ascii="仿宋_GB2312" w:hAnsi="Times New Roman" w:eastAsia="仿宋_GB2312" w:cs="Times New Roman"/>
          <w:bCs/>
          <w:sz w:val="32"/>
          <w:szCs w:val="32"/>
        </w:rPr>
        <w:t>落实减税降费。全面落实“六税两费”减免、小规模纳税人增值税减免、小微企业所得税减免等多项税费优惠政策，</w:t>
      </w:r>
      <w:r>
        <w:rPr>
          <w:rFonts w:hint="eastAsia" w:ascii="仿宋_GB2312" w:hAnsi="Times New Roman" w:eastAsia="仿宋_GB2312" w:cs="Times New Roman"/>
          <w:bCs/>
          <w:sz w:val="32"/>
          <w:szCs w:val="32"/>
          <w:lang w:eastAsia="zh-CN"/>
        </w:rPr>
        <w:t>确保政策红利直达快享。全年各类市场主体</w:t>
      </w:r>
      <w:r>
        <w:rPr>
          <w:rFonts w:hint="eastAsia" w:ascii="仿宋_GB2312" w:hAnsi="Times New Roman" w:eastAsia="仿宋_GB2312" w:cs="Times New Roman"/>
          <w:bCs/>
          <w:sz w:val="32"/>
          <w:szCs w:val="32"/>
        </w:rPr>
        <w:t>累计享受税费</w:t>
      </w:r>
      <w:r>
        <w:rPr>
          <w:rFonts w:hint="eastAsia" w:ascii="仿宋_GB2312" w:hAnsi="Times New Roman" w:eastAsia="仿宋_GB2312" w:cs="Times New Roman"/>
          <w:bCs/>
          <w:sz w:val="32"/>
          <w:szCs w:val="32"/>
          <w:lang w:eastAsia="zh-CN"/>
        </w:rPr>
        <w:t>减免</w:t>
      </w:r>
      <w:r>
        <w:rPr>
          <w:rFonts w:hint="eastAsia" w:ascii="仿宋_GB2312" w:hAnsi="Times New Roman" w:eastAsia="仿宋_GB2312" w:cs="Times New Roman"/>
          <w:bCs/>
          <w:sz w:val="32"/>
          <w:szCs w:val="32"/>
          <w:lang w:val="en-US" w:eastAsia="zh-CN"/>
        </w:rPr>
        <w:t>3.72</w:t>
      </w:r>
      <w:r>
        <w:rPr>
          <w:rFonts w:hint="eastAsia" w:ascii="仿宋_GB2312" w:hAnsi="Times New Roman" w:eastAsia="仿宋_GB2312" w:cs="Times New Roman"/>
          <w:bCs/>
          <w:sz w:val="32"/>
          <w:szCs w:val="32"/>
        </w:rPr>
        <w:t>亿元，稳定了经济发展预期。</w:t>
      </w:r>
    </w:p>
    <w:p w14:paraId="26B600D6">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bCs w:val="0"/>
          <w:sz w:val="32"/>
          <w:szCs w:val="32"/>
        </w:rPr>
        <w:t>二是</w:t>
      </w:r>
      <w:r>
        <w:rPr>
          <w:rFonts w:hint="eastAsia" w:ascii="仿宋_GB2312" w:hAnsi="Times New Roman" w:eastAsia="仿宋_GB2312" w:cs="Times New Roman"/>
          <w:bCs/>
          <w:sz w:val="32"/>
          <w:szCs w:val="32"/>
        </w:rPr>
        <w:t>强化金融纾困。组建金融服务专员队伍，整合</w:t>
      </w:r>
      <w:r>
        <w:rPr>
          <w:rFonts w:hint="eastAsia" w:ascii="仿宋_GB2312" w:hAnsi="Times New Roman" w:eastAsia="仿宋_GB2312" w:cs="Times New Roman"/>
          <w:bCs/>
          <w:sz w:val="32"/>
          <w:szCs w:val="32"/>
          <w:lang w:eastAsia="zh-CN"/>
        </w:rPr>
        <w:t>县域内外</w:t>
      </w:r>
      <w:r>
        <w:rPr>
          <w:rFonts w:hint="eastAsia" w:ascii="仿宋_GB2312" w:hAnsi="Times New Roman" w:eastAsia="仿宋_GB2312" w:cs="Times New Roman"/>
          <w:bCs/>
          <w:sz w:val="32"/>
          <w:szCs w:val="32"/>
        </w:rPr>
        <w:t>银行、保险、证券</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担保</w:t>
      </w:r>
      <w:r>
        <w:rPr>
          <w:rFonts w:hint="eastAsia" w:ascii="仿宋_GB2312" w:hAnsi="Times New Roman" w:eastAsia="仿宋_GB2312" w:cs="Times New Roman"/>
          <w:bCs/>
          <w:sz w:val="32"/>
          <w:szCs w:val="32"/>
        </w:rPr>
        <w:t>等</w:t>
      </w:r>
      <w:r>
        <w:rPr>
          <w:rFonts w:hint="eastAsia" w:ascii="仿宋_GB2312" w:hAnsi="Times New Roman" w:eastAsia="仿宋_GB2312" w:cs="Times New Roman"/>
          <w:bCs/>
          <w:sz w:val="32"/>
          <w:szCs w:val="32"/>
          <w:lang w:val="en-US" w:eastAsia="zh-CN"/>
        </w:rPr>
        <w:t>机构力量，构建跨部门、跨区域协同服务机制，</w:t>
      </w:r>
      <w:r>
        <w:rPr>
          <w:rFonts w:hint="eastAsia" w:ascii="仿宋_GB2312" w:hAnsi="Times New Roman" w:eastAsia="仿宋_GB2312" w:cs="Times New Roman"/>
          <w:bCs/>
          <w:sz w:val="32"/>
          <w:szCs w:val="32"/>
        </w:rPr>
        <w:t>常态化开展银企对接，解决企业融资难题</w:t>
      </w:r>
      <w:r>
        <w:rPr>
          <w:rFonts w:hint="eastAsia" w:ascii="仿宋_GB2312" w:hAnsi="Times New Roman" w:eastAsia="仿宋_GB2312" w:cs="Times New Roman"/>
          <w:bCs/>
          <w:sz w:val="32"/>
          <w:szCs w:val="32"/>
          <w:lang w:val="en-US" w:eastAsia="zh-CN"/>
        </w:rPr>
        <w:t>35</w:t>
      </w:r>
      <w:r>
        <w:rPr>
          <w:rFonts w:hint="eastAsia" w:ascii="仿宋_GB2312" w:hAnsi="Times New Roman" w:eastAsia="仿宋_GB2312" w:cs="Times New Roman"/>
          <w:bCs/>
          <w:sz w:val="32"/>
          <w:szCs w:val="32"/>
        </w:rPr>
        <w:t>个，促成融资</w:t>
      </w:r>
      <w:r>
        <w:rPr>
          <w:rFonts w:hint="eastAsia" w:ascii="仿宋_GB2312" w:hAnsi="Times New Roman" w:eastAsia="仿宋_GB2312" w:cs="Times New Roman"/>
          <w:bCs/>
          <w:sz w:val="32"/>
          <w:szCs w:val="32"/>
          <w:lang w:val="en-US" w:eastAsia="zh-CN"/>
        </w:rPr>
        <w:t>15.76</w:t>
      </w:r>
      <w:r>
        <w:rPr>
          <w:rFonts w:hint="eastAsia" w:ascii="仿宋_GB2312" w:hAnsi="Times New Roman" w:eastAsia="仿宋_GB2312" w:cs="Times New Roman"/>
          <w:bCs/>
          <w:sz w:val="32"/>
          <w:szCs w:val="32"/>
        </w:rPr>
        <w:t>亿元，打通金融服务实体经济</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rPr>
        <w:t>最后一公里”。</w:t>
      </w:r>
    </w:p>
    <w:p w14:paraId="4F4B8C86">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
          <w:bCs w:val="0"/>
          <w:sz w:val="32"/>
          <w:szCs w:val="32"/>
        </w:rPr>
        <w:t>三是</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优化营商环境。围绕市场主体需求，扎实开展“万人助万企”等专项行动，深化“放管服”改革，</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2514</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项政务服务事项</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实现</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“一网通办”，办理时限平均缩短</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27</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%，企业制度性交易成本</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持续</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降低，营商环境持续向好。</w:t>
      </w:r>
    </w:p>
    <w:p w14:paraId="25854D87">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pPr>
      <w:r>
        <w:rPr>
          <w:rFonts w:hint="eastAsia" w:ascii="仿宋_GB2312" w:hAnsi="Times New Roman" w:eastAsia="仿宋_GB2312" w:cs="Times New Roman"/>
          <w:b/>
          <w:bCs w:val="0"/>
          <w:sz w:val="32"/>
          <w:szCs w:val="32"/>
        </w:rPr>
        <w:t>四是</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激发消费活力。抢抓大规模设备更新和消费品以旧换新政策机遇，综合运用财政补贴、奖补激励等政策工具，加大资金统筹与保障力度，支持家电、汽车、电子产品等大宗消费，发放补贴资金</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1480</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万元，带动消费落地</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8700</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余万元，为县域经济回升向好提供坚实支撑。</w:t>
      </w:r>
    </w:p>
    <w:p w14:paraId="7C20C1AD">
      <w:pPr>
        <w:keepNext w:val="0"/>
        <w:keepLines w:val="0"/>
        <w:pageBreakBefore w:val="0"/>
        <w:widowControl w:val="0"/>
        <w:numPr>
          <w:ilvl w:val="0"/>
          <w:numId w:val="1"/>
        </w:numPr>
        <w:kinsoku/>
        <w:wordWrap/>
        <w:overflowPunct/>
        <w:autoSpaceDE/>
        <w:autoSpaceDN w:val="0"/>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eastAsia="zh-CN"/>
        </w:rPr>
      </w:pPr>
      <w:r>
        <w:rPr>
          <w:rFonts w:hint="eastAsia" w:ascii="楷体_GB2312" w:hAnsi="楷体_GB2312" w:eastAsia="楷体_GB2312" w:cs="楷体_GB2312"/>
          <w:b/>
          <w:bCs/>
          <w:kern w:val="0"/>
          <w:sz w:val="32"/>
          <w:szCs w:val="32"/>
          <w:shd w:val="clear" w:color="auto" w:fill="FFFFFF"/>
          <w:lang w:eastAsia="zh-CN"/>
        </w:rPr>
        <w:t>聚力挖潜争资</w:t>
      </w:r>
      <w:r>
        <w:rPr>
          <w:rFonts w:hint="eastAsia" w:ascii="楷体_GB2312" w:hAnsi="楷体_GB2312" w:eastAsia="楷体_GB2312" w:cs="楷体_GB2312"/>
          <w:b/>
          <w:bCs/>
          <w:kern w:val="0"/>
          <w:sz w:val="32"/>
          <w:szCs w:val="32"/>
          <w:shd w:val="clear" w:color="auto" w:fill="FFFFFF"/>
        </w:rPr>
        <w:t>，</w:t>
      </w:r>
      <w:r>
        <w:rPr>
          <w:rFonts w:hint="eastAsia" w:ascii="楷体_GB2312" w:hAnsi="楷体_GB2312" w:eastAsia="楷体_GB2312" w:cs="楷体_GB2312"/>
          <w:b/>
          <w:bCs/>
          <w:kern w:val="0"/>
          <w:sz w:val="32"/>
          <w:szCs w:val="32"/>
          <w:shd w:val="clear" w:color="auto" w:fill="FFFFFF"/>
          <w:lang w:eastAsia="zh-CN"/>
        </w:rPr>
        <w:t>财政保障能力稳步提升</w:t>
      </w:r>
    </w:p>
    <w:p w14:paraId="5DBA9577">
      <w:pPr>
        <w:keepNext w:val="0"/>
        <w:keepLines w:val="0"/>
        <w:pageBreakBefore w:val="0"/>
        <w:widowControl w:val="0"/>
        <w:numPr>
          <w:ilvl w:val="0"/>
          <w:numId w:val="0"/>
        </w:numPr>
        <w:kinsoku/>
        <w:wordWrap/>
        <w:overflowPunct/>
        <w:autoSpaceDE/>
        <w:autoSpaceDN w:val="0"/>
        <w:bidi w:val="0"/>
        <w:spacing w:line="60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坚持向内挖潜、向上争取、向外拓源，全力以赴拓宽资金渠道，为全县高质量发展注入强劲财力动能。</w:t>
      </w:r>
    </w:p>
    <w:p w14:paraId="4B7E45B3">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_GB2312" w:hAnsi="仿宋_GB2312" w:eastAsia="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b/>
          <w:bCs/>
          <w:kern w:val="0"/>
          <w:sz w:val="32"/>
          <w:szCs w:val="32"/>
          <w:shd w:val="clear" w:color="auto" w:fill="FFFFFF"/>
          <w:lang w:eastAsia="zh-CN"/>
        </w:rPr>
        <w:t>一是协同配合强化征管。</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完善县乡财政管理体制，充分调动乡镇发展经济、培植税源的积极性、主动性；压实</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单位主体责任，</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健全自然资源、住建等部门协同共治机制，加强数据信息共享，强化税源动态监管和风险预警，形成联动</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合力，</w:t>
      </w:r>
      <w:r>
        <w:rPr>
          <w:rFonts w:hint="eastAsia" w:ascii="仿宋_GB2312" w:hAnsi="仿宋_GB2312"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切实</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做到应收尽收，为全县财政运行提供坚实保障。</w:t>
      </w:r>
    </w:p>
    <w:p w14:paraId="4A3AEF14">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bCs/>
          <w:kern w:val="0"/>
          <w:sz w:val="32"/>
          <w:szCs w:val="32"/>
          <w:shd w:val="clear" w:color="auto" w:fill="FFFFFF"/>
          <w:lang w:eastAsia="zh-CN"/>
        </w:rPr>
        <w:t>二</w:t>
      </w:r>
      <w:r>
        <w:rPr>
          <w:rFonts w:hint="eastAsia" w:ascii="仿宋" w:hAnsi="仿宋" w:eastAsia="仿宋" w:cs="仿宋"/>
          <w:b/>
          <w:bCs/>
          <w:kern w:val="0"/>
          <w:sz w:val="32"/>
          <w:szCs w:val="32"/>
          <w:shd w:val="clear" w:color="auto" w:fill="FFFFFF"/>
        </w:rPr>
        <w:t>是高效</w:t>
      </w:r>
      <w:r>
        <w:rPr>
          <w:rFonts w:hint="eastAsia" w:ascii="仿宋" w:hAnsi="仿宋" w:eastAsia="仿宋" w:cs="仿宋"/>
          <w:b/>
          <w:bCs/>
          <w:kern w:val="0"/>
          <w:sz w:val="32"/>
          <w:szCs w:val="32"/>
          <w:shd w:val="clear" w:color="auto" w:fill="FFFFFF"/>
          <w:lang w:eastAsia="zh-CN"/>
        </w:rPr>
        <w:t>争取</w:t>
      </w:r>
      <w:r>
        <w:rPr>
          <w:rFonts w:hint="eastAsia" w:ascii="仿宋" w:hAnsi="仿宋" w:eastAsia="仿宋" w:cs="仿宋"/>
          <w:b/>
          <w:bCs/>
          <w:kern w:val="0"/>
          <w:sz w:val="32"/>
          <w:szCs w:val="32"/>
          <w:shd w:val="clear" w:color="auto" w:fill="FFFFFF"/>
        </w:rPr>
        <w:t>专项债券。</w:t>
      </w:r>
      <w:r>
        <w:rPr>
          <w:rFonts w:hint="eastAsia" w:ascii="仿宋_GB2312" w:hAnsi="Times New Roman" w:eastAsia="仿宋_GB2312" w:cs="Times New Roman"/>
          <w:bCs/>
          <w:sz w:val="32"/>
          <w:szCs w:val="32"/>
          <w:lang w:eastAsia="zh-CN"/>
        </w:rPr>
        <w:t>坚持“项目跟着政策走、资金跟着项目走”，提前做深项目申报前期工作</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，围绕县域发展需求储备优质项目，提高申报精准性与成功率；同时利用专项债券利率低、周期长的优势，置换存量隐性债务，减轻债务负担。全年共争取专项债券</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11.21</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亿元，较上年增加</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4600万元，创历史最高，为全县重点事业发展和债务化解提供了有力保障。</w:t>
      </w:r>
    </w:p>
    <w:p w14:paraId="17ED0E33">
      <w:pPr>
        <w:keepNext w:val="0"/>
        <w:keepLines w:val="0"/>
        <w:pageBreakBefore w:val="0"/>
        <w:widowControl w:val="0"/>
        <w:numPr>
          <w:ilvl w:val="0"/>
          <w:numId w:val="0"/>
        </w:numPr>
        <w:kinsoku/>
        <w:wordWrap/>
        <w:overflowPunct/>
        <w:autoSpaceDE/>
        <w:autoSpaceDN w:val="0"/>
        <w:bidi w:val="0"/>
        <w:spacing w:line="600" w:lineRule="exact"/>
        <w:ind w:firstLine="643" w:firstLineChars="200"/>
        <w:textAlignment w:val="auto"/>
        <w:rPr>
          <w:rFonts w:hint="eastAsia" w:ascii="仿宋_GB2312" w:hAnsi="Times New Roman" w:eastAsia="仿宋_GB2312" w:cs="Times New Roman"/>
          <w:bCs/>
          <w:color w:val="auto"/>
          <w:sz w:val="32"/>
          <w:szCs w:val="32"/>
        </w:rPr>
      </w:pPr>
      <w:r>
        <w:rPr>
          <w:rFonts w:hint="eastAsia" w:ascii="仿宋" w:hAnsi="仿宋" w:eastAsia="仿宋" w:cs="仿宋"/>
          <w:b/>
          <w:bCs/>
          <w:kern w:val="0"/>
          <w:sz w:val="32"/>
          <w:szCs w:val="32"/>
          <w:shd w:val="clear" w:color="auto" w:fill="FFFFFF"/>
          <w:lang w:eastAsia="zh-CN"/>
        </w:rPr>
        <w:t>三</w:t>
      </w:r>
      <w:r>
        <w:rPr>
          <w:rFonts w:hint="eastAsia" w:ascii="仿宋" w:hAnsi="仿宋" w:eastAsia="仿宋" w:cs="仿宋"/>
          <w:b/>
          <w:bCs/>
          <w:kern w:val="0"/>
          <w:sz w:val="32"/>
          <w:szCs w:val="32"/>
          <w:shd w:val="clear" w:color="auto" w:fill="FFFFFF"/>
        </w:rPr>
        <w:t>是</w:t>
      </w:r>
      <w:r>
        <w:rPr>
          <w:rFonts w:hint="eastAsia" w:ascii="仿宋" w:hAnsi="仿宋" w:eastAsia="仿宋" w:cs="仿宋"/>
          <w:b/>
          <w:bCs/>
          <w:kern w:val="0"/>
          <w:sz w:val="32"/>
          <w:szCs w:val="32"/>
          <w:shd w:val="clear" w:color="auto" w:fill="FFFFFF"/>
          <w:lang w:eastAsia="zh-CN"/>
        </w:rPr>
        <w:t>精准</w:t>
      </w:r>
      <w:r>
        <w:rPr>
          <w:rFonts w:hint="eastAsia" w:ascii="仿宋" w:hAnsi="仿宋" w:eastAsia="仿宋" w:cs="仿宋"/>
          <w:b/>
          <w:bCs/>
          <w:kern w:val="0"/>
          <w:sz w:val="32"/>
          <w:szCs w:val="32"/>
          <w:shd w:val="clear" w:color="auto" w:fill="FFFFFF"/>
        </w:rPr>
        <w:t>争取</w:t>
      </w:r>
      <w:r>
        <w:rPr>
          <w:rFonts w:hint="eastAsia" w:ascii="仿宋" w:hAnsi="仿宋" w:eastAsia="仿宋" w:cs="仿宋"/>
          <w:b/>
          <w:bCs/>
          <w:kern w:val="0"/>
          <w:sz w:val="32"/>
          <w:szCs w:val="32"/>
          <w:shd w:val="clear" w:color="auto" w:fill="FFFFFF"/>
          <w:lang w:eastAsia="zh-CN"/>
        </w:rPr>
        <w:t>预算内投资</w:t>
      </w:r>
      <w:r>
        <w:rPr>
          <w:rFonts w:hint="eastAsia" w:ascii="仿宋" w:hAnsi="仿宋" w:eastAsia="仿宋" w:cs="仿宋"/>
          <w:b/>
          <w:bCs/>
          <w:kern w:val="0"/>
          <w:sz w:val="32"/>
          <w:szCs w:val="32"/>
          <w:shd w:val="clear" w:color="auto" w:fill="FFFFFF"/>
        </w:rPr>
        <w:t>。</w:t>
      </w:r>
      <w:r>
        <w:rPr>
          <w:rFonts w:hint="eastAsia" w:ascii="仿宋_GB2312" w:hAnsi="Times New Roman" w:eastAsia="仿宋_GB2312" w:cs="Times New Roman"/>
          <w:bCs/>
          <w:sz w:val="32"/>
          <w:szCs w:val="32"/>
        </w:rPr>
        <w:t>建立与上级发改、财政部门常态化汇报沟通机制，</w:t>
      </w:r>
      <w:r>
        <w:rPr>
          <w:rFonts w:hint="eastAsia" w:ascii="仿宋_GB2312" w:hAnsi="Times New Roman" w:eastAsia="仿宋_GB2312" w:cs="Times New Roman"/>
          <w:bCs/>
          <w:sz w:val="32"/>
          <w:szCs w:val="32"/>
          <w:lang w:eastAsia="zh-CN"/>
        </w:rPr>
        <w:t>深入研究上级各类文件精神，</w:t>
      </w:r>
      <w:r>
        <w:rPr>
          <w:rFonts w:hint="eastAsia" w:ascii="仿宋_GB2312" w:hAnsi="Times New Roman" w:eastAsia="仿宋_GB2312" w:cs="Times New Roman"/>
          <w:bCs/>
          <w:sz w:val="32"/>
          <w:szCs w:val="32"/>
        </w:rPr>
        <w:t>精准匹配“上级需求与县域资源”</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rPr>
        <w:t>统筹各部门力量协同谋划</w:t>
      </w:r>
      <w:r>
        <w:rPr>
          <w:rFonts w:hint="eastAsia" w:ascii="仿宋_GB2312" w:hAnsi="Times New Roman" w:eastAsia="仿宋_GB2312" w:cs="Times New Roman"/>
          <w:bCs/>
          <w:sz w:val="32"/>
          <w:szCs w:val="32"/>
          <w:lang w:eastAsia="zh-CN"/>
        </w:rPr>
        <w:t>申报</w:t>
      </w:r>
      <w:r>
        <w:rPr>
          <w:rFonts w:hint="eastAsia" w:ascii="仿宋_GB2312" w:hAnsi="Times New Roman" w:eastAsia="仿宋_GB2312" w:cs="Times New Roman"/>
          <w:bCs/>
          <w:sz w:val="32"/>
          <w:szCs w:val="32"/>
        </w:rPr>
        <w:t>项目。</w:t>
      </w:r>
      <w:r>
        <w:rPr>
          <w:rFonts w:hint="eastAsia" w:ascii="仿宋_GB2312" w:hAnsi="Times New Roman" w:eastAsia="仿宋_GB2312" w:cs="Times New Roman"/>
          <w:bCs/>
          <w:sz w:val="32"/>
          <w:szCs w:val="32"/>
          <w:lang w:val="en-US" w:eastAsia="zh-CN"/>
        </w:rPr>
        <w:t>2025年度</w:t>
      </w:r>
      <w:r>
        <w:rPr>
          <w:rFonts w:hint="eastAsia" w:ascii="仿宋_GB2312" w:hAnsi="Times New Roman" w:eastAsia="仿宋_GB2312" w:cs="Times New Roman"/>
          <w:bCs/>
          <w:color w:val="auto"/>
          <w:sz w:val="32"/>
          <w:szCs w:val="32"/>
        </w:rPr>
        <w:t>争取中央预算内投资</w:t>
      </w:r>
      <w:r>
        <w:rPr>
          <w:rFonts w:hint="eastAsia" w:ascii="仿宋_GB2312" w:hAnsi="Times New Roman" w:eastAsia="仿宋_GB2312" w:cs="Times New Roman"/>
          <w:bCs/>
          <w:color w:val="auto"/>
          <w:sz w:val="32"/>
          <w:szCs w:val="32"/>
          <w:lang w:val="en-US" w:eastAsia="zh-CN"/>
        </w:rPr>
        <w:t>2.63</w:t>
      </w:r>
      <w:r>
        <w:rPr>
          <w:rFonts w:hint="eastAsia" w:ascii="仿宋_GB2312" w:hAnsi="Times New Roman" w:eastAsia="仿宋_GB2312" w:cs="Times New Roman"/>
          <w:bCs/>
          <w:color w:val="auto"/>
          <w:sz w:val="32"/>
          <w:szCs w:val="32"/>
        </w:rPr>
        <w:t>亿元</w:t>
      </w:r>
      <w:r>
        <w:rPr>
          <w:rFonts w:hint="eastAsia" w:ascii="仿宋_GB2312" w:hAnsi="Times New Roman" w:eastAsia="仿宋_GB2312" w:cs="Times New Roman"/>
          <w:bCs/>
          <w:color w:val="auto"/>
          <w:sz w:val="32"/>
          <w:szCs w:val="32"/>
          <w:lang w:val="en-US" w:eastAsia="zh-CN"/>
        </w:rPr>
        <w:t>，其中：</w:t>
      </w:r>
      <w:r>
        <w:rPr>
          <w:rFonts w:hint="eastAsia" w:ascii="仿宋_GB2312" w:hAnsi="Times New Roman" w:eastAsia="仿宋_GB2312" w:cs="Times New Roman"/>
          <w:bCs/>
          <w:color w:val="auto"/>
          <w:sz w:val="32"/>
          <w:szCs w:val="32"/>
        </w:rPr>
        <w:t>“两新”资金</w:t>
      </w:r>
      <w:r>
        <w:rPr>
          <w:rFonts w:hint="eastAsia" w:ascii="仿宋_GB2312" w:hAnsi="Times New Roman" w:eastAsia="仿宋_GB2312" w:cs="Times New Roman"/>
          <w:bCs/>
          <w:color w:val="auto"/>
          <w:sz w:val="32"/>
          <w:szCs w:val="32"/>
          <w:lang w:val="en-US" w:eastAsia="zh-CN"/>
        </w:rPr>
        <w:t>5821</w:t>
      </w:r>
      <w:r>
        <w:rPr>
          <w:rFonts w:hint="eastAsia" w:ascii="仿宋_GB2312" w:hAnsi="Times New Roman" w:eastAsia="仿宋_GB2312" w:cs="Times New Roman"/>
          <w:bCs/>
          <w:color w:val="auto"/>
          <w:sz w:val="32"/>
          <w:szCs w:val="32"/>
        </w:rPr>
        <w:t>万元，“两重”资金</w:t>
      </w:r>
      <w:r>
        <w:rPr>
          <w:rFonts w:hint="eastAsia" w:ascii="仿宋_GB2312" w:hAnsi="Times New Roman" w:eastAsia="仿宋_GB2312" w:cs="Times New Roman"/>
          <w:bCs/>
          <w:color w:val="auto"/>
          <w:sz w:val="32"/>
          <w:szCs w:val="32"/>
          <w:lang w:val="en-US" w:eastAsia="zh-CN"/>
        </w:rPr>
        <w:t>2648</w:t>
      </w:r>
      <w:r>
        <w:rPr>
          <w:rFonts w:hint="eastAsia" w:ascii="仿宋_GB2312" w:hAnsi="Times New Roman" w:eastAsia="仿宋_GB2312" w:cs="Times New Roman"/>
          <w:bCs/>
          <w:color w:val="auto"/>
          <w:sz w:val="32"/>
          <w:szCs w:val="32"/>
        </w:rPr>
        <w:t>万元</w:t>
      </w:r>
      <w:r>
        <w:rPr>
          <w:rFonts w:hint="eastAsia" w:ascii="仿宋_GB2312" w:hAnsi="Times New Roman" w:eastAsia="仿宋_GB2312" w:cs="Times New Roman"/>
          <w:bCs/>
          <w:color w:val="auto"/>
          <w:sz w:val="32"/>
          <w:szCs w:val="32"/>
          <w:lang w:eastAsia="zh-CN"/>
        </w:rPr>
        <w:t>，</w:t>
      </w:r>
      <w:r>
        <w:rPr>
          <w:rFonts w:hint="eastAsia" w:ascii="仿宋_GB2312" w:hAnsi="Times New Roman" w:eastAsia="仿宋_GB2312" w:cs="Times New Roman"/>
          <w:bCs/>
          <w:color w:val="auto"/>
          <w:sz w:val="32"/>
          <w:szCs w:val="32"/>
          <w:lang w:val="en-US" w:eastAsia="zh-CN"/>
        </w:rPr>
        <w:t>有力推动</w:t>
      </w:r>
      <w:r>
        <w:rPr>
          <w:rFonts w:hint="eastAsia" w:ascii="仿宋_GB2312" w:hAnsi="Times New Roman" w:eastAsia="仿宋_GB2312" w:cs="Times New Roman"/>
          <w:bCs/>
          <w:color w:val="auto"/>
          <w:sz w:val="32"/>
          <w:szCs w:val="32"/>
        </w:rPr>
        <w:t>县域经济社会高质量发展。</w:t>
      </w:r>
    </w:p>
    <w:p w14:paraId="1953B18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bidi w:val="0"/>
        <w:spacing w:before="0" w:beforeAutospacing="0" w:after="0" w:afterAutospacing="0" w:line="600" w:lineRule="exact"/>
        <w:ind w:left="0" w:leftChars="0" w:right="0" w:rightChars="0" w:firstLine="643" w:firstLineChars="200"/>
        <w:jc w:val="both"/>
        <w:textAlignment w:val="auto"/>
        <w:rPr>
          <w:rFonts w:hint="eastAsia" w:ascii="仿宋_GB2312" w:hAnsi="Times New Roman" w:eastAsia="仿宋_GB2312" w:cs="Times New Roman"/>
          <w:bCs/>
          <w:color w:val="auto"/>
          <w:kern w:val="2"/>
          <w:sz w:val="32"/>
          <w:szCs w:val="32"/>
          <w:lang w:val="en-US" w:eastAsia="zh-CN" w:bidi="ar-SA"/>
        </w:rPr>
      </w:pPr>
      <w:r>
        <w:rPr>
          <w:rFonts w:hint="eastAsia" w:ascii="仿宋" w:hAnsi="仿宋" w:eastAsia="仿宋" w:cs="仿宋"/>
          <w:b/>
          <w:bCs/>
          <w:kern w:val="0"/>
          <w:sz w:val="32"/>
          <w:szCs w:val="32"/>
          <w:shd w:val="clear" w:color="auto" w:fill="FFFFFF"/>
          <w:lang w:val="en-US" w:eastAsia="zh-CN" w:bidi="ar-SA"/>
        </w:rPr>
        <w:t>四是盘活存量资产资源。</w:t>
      </w:r>
      <w:r>
        <w:rPr>
          <w:rFonts w:hint="eastAsia" w:ascii="仿宋_GB2312" w:hAnsi="Times New Roman" w:eastAsia="仿宋_GB2312" w:cs="Times New Roman"/>
          <w:bCs/>
          <w:color w:val="auto"/>
          <w:kern w:val="2"/>
          <w:sz w:val="32"/>
          <w:szCs w:val="32"/>
          <w:lang w:val="en-US" w:eastAsia="zh-CN" w:bidi="ar-SA"/>
        </w:rPr>
        <w:t>对全县行政事业单位、国企资产资源进行摸底清查，分类建立台账，通过“用、租、售、融”等方式，发挥财政效益。重点推进建投棚改房、水库、热力等闲置资产盘活利用，全年盘活存量房254套，盘活资金1.46亿元；争取农发行水利提升项目资金1.2亿元，有效提升财政资金使用效益。</w:t>
      </w:r>
    </w:p>
    <w:p w14:paraId="351189EF">
      <w:pPr>
        <w:keepNext w:val="0"/>
        <w:keepLines w:val="0"/>
        <w:pageBreakBefore w:val="0"/>
        <w:widowControl w:val="0"/>
        <w:numPr>
          <w:ilvl w:val="0"/>
          <w:numId w:val="0"/>
        </w:numPr>
        <w:suppressAutoHyphens/>
        <w:kinsoku/>
        <w:wordWrap/>
        <w:overflowPunct/>
        <w:autoSpaceDE/>
        <w:autoSpaceDN w:val="0"/>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（三）聚力民生保障，公共服务水平全面提质</w:t>
      </w:r>
    </w:p>
    <w:p w14:paraId="312116DD">
      <w:pPr>
        <w:keepNext w:val="0"/>
        <w:keepLines w:val="0"/>
        <w:pageBreakBefore w:val="0"/>
        <w:widowControl w:val="0"/>
        <w:suppressAutoHyphens/>
        <w:kinsoku/>
        <w:wordWrap/>
        <w:overflowPunct/>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始终坚持以人民为中心，</w:t>
      </w:r>
      <w:r>
        <w:rPr>
          <w:rFonts w:hint="eastAsia" w:ascii="仿宋_GB2312" w:hAnsi="Times New Roman" w:eastAsia="仿宋_GB2312" w:cs="Times New Roman"/>
          <w:sz w:val="32"/>
          <w:szCs w:val="32"/>
          <w:lang w:eastAsia="zh-CN"/>
        </w:rPr>
        <w:t>优先保障</w:t>
      </w:r>
      <w:r>
        <w:rPr>
          <w:rFonts w:hint="eastAsia" w:ascii="仿宋_GB2312" w:hAnsi="Times New Roman" w:eastAsia="仿宋_GB2312" w:cs="Times New Roman"/>
          <w:sz w:val="32"/>
          <w:szCs w:val="32"/>
        </w:rPr>
        <w:t>民生支出，</w:t>
      </w:r>
      <w:r>
        <w:rPr>
          <w:rFonts w:hint="eastAsia" w:ascii="仿宋_GB2312" w:hAnsi="Times New Roman" w:eastAsia="仿宋_GB2312" w:cs="Times New Roman"/>
          <w:sz w:val="32"/>
          <w:szCs w:val="32"/>
          <w:lang w:eastAsia="zh-CN"/>
        </w:rPr>
        <w:t>用心用情办好民生实事，</w:t>
      </w:r>
      <w:r>
        <w:rPr>
          <w:rFonts w:hint="eastAsia" w:ascii="仿宋_GB2312" w:hAnsi="Times New Roman" w:eastAsia="仿宋_GB2312" w:cs="Times New Roman"/>
          <w:sz w:val="32"/>
          <w:szCs w:val="32"/>
        </w:rPr>
        <w:t>全年民生支出达24.1亿元，占一般公共预算支出比重70%</w:t>
      </w:r>
      <w:r>
        <w:rPr>
          <w:rFonts w:hint="eastAsia" w:ascii="仿宋_GB2312" w:hAnsi="Times New Roman" w:eastAsia="仿宋_GB2312" w:cs="Times New Roman"/>
          <w:sz w:val="32"/>
          <w:szCs w:val="32"/>
          <w:lang w:eastAsia="zh-CN"/>
        </w:rPr>
        <w:t>。</w:t>
      </w:r>
    </w:p>
    <w:p w14:paraId="25053D35">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bCs/>
          <w:sz w:val="32"/>
          <w:szCs w:val="32"/>
          <w:lang w:val="en-US" w:eastAsia="zh-CN"/>
        </w:rPr>
        <w:t>一是</w:t>
      </w:r>
      <w:r>
        <w:rPr>
          <w:rFonts w:hint="eastAsia" w:ascii="仿宋_GB2312" w:hAnsi="Times New Roman" w:eastAsia="仿宋_GB2312" w:cs="Times New Roman"/>
          <w:sz w:val="32"/>
          <w:szCs w:val="32"/>
        </w:rPr>
        <w:t>聚焦教育提质，筑牢公平优质发展根基</w:t>
      </w:r>
      <w:r>
        <w:rPr>
          <w:rFonts w:hint="eastAsia" w:ascii="仿宋_GB2312" w:hAnsi="Times New Roman" w:eastAsia="仿宋_GB2312" w:cs="Times New Roman"/>
          <w:sz w:val="32"/>
          <w:szCs w:val="32"/>
          <w:lang w:eastAsia="zh-CN"/>
        </w:rPr>
        <w:t>。严格落实“两个只增不减”要求，持续巩固城乡教育经费保障机制，</w:t>
      </w:r>
      <w:r>
        <w:rPr>
          <w:rFonts w:hint="eastAsia" w:ascii="仿宋_GB2312" w:hAnsi="Times New Roman" w:eastAsia="仿宋_GB2312" w:cs="Times New Roman"/>
          <w:sz w:val="32"/>
          <w:szCs w:val="32"/>
        </w:rPr>
        <w:t>全年教育</w:t>
      </w:r>
      <w:r>
        <w:rPr>
          <w:rFonts w:hint="eastAsia" w:ascii="仿宋_GB2312" w:hAnsi="Times New Roman" w:eastAsia="仿宋_GB2312" w:cs="Times New Roman"/>
          <w:sz w:val="32"/>
          <w:szCs w:val="32"/>
          <w:lang w:eastAsia="zh-CN"/>
        </w:rPr>
        <w:t>支出达</w:t>
      </w:r>
      <w:r>
        <w:rPr>
          <w:rFonts w:hint="eastAsia" w:ascii="仿宋_GB2312" w:hAnsi="Times New Roman" w:eastAsia="仿宋_GB2312" w:cs="Times New Roman"/>
          <w:sz w:val="32"/>
          <w:szCs w:val="32"/>
        </w:rPr>
        <w:t>7.62亿元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发放</w:t>
      </w:r>
      <w:r>
        <w:rPr>
          <w:rFonts w:hint="eastAsia" w:ascii="仿宋_GB2312" w:hAnsi="Times New Roman" w:eastAsia="仿宋_GB2312" w:cs="Times New Roman"/>
          <w:sz w:val="32"/>
          <w:szCs w:val="32"/>
          <w:lang w:eastAsia="zh-CN"/>
        </w:rPr>
        <w:t>困难学生</w:t>
      </w:r>
      <w:r>
        <w:rPr>
          <w:rFonts w:hint="eastAsia" w:ascii="仿宋_GB2312" w:hAnsi="Times New Roman" w:eastAsia="仿宋_GB2312" w:cs="Times New Roman"/>
          <w:sz w:val="32"/>
          <w:szCs w:val="32"/>
        </w:rPr>
        <w:t>资助金1662</w:t>
      </w:r>
      <w:r>
        <w:rPr>
          <w:rFonts w:hint="eastAsia" w:ascii="仿宋_GB2312" w:hAnsi="Times New Roman" w:eastAsia="仿宋_GB2312" w:cs="Times New Roman"/>
          <w:sz w:val="32"/>
          <w:szCs w:val="32"/>
          <w:lang w:eastAsia="zh-CN"/>
        </w:rPr>
        <w:t>万元，</w:t>
      </w:r>
      <w:r>
        <w:rPr>
          <w:rFonts w:hint="eastAsia" w:ascii="仿宋_GB2312" w:hAnsi="Times New Roman" w:eastAsia="仿宋_GB2312" w:cs="Times New Roman"/>
          <w:sz w:val="32"/>
          <w:szCs w:val="32"/>
        </w:rPr>
        <w:t>覆盖学生29832人次</w:t>
      </w:r>
      <w:r>
        <w:rPr>
          <w:rFonts w:hint="eastAsia" w:ascii="仿宋_GB2312" w:hAnsi="Times New Roman" w:eastAsia="仿宋_GB2312" w:cs="Times New Roman"/>
          <w:sz w:val="32"/>
          <w:szCs w:val="32"/>
          <w:lang w:eastAsia="zh-CN"/>
        </w:rPr>
        <w:t>；投入</w:t>
      </w:r>
      <w:r>
        <w:rPr>
          <w:rFonts w:hint="eastAsia" w:ascii="仿宋_GB2312" w:hAnsi="Times New Roman" w:eastAsia="仿宋_GB2312" w:cs="Times New Roman"/>
          <w:sz w:val="32"/>
          <w:szCs w:val="32"/>
          <w:lang w:val="en-US" w:eastAsia="zh-CN"/>
        </w:rPr>
        <w:t>380万元足额</w:t>
      </w:r>
      <w:r>
        <w:rPr>
          <w:rFonts w:hint="eastAsia" w:ascii="仿宋_GB2312" w:hAnsi="Times New Roman" w:eastAsia="仿宋_GB2312" w:cs="Times New Roman"/>
          <w:sz w:val="32"/>
          <w:szCs w:val="32"/>
          <w:lang w:eastAsia="zh-CN"/>
        </w:rPr>
        <w:t>落实大班免保教费政策，</w:t>
      </w:r>
      <w:r>
        <w:rPr>
          <w:rFonts w:hint="eastAsia" w:ascii="仿宋_GB2312" w:hAnsi="Times New Roman" w:eastAsia="仿宋_GB2312" w:cs="Times New Roman"/>
          <w:sz w:val="32"/>
          <w:szCs w:val="32"/>
          <w:lang w:val="en-US" w:eastAsia="zh-CN"/>
        </w:rPr>
        <w:t>惠及</w:t>
      </w:r>
      <w:r>
        <w:rPr>
          <w:rFonts w:hint="eastAsia" w:ascii="仿宋_GB2312" w:hAnsi="Times New Roman" w:eastAsia="仿宋_GB2312" w:cs="Times New Roman"/>
          <w:sz w:val="32"/>
          <w:szCs w:val="32"/>
          <w:lang w:eastAsia="zh-CN"/>
        </w:rPr>
        <w:t>全县2843名幼儿；投入</w:t>
      </w:r>
      <w:r>
        <w:rPr>
          <w:rFonts w:hint="eastAsia" w:ascii="仿宋_GB2312" w:hAnsi="Times New Roman" w:eastAsia="仿宋_GB2312" w:cs="Times New Roman"/>
          <w:sz w:val="32"/>
          <w:szCs w:val="32"/>
          <w:lang w:val="en-US" w:eastAsia="zh-CN"/>
        </w:rPr>
        <w:t>4600余万元全面</w:t>
      </w:r>
      <w:r>
        <w:rPr>
          <w:rFonts w:hint="eastAsia" w:ascii="仿宋_GB2312" w:hAnsi="Times New Roman" w:eastAsia="仿宋_GB2312" w:cs="Times New Roman"/>
          <w:sz w:val="32"/>
          <w:szCs w:val="32"/>
          <w:lang w:eastAsia="zh-CN"/>
        </w:rPr>
        <w:t>实施新兴小学、仁村乡中等学校教学及配套设施提升项目，教育发展的薄弱环节和关键领域得到重点保障。</w:t>
      </w:r>
    </w:p>
    <w:p w14:paraId="1855F9A8">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lang w:val="en-US" w:eastAsia="zh-CN"/>
        </w:rPr>
        <w:t>二是</w:t>
      </w:r>
      <w:r>
        <w:rPr>
          <w:rFonts w:hint="eastAsia" w:ascii="仿宋_GB2312" w:hAnsi="Times New Roman" w:eastAsia="仿宋_GB2312" w:cs="Times New Roman"/>
          <w:sz w:val="32"/>
          <w:szCs w:val="32"/>
        </w:rPr>
        <w:t>聚焦医疗惠民，完善公共卫生服务体系</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全年卫生健康支出2.27亿元，重点</w:t>
      </w:r>
      <w:r>
        <w:rPr>
          <w:rFonts w:hint="eastAsia" w:ascii="仿宋_GB2312" w:hAnsi="Times New Roman" w:eastAsia="仿宋_GB2312" w:cs="Times New Roman"/>
          <w:sz w:val="32"/>
          <w:szCs w:val="32"/>
          <w:lang w:eastAsia="zh-CN"/>
        </w:rPr>
        <w:t>支持</w:t>
      </w:r>
      <w:r>
        <w:rPr>
          <w:rFonts w:hint="eastAsia" w:ascii="仿宋_GB2312" w:hAnsi="Times New Roman" w:eastAsia="仿宋_GB2312" w:cs="Times New Roman"/>
          <w:sz w:val="32"/>
          <w:szCs w:val="32"/>
        </w:rPr>
        <w:t>基本公共卫生服务、医疗保障提标、基础设施建设及公立医院综合改革等工作，城乡居民基本医疗保险财政补助标准由每人每年700元提高至730元，基本公共卫生服务经费人均财政补助标准从94元提高至99元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发放育儿补贴1900余万元，惠及群众6056人，助力优化生育政策落地见效</w:t>
      </w:r>
      <w:r>
        <w:rPr>
          <w:rFonts w:hint="eastAsia" w:ascii="仿宋_GB2312" w:hAnsi="Times New Roman" w:eastAsia="仿宋_GB2312" w:cs="Times New Roman"/>
          <w:sz w:val="32"/>
          <w:szCs w:val="32"/>
        </w:rPr>
        <w:t>。</w:t>
      </w:r>
    </w:p>
    <w:p w14:paraId="3BAC5316">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bCs/>
          <w:sz w:val="32"/>
          <w:szCs w:val="32"/>
          <w:lang w:val="en-US" w:eastAsia="zh-CN"/>
        </w:rPr>
        <w:t>三是</w:t>
      </w:r>
      <w:r>
        <w:rPr>
          <w:rFonts w:hint="eastAsia" w:ascii="仿宋_GB2312" w:hAnsi="Times New Roman" w:eastAsia="仿宋_GB2312" w:cs="Times New Roman"/>
          <w:sz w:val="32"/>
          <w:szCs w:val="32"/>
        </w:rPr>
        <w:t>聚焦兜底保障，持续增进民生福祉</w:t>
      </w:r>
      <w:r>
        <w:rPr>
          <w:rFonts w:hint="eastAsia" w:ascii="仿宋_GB2312" w:hAnsi="Times New Roman" w:eastAsia="仿宋_GB2312" w:cs="Times New Roman"/>
          <w:sz w:val="32"/>
          <w:szCs w:val="32"/>
          <w:lang w:eastAsia="zh-CN"/>
        </w:rPr>
        <w:t>。统筹安排</w:t>
      </w:r>
      <w:r>
        <w:rPr>
          <w:rFonts w:hint="eastAsia" w:ascii="仿宋_GB2312" w:hAnsi="Times New Roman" w:eastAsia="仿宋_GB2312" w:cs="Times New Roman"/>
          <w:sz w:val="32"/>
          <w:szCs w:val="32"/>
          <w:lang w:val="en-US" w:eastAsia="zh-CN"/>
        </w:rPr>
        <w:t>4.36亿元</w:t>
      </w:r>
      <w:r>
        <w:rPr>
          <w:rFonts w:hint="eastAsia" w:ascii="仿宋_GB2312" w:hAnsi="Times New Roman" w:eastAsia="仿宋_GB2312" w:cs="Times New Roman"/>
          <w:sz w:val="32"/>
          <w:szCs w:val="32"/>
        </w:rPr>
        <w:t>精准落实</w:t>
      </w:r>
      <w:r>
        <w:rPr>
          <w:rFonts w:hint="eastAsia" w:ascii="仿宋_GB2312" w:hAnsi="Times New Roman" w:eastAsia="仿宋_GB2312" w:cs="Times New Roman"/>
          <w:sz w:val="32"/>
          <w:szCs w:val="32"/>
          <w:lang w:eastAsia="zh-CN"/>
        </w:rPr>
        <w:t>各项</w:t>
      </w:r>
      <w:r>
        <w:rPr>
          <w:rFonts w:hint="eastAsia" w:ascii="仿宋_GB2312" w:hAnsi="Times New Roman" w:eastAsia="仿宋_GB2312" w:cs="Times New Roman"/>
          <w:sz w:val="32"/>
          <w:szCs w:val="32"/>
        </w:rPr>
        <w:t>社会保障政策，筑牢困难群众生活防线。</w:t>
      </w:r>
      <w:r>
        <w:rPr>
          <w:rFonts w:hint="eastAsia" w:ascii="仿宋_GB2312" w:hAnsi="Times New Roman" w:eastAsia="仿宋_GB2312" w:cs="Times New Roman"/>
          <w:sz w:val="32"/>
          <w:szCs w:val="32"/>
          <w:lang w:eastAsia="zh-CN"/>
        </w:rPr>
        <w:t>其中：</w:t>
      </w:r>
      <w:r>
        <w:rPr>
          <w:rFonts w:hint="eastAsia" w:ascii="仿宋_GB2312" w:hAnsi="Times New Roman" w:eastAsia="仿宋_GB2312" w:cs="Times New Roman"/>
          <w:sz w:val="32"/>
          <w:szCs w:val="32"/>
        </w:rPr>
        <w:t>安排养老保险资金</w:t>
      </w:r>
      <w:r>
        <w:rPr>
          <w:rFonts w:hint="eastAsia" w:ascii="仿宋_GB2312" w:hAnsi="Times New Roman" w:eastAsia="仿宋_GB2312" w:cs="Times New Roman"/>
          <w:color w:val="auto"/>
          <w:sz w:val="32"/>
          <w:szCs w:val="32"/>
          <w:lang w:val="en-US" w:eastAsia="zh-CN"/>
        </w:rPr>
        <w:t>3.3</w:t>
      </w:r>
      <w:r>
        <w:rPr>
          <w:rFonts w:hint="eastAsia" w:ascii="仿宋_GB2312" w:hAnsi="Times New Roman" w:eastAsia="仿宋_GB2312" w:cs="Times New Roman"/>
          <w:color w:val="auto"/>
          <w:sz w:val="32"/>
          <w:szCs w:val="32"/>
        </w:rPr>
        <w:t>亿元，</w:t>
      </w:r>
      <w:r>
        <w:rPr>
          <w:rFonts w:hint="eastAsia" w:ascii="仿宋_GB2312" w:hAnsi="Times New Roman" w:eastAsia="仿宋_GB2312" w:cs="Times New Roman"/>
          <w:sz w:val="32"/>
          <w:szCs w:val="32"/>
        </w:rPr>
        <w:t>确保</w:t>
      </w:r>
      <w:r>
        <w:rPr>
          <w:rFonts w:hint="eastAsia" w:ascii="仿宋_GB2312" w:hAnsi="Times New Roman" w:eastAsia="仿宋_GB2312" w:cs="Times New Roman"/>
          <w:sz w:val="32"/>
          <w:szCs w:val="32"/>
          <w:lang w:eastAsia="zh-CN"/>
        </w:rPr>
        <w:t>全县</w:t>
      </w:r>
      <w:r>
        <w:rPr>
          <w:rFonts w:hint="eastAsia" w:ascii="仿宋_GB2312" w:hAnsi="Times New Roman" w:eastAsia="仿宋_GB2312" w:cs="Times New Roman"/>
          <w:sz w:val="32"/>
          <w:szCs w:val="32"/>
        </w:rPr>
        <w:t>退休人员养老金按时足额发放、待遇稳步提升</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拨付困难群众救助资金4340万元，惠及1.86万人次，精准用于城乡最低生活保障、特困人员救助供养、临时救助</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残疾人两项补贴</w:t>
      </w:r>
      <w:r>
        <w:rPr>
          <w:rFonts w:hint="eastAsia" w:ascii="仿宋_GB2312" w:hAnsi="Times New Roman" w:eastAsia="仿宋_GB2312" w:cs="Times New Roman"/>
          <w:sz w:val="32"/>
          <w:szCs w:val="32"/>
        </w:rPr>
        <w:t>等领域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及时足额拨付高龄补贴资金52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万元，惠及7446名高龄老人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累计向</w:t>
      </w:r>
      <w:r>
        <w:rPr>
          <w:rFonts w:hint="eastAsia" w:ascii="仿宋_GB2312" w:hAnsi="Times New Roman" w:eastAsia="仿宋_GB2312" w:cs="Times New Roman"/>
          <w:sz w:val="32"/>
          <w:szCs w:val="32"/>
          <w:lang w:val="en-US" w:eastAsia="zh-CN"/>
        </w:rPr>
        <w:t>3.08万</w:t>
      </w:r>
      <w:r>
        <w:rPr>
          <w:rFonts w:hint="eastAsia" w:ascii="仿宋_GB2312" w:hAnsi="Times New Roman" w:eastAsia="仿宋_GB2312" w:cs="Times New Roman"/>
          <w:sz w:val="32"/>
          <w:szCs w:val="32"/>
        </w:rPr>
        <w:t>人次优抚对象发放补助资金2448万元，切实保障其生活、医疗等基本权益</w:t>
      </w:r>
      <w:r>
        <w:rPr>
          <w:rFonts w:hint="eastAsia" w:ascii="仿宋_GB2312" w:hAnsi="Times New Roman" w:eastAsia="仿宋_GB2312" w:cs="Times New Roman"/>
          <w:sz w:val="32"/>
          <w:szCs w:val="32"/>
          <w:lang w:eastAsia="zh-CN"/>
        </w:rPr>
        <w:t>。</w:t>
      </w:r>
    </w:p>
    <w:p w14:paraId="4E257C74">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四是</w:t>
      </w:r>
      <w:r>
        <w:rPr>
          <w:rFonts w:hint="eastAsia" w:ascii="仿宋_GB2312" w:hAnsi="Times New Roman" w:eastAsia="仿宋_GB2312" w:cs="Times New Roman"/>
          <w:sz w:val="32"/>
          <w:szCs w:val="32"/>
          <w:lang w:val="en-US" w:eastAsia="zh-CN"/>
        </w:rPr>
        <w:t>聚焦乡村振兴，激活农村发展内生动力。统筹整合财政衔接推进乡村振兴补助资金1.51亿元，精准投向82个重点项目，补齐乡村产业发展、基础设施建设短板；投资1.02亿元全力推进3.4万亩高标准农田建设，为粮食稳产提供坚实支撑；统筹安排财政奖补资金600万元，实施农村公益事业普惠性项目55个，覆盖村内路灯、道路硬化、雨污管网改造等群众急难愁盼领域，惠及群众4.5万余人，农村人居环境质量持续提升。</w:t>
      </w:r>
    </w:p>
    <w:p w14:paraId="4127F893">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五是</w:t>
      </w:r>
      <w:r>
        <w:rPr>
          <w:rFonts w:hint="eastAsia" w:ascii="仿宋_GB2312" w:hAnsi="Times New Roman" w:eastAsia="仿宋_GB2312" w:cs="Times New Roman"/>
          <w:sz w:val="32"/>
          <w:szCs w:val="32"/>
          <w:lang w:val="en-US" w:eastAsia="zh-CN"/>
        </w:rPr>
        <w:t>聚焦文化遗产保护传承，全面发力提升仰韶文化品牌影响力。累计投入1.55亿元，统筹推进仰韶村考古圣地“七个一”项目，仰韶文化博物馆完成数字化升级改造并全新对外开放，仰韶文化文旅产业园正式运营，启用马骐大剧院并举办系列演出活动，产业融合发展迈出坚实步伐；稳步实施仰韶村遗址保护、曹端墓环境整治等工程，切实守护历史根脉，推动仰韶文化传承赓续。</w:t>
      </w:r>
    </w:p>
    <w:p w14:paraId="45EAD173">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六是</w:t>
      </w:r>
      <w:r>
        <w:rPr>
          <w:rFonts w:hint="eastAsia" w:ascii="仿宋_GB2312" w:hAnsi="Times New Roman" w:eastAsia="仿宋_GB2312" w:cs="Times New Roman"/>
          <w:sz w:val="32"/>
          <w:szCs w:val="32"/>
          <w:lang w:val="en-US" w:eastAsia="zh-CN"/>
        </w:rPr>
        <w:t>聚焦项目建设，提速民生事实落地见效。持续加大对重大战略和重点领域的财力保障，投资2.26亿元，推动经2025年人代会票决选定的10件重点民生实事项目有序推进。黄河路西延和韶峰路北延工程大头落地、进入收尾阶段；改建农村公路24.9公里、安业小区等10个老旧小区供水管网改造、145处农村供水工程维修维护和改造提升、城区供暖设施提质扩面、体育中心改造提升等</w:t>
      </w:r>
      <w:r>
        <w:rPr>
          <w:rFonts w:hint="eastAsia" w:ascii="仿宋_GB2312" w:hAnsi="Times New Roman" w:eastAsia="仿宋_GB2312" w:cs="Times New Roman"/>
          <w:sz w:val="32"/>
          <w:szCs w:val="32"/>
          <w:lang w:eastAsia="zh-CN"/>
        </w:rPr>
        <w:t>一批补短板、惠民生的</w:t>
      </w:r>
      <w:r>
        <w:rPr>
          <w:rFonts w:hint="eastAsia" w:ascii="仿宋_GB2312" w:hAnsi="Times New Roman" w:eastAsia="仿宋_GB2312" w:cs="Times New Roman"/>
          <w:sz w:val="32"/>
          <w:szCs w:val="32"/>
        </w:rPr>
        <w:t>项目</w:t>
      </w:r>
      <w:r>
        <w:rPr>
          <w:rFonts w:hint="eastAsia" w:ascii="仿宋_GB2312" w:hAnsi="Times New Roman" w:eastAsia="仿宋_GB2312" w:cs="Times New Roman"/>
          <w:sz w:val="32"/>
          <w:szCs w:val="32"/>
          <w:lang w:val="en-US" w:eastAsia="zh-CN"/>
        </w:rPr>
        <w:t>如期完成，群众的获得感、幸福感持续提升。</w:t>
      </w:r>
    </w:p>
    <w:p w14:paraId="7561FECD">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（四）聚力改革创新，财政治理效能不断优化</w:t>
      </w:r>
    </w:p>
    <w:p w14:paraId="73BF5C46">
      <w:pPr>
        <w:keepNext w:val="0"/>
        <w:keepLines w:val="0"/>
        <w:pageBreakBefore w:val="0"/>
        <w:widowControl w:val="0"/>
        <w:numPr>
          <w:ilvl w:val="0"/>
          <w:numId w:val="0"/>
        </w:numPr>
        <w:suppressAutoHyphens/>
        <w:kinsoku/>
        <w:wordWrap/>
        <w:overflowPunct/>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锚定现代财政制度建设目标，纵深推进财政重点改革，通过靶向施策、机制创新、精准发力，全面提升财政治理精细化、规范化水平。</w:t>
      </w:r>
    </w:p>
    <w:p w14:paraId="79AFC1FD">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一是</w:t>
      </w:r>
      <w:r>
        <w:rPr>
          <w:rFonts w:hint="eastAsia" w:ascii="仿宋_GB2312" w:hAnsi="Times New Roman" w:eastAsia="仿宋_GB2312" w:cs="Times New Roman"/>
          <w:sz w:val="32"/>
          <w:szCs w:val="32"/>
          <w:lang w:val="en-US" w:eastAsia="zh-CN"/>
        </w:rPr>
        <w:t>深化零基预算改革，筑牢财政保障底线。坚决打破“基数依赖”惯性思维，严格恪守“以零为基、量入为出、统筹兼顾、注重实效”原则，科学统筹编制年度预算，始终将基层“三保”工作摆在首位，在“三保”支出预算未足额安排前，一律不安排非刚性、非重点支出。2025年，全县“三保”支出达18.5亿元，足额完成年初预算任务。</w:t>
      </w:r>
    </w:p>
    <w:p w14:paraId="75C49452">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二是</w:t>
      </w:r>
      <w:r>
        <w:rPr>
          <w:rFonts w:hint="eastAsia" w:ascii="仿宋_GB2312" w:hAnsi="Times New Roman" w:eastAsia="仿宋_GB2312" w:cs="Times New Roman"/>
          <w:sz w:val="32"/>
          <w:szCs w:val="32"/>
          <w:lang w:val="en-US" w:eastAsia="zh-CN"/>
        </w:rPr>
        <w:t>抓实预算绩效管理，推动资金提质增效。积极构建全流程绩效管理链条，实现县乡绩效管理全覆盖、无死角。聘请专业绩效咨询公司开展全流程业务指导培训，夯实绩效管理工作基础。强化绩效闭环管控，完成2024年度城区环卫、绿化管护等5个重点项目及残联部门整体绩效评价，对2025年度60岁以上老人免费乘车等民生重点项目实施动态监控，推动预算管理向“重效益、强管控”转变。</w:t>
      </w:r>
    </w:p>
    <w:p w14:paraId="24B03361">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三是</w:t>
      </w:r>
      <w:r>
        <w:rPr>
          <w:rFonts w:hint="eastAsia" w:ascii="仿宋_GB2312" w:hAnsi="Times New Roman" w:eastAsia="仿宋_GB2312" w:cs="Times New Roman"/>
          <w:sz w:val="32"/>
          <w:szCs w:val="32"/>
          <w:lang w:val="en-US" w:eastAsia="zh-CN"/>
        </w:rPr>
        <w:t>完善财政运行机制，筑牢规范监管防线。持续压减一般性支出，严格执行“三公”经费预算“只减不增”要求，持续规范支付业务流程和操作标准，构建起透明高效、便捷规范的财政管理新模式；严格财政投资评审，累计评审项目133个，审减资金8900万元，核减率达6.55%；强化政府采购各环节监管，节约资金2240万元，资金节约率3%，实现政府采购规范透明、节支增效的双重目标。</w:t>
      </w:r>
    </w:p>
    <w:p w14:paraId="3B9E96B1">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四是</w:t>
      </w:r>
      <w:r>
        <w:rPr>
          <w:rFonts w:hint="eastAsia" w:ascii="仿宋_GB2312" w:hAnsi="Times New Roman" w:eastAsia="仿宋_GB2312" w:cs="Times New Roman"/>
          <w:sz w:val="32"/>
          <w:szCs w:val="32"/>
          <w:lang w:val="en-US" w:eastAsia="zh-CN"/>
        </w:rPr>
        <w:t>优化惠民补贴发放机制，厚植民生保障根基。持续健全惠民补贴“一卡通”发放体系，新增村干部报酬、低收入群体电费补贴等5项惠民事项纳入发放范围。全年发放补贴57个项目、2.32亿元，惠及46.12万人次，发放准确率达100%，有效保障了群众切身利益。</w:t>
      </w:r>
    </w:p>
    <w:p w14:paraId="283BD192">
      <w:pPr>
        <w:keepNext w:val="0"/>
        <w:keepLines w:val="0"/>
        <w:pageBreakBefore w:val="0"/>
        <w:widowControl w:val="0"/>
        <w:suppressAutoHyphens/>
        <w:kinsoku/>
        <w:wordWrap/>
        <w:overflowPunct/>
        <w:autoSpaceDE/>
        <w:autoSpaceDN w:val="0"/>
        <w:bidi w:val="0"/>
        <w:adjustRightInd w:val="0"/>
        <w:snapToGrid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（五）聚力风险防控，财政运行安全平稳可控</w:t>
      </w:r>
    </w:p>
    <w:p w14:paraId="613DE671">
      <w:pPr>
        <w:keepNext w:val="0"/>
        <w:keepLines w:val="0"/>
        <w:pageBreakBefore w:val="0"/>
        <w:widowControl w:val="0"/>
        <w:numPr>
          <w:ilvl w:val="0"/>
          <w:numId w:val="0"/>
        </w:numPr>
        <w:suppressAutoHyphens/>
        <w:kinsoku/>
        <w:wordWrap/>
        <w:overflowPunct/>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牢固树立底线思维，统筹发展和安全，坚决守住不发生系统性风险底线。</w:t>
      </w:r>
    </w:p>
    <w:p w14:paraId="38F6AF47">
      <w:pPr>
        <w:keepNext w:val="0"/>
        <w:keepLines w:val="0"/>
        <w:pageBreakBefore w:val="0"/>
        <w:widowControl w:val="0"/>
        <w:numPr>
          <w:ilvl w:val="0"/>
          <w:numId w:val="0"/>
        </w:numPr>
        <w:suppressAutoHyphens/>
        <w:kinsoku/>
        <w:wordWrap/>
        <w:overflowPunct/>
        <w:autoSpaceDE/>
        <w:autoSpaceDN w:val="0"/>
        <w:bidi w:val="0"/>
        <w:adjustRightInd w:val="0"/>
        <w:snapToGrid w:val="0"/>
        <w:spacing w:line="600" w:lineRule="exact"/>
        <w:ind w:firstLine="643" w:firstLineChars="200"/>
        <w:textAlignment w:val="auto"/>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一是</w:t>
      </w:r>
      <w:r>
        <w:rPr>
          <w:rFonts w:hint="eastAsia" w:ascii="仿宋_GB2312" w:hAnsi="Times New Roman" w:eastAsia="仿宋_GB2312" w:cs="Times New Roman"/>
          <w:b w:val="0"/>
          <w:bCs w:val="0"/>
          <w:sz w:val="32"/>
          <w:szCs w:val="32"/>
          <w:highlight w:val="none"/>
          <w:lang w:val="en-US" w:eastAsia="zh-CN"/>
        </w:rPr>
        <w:t>全力防范化解债务风险，守牢安全发展底线。全面加强全口径政府债务分析监测，多渠道筹措偿债资金，严格落实还本付息责任，积极稳妥化解存量债务，2025年完成债务还本付息7.15亿元。扎实推进融资平台转型退出工作，瑞资公司隐性债务全部清零。将盘活存量资产与债务化解紧密结合，探索开展应收账款债权凭证（合同）流转工作，2025年共办理债权凭证业务157笔，涉及资金6384万元，拓宽了债权处置路径，维护社会大局稳定。</w:t>
      </w:r>
    </w:p>
    <w:p w14:paraId="30D081DB">
      <w:pPr>
        <w:keepNext w:val="0"/>
        <w:keepLines w:val="0"/>
        <w:pageBreakBefore w:val="0"/>
        <w:widowControl w:val="0"/>
        <w:numPr>
          <w:ilvl w:val="0"/>
          <w:numId w:val="0"/>
        </w:numPr>
        <w:suppressAutoHyphens/>
        <w:kinsoku/>
        <w:wordWrap/>
        <w:overflowPunct/>
        <w:autoSpaceDE/>
        <w:autoSpaceDN w:val="0"/>
        <w:bidi w:val="0"/>
        <w:adjustRightInd w:val="0"/>
        <w:snapToGrid w:val="0"/>
        <w:spacing w:line="600" w:lineRule="exact"/>
        <w:ind w:firstLine="643" w:firstLineChars="200"/>
        <w:textAlignment w:val="auto"/>
        <w:rPr>
          <w:rFonts w:hint="default"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二是</w:t>
      </w:r>
      <w:r>
        <w:rPr>
          <w:rFonts w:hint="eastAsia" w:ascii="仿宋_GB2312" w:hAnsi="Times New Roman" w:eastAsia="仿宋_GB2312" w:cs="Times New Roman"/>
          <w:b w:val="0"/>
          <w:bCs w:val="0"/>
          <w:sz w:val="32"/>
          <w:szCs w:val="32"/>
          <w:highlight w:val="none"/>
          <w:lang w:val="en-US" w:eastAsia="zh-CN"/>
        </w:rPr>
        <w:t>切实加强财会监督，规范财政权力运行。系统梳理预算编制、资金拨付、政府采购、财政评审等核心业务环节的内控风险点，制定出台《财政业务内控制度》，以制度刚性规范财政权力运行、防范廉政风险。强化审计监督与财政投资评审协同发力，聚焦“三保”支出、世行贷款等重点领域和关键环节，细化资料梳理、严把审核关口、狠抓问题整改、优化监管流程，不断提升财会监督的精准性和实效性。</w:t>
      </w:r>
    </w:p>
    <w:p w14:paraId="6C4999FA">
      <w:pPr>
        <w:keepNext w:val="0"/>
        <w:keepLines w:val="0"/>
        <w:pageBreakBefore w:val="0"/>
        <w:widowControl w:val="0"/>
        <w:numPr>
          <w:ilvl w:val="0"/>
          <w:numId w:val="0"/>
        </w:numPr>
        <w:suppressAutoHyphens/>
        <w:kinsoku/>
        <w:wordWrap/>
        <w:overflow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b/>
          <w:bCs/>
          <w:color w:val="auto"/>
          <w:sz w:val="32"/>
          <w:szCs w:val="32"/>
          <w:lang w:val="en-US" w:eastAsia="zh-CN"/>
        </w:rPr>
      </w:pPr>
      <w:r>
        <w:rPr>
          <w:rFonts w:hint="eastAsia" w:ascii="仿宋_GB2312" w:hAnsi="Times New Roman" w:eastAsia="仿宋_GB2312" w:cs="Times New Roman"/>
          <w:b/>
          <w:bCs/>
          <w:color w:val="auto"/>
          <w:sz w:val="32"/>
          <w:szCs w:val="32"/>
          <w:lang w:val="en-US" w:eastAsia="zh-CN"/>
        </w:rPr>
        <w:t>三是</w:t>
      </w:r>
      <w:r>
        <w:rPr>
          <w:rFonts w:hint="eastAsia" w:ascii="仿宋_GB2312" w:hAnsi="Times New Roman" w:eastAsia="仿宋_GB2312" w:cs="Times New Roman"/>
          <w:b w:val="0"/>
          <w:bCs w:val="0"/>
          <w:color w:val="auto"/>
          <w:sz w:val="32"/>
          <w:szCs w:val="32"/>
          <w:lang w:val="en-US" w:eastAsia="zh-CN"/>
        </w:rPr>
        <w:t>深化民生领域治理，夯实为民服务根基。严管细抓乡村振兴资金管理，坚持绩效引领、精准管控，通过专项整治与日常监管双轮驱动，持续提升乡村振兴项目资金使用效益。聚焦工资拖欠突出问题，全面排查整治各类工资拖欠隐患，同步建立环卫经费共管账户，推行村干部工资“一卡通”直达支付模式，从制度层面健全长效机制，坚决防范工资拖欠问题反弹回潮。聚焦殡葬、医保、养老等民生重点领域，协同相关部门推进突出问题专项整治，严厉查处侵害群众切身利益的违法违规行为。</w:t>
      </w:r>
    </w:p>
    <w:p w14:paraId="72844109">
      <w:pPr>
        <w:keepNext w:val="0"/>
        <w:keepLines w:val="0"/>
        <w:pageBreakBefore w:val="0"/>
        <w:widowControl w:val="0"/>
        <w:numPr>
          <w:ilvl w:val="0"/>
          <w:numId w:val="0"/>
        </w:numPr>
        <w:kinsoku/>
        <w:wordWrap/>
        <w:overflowPunct/>
        <w:topLinePunct/>
        <w:autoSpaceDE/>
        <w:autoSpaceDN w:val="0"/>
        <w:bidi w:val="0"/>
        <w:adjustRightInd w:val="0"/>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回望2025年，全县财政工作在多重考验中承压前行、难中求进。</w:t>
      </w:r>
      <w:r>
        <w:rPr>
          <w:rFonts w:hint="eastAsia" w:ascii="仿宋_GB2312" w:hAnsi="Times New Roman" w:eastAsia="仿宋_GB2312" w:cs="Times New Roman"/>
          <w:sz w:val="32"/>
          <w:szCs w:val="32"/>
          <w:lang w:val="en-US" w:eastAsia="zh-CN"/>
        </w:rPr>
        <w:t>取得的成绩</w:t>
      </w:r>
      <w:r>
        <w:rPr>
          <w:rFonts w:hint="eastAsia" w:ascii="仿宋_GB2312" w:hAnsi="Times New Roman" w:eastAsia="仿宋_GB2312" w:cs="Times New Roman"/>
          <w:sz w:val="32"/>
          <w:szCs w:val="32"/>
        </w:rPr>
        <w:t>离不开县委的坚强领导</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全县上下的团结拼搏以及</w:t>
      </w:r>
      <w:r>
        <w:rPr>
          <w:rFonts w:hint="eastAsia" w:ascii="仿宋_GB2312" w:hAnsi="Times New Roman" w:eastAsia="仿宋_GB2312" w:cs="Times New Roman"/>
          <w:sz w:val="32"/>
          <w:szCs w:val="32"/>
        </w:rPr>
        <w:t>人大代表、政协委员的监督支持。同时，我们也清醒认识到，当前财政运行和预算管理工作仍面临诸多深层次困难和挑战：</w:t>
      </w:r>
    </w:p>
    <w:p w14:paraId="5994492B">
      <w:pPr>
        <w:keepNext w:val="0"/>
        <w:keepLines w:val="0"/>
        <w:pageBreakBefore w:val="0"/>
        <w:widowControl w:val="0"/>
        <w:numPr>
          <w:ilvl w:val="0"/>
          <w:numId w:val="0"/>
        </w:numPr>
        <w:kinsoku/>
        <w:wordWrap/>
        <w:overflowPunct/>
        <w:topLine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一是</w:t>
      </w:r>
      <w:r>
        <w:rPr>
          <w:rFonts w:hint="eastAsia" w:ascii="仿宋_GB2312" w:hAnsi="Times New Roman" w:eastAsia="仿宋_GB2312" w:cs="Times New Roman"/>
          <w:sz w:val="32"/>
          <w:szCs w:val="32"/>
          <w:lang w:val="en-US" w:eastAsia="zh-CN"/>
        </w:rPr>
        <w:t>受宏观经济下行、有效需求不足等多重因素影响，部分行业企业经营承压，税基税源增长动能减弱、后劲不足，财政收入持续稳定增长面临较大制约。</w:t>
      </w:r>
    </w:p>
    <w:p w14:paraId="5DB7F1D3">
      <w:pPr>
        <w:keepNext w:val="0"/>
        <w:keepLines w:val="0"/>
        <w:pageBreakBefore w:val="0"/>
        <w:widowControl w:val="0"/>
        <w:numPr>
          <w:ilvl w:val="0"/>
          <w:numId w:val="0"/>
        </w:numPr>
        <w:kinsoku/>
        <w:wordWrap/>
        <w:overflowPunct/>
        <w:topLinePunct/>
        <w:autoSpaceDE/>
        <w:autoSpaceDN w:val="0"/>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二是</w:t>
      </w:r>
      <w:r>
        <w:rPr>
          <w:rFonts w:hint="eastAsia" w:ascii="仿宋_GB2312" w:hAnsi="Times New Roman" w:eastAsia="仿宋_GB2312" w:cs="Times New Roman"/>
          <w:b w:val="0"/>
          <w:bCs w:val="0"/>
          <w:sz w:val="32"/>
          <w:szCs w:val="32"/>
          <w:lang w:val="en-US" w:eastAsia="zh-CN"/>
        </w:rPr>
        <w:t>刚</w:t>
      </w:r>
      <w:r>
        <w:rPr>
          <w:rFonts w:hint="eastAsia" w:ascii="仿宋_GB2312" w:hAnsi="Times New Roman" w:eastAsia="仿宋_GB2312" w:cs="Times New Roman"/>
          <w:sz w:val="32"/>
          <w:szCs w:val="32"/>
          <w:lang w:val="en-US" w:eastAsia="zh-CN"/>
        </w:rPr>
        <w:t>性支出只增不减，财政收支平衡压力加剧，保障难度持续加大。</w:t>
      </w:r>
    </w:p>
    <w:p w14:paraId="7706AE2D">
      <w:pPr>
        <w:keepNext w:val="0"/>
        <w:keepLines w:val="0"/>
        <w:pageBreakBefore w:val="0"/>
        <w:widowControl w:val="0"/>
        <w:numPr>
          <w:ilvl w:val="0"/>
          <w:numId w:val="0"/>
        </w:numPr>
        <w:kinsoku/>
        <w:wordWrap/>
        <w:overflowPunct/>
        <w:topLinePunct/>
        <w:autoSpaceDE/>
        <w:autoSpaceDN w:val="0"/>
        <w:bidi w:val="0"/>
        <w:adjustRightInd w:val="0"/>
        <w:snapToGrid w:val="0"/>
        <w:spacing w:line="600" w:lineRule="exact"/>
        <w:ind w:firstLine="643"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三是</w:t>
      </w:r>
      <w:r>
        <w:rPr>
          <w:rFonts w:hint="eastAsia" w:ascii="仿宋_GB2312" w:hAnsi="Times New Roman" w:eastAsia="仿宋_GB2312" w:cs="Times New Roman"/>
          <w:sz w:val="32"/>
          <w:szCs w:val="32"/>
          <w:lang w:val="en-US" w:eastAsia="zh-CN"/>
        </w:rPr>
        <w:t>贯彻落实过紧日子要求不到位，支出管理不够规范，在资金使用、资产管理、财务会计等方面仍需加强。</w:t>
      </w:r>
    </w:p>
    <w:p w14:paraId="7712B5A5">
      <w:pPr>
        <w:keepNext w:val="0"/>
        <w:keepLines w:val="0"/>
        <w:pageBreakBefore w:val="0"/>
        <w:widowControl w:val="0"/>
        <w:numPr>
          <w:ilvl w:val="0"/>
          <w:numId w:val="0"/>
        </w:numPr>
        <w:kinsoku/>
        <w:wordWrap/>
        <w:overflowPunct/>
        <w:topLinePunct/>
        <w:autoSpaceDE/>
        <w:autoSpaceDN w:val="0"/>
        <w:bidi w:val="0"/>
        <w:adjustRightInd w:val="0"/>
        <w:snapToGrid w:val="0"/>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针对这些问题，我们将切实提高政治站位，主动对标对表最新工作部署，高度重视、精准研判，以钉钉子精神逐项破解，全力推动财政工作高质量发展。</w:t>
      </w:r>
    </w:p>
    <w:p w14:paraId="000C3DF5">
      <w:pPr>
        <w:keepNext w:val="0"/>
        <w:keepLines w:val="0"/>
        <w:pageBreakBefore w:val="0"/>
        <w:widowControl w:val="0"/>
        <w:kinsoku/>
        <w:wordWrap/>
        <w:overflowPunct/>
        <w:topLinePunct/>
        <w:autoSpaceDE/>
        <w:autoSpaceDN w:val="0"/>
        <w:bidi w:val="0"/>
        <w:adjustRightInd w:val="0"/>
        <w:snapToGrid w:val="0"/>
        <w:spacing w:line="600" w:lineRule="exact"/>
        <w:ind w:firstLine="652" w:firstLineChars="200"/>
        <w:textAlignment w:val="auto"/>
        <w:rPr>
          <w:rFonts w:hint="eastAsia" w:ascii="仿宋_GB2312" w:hAnsi="NEU-BZ" w:eastAsia="仿宋_GB2312" w:cs="Times New Roman"/>
          <w:kern w:val="0"/>
          <w:sz w:val="32"/>
          <w:szCs w:val="32"/>
        </w:rPr>
      </w:pPr>
      <w:r>
        <w:rPr>
          <w:rFonts w:hint="eastAsia" w:ascii="黑体" w:hAnsi="黑体" w:eastAsia="黑体" w:cs="Times New Roman"/>
          <w:spacing w:val="3"/>
          <w:sz w:val="32"/>
          <w:szCs w:val="32"/>
        </w:rPr>
        <w:t>三、202</w:t>
      </w:r>
      <w:r>
        <w:rPr>
          <w:rFonts w:hint="eastAsia" w:ascii="黑体" w:hAnsi="黑体" w:eastAsia="黑体" w:cs="Times New Roman"/>
          <w:spacing w:val="3"/>
          <w:sz w:val="32"/>
          <w:szCs w:val="32"/>
          <w:lang w:val="en-US" w:eastAsia="zh-CN"/>
        </w:rPr>
        <w:t>6</w:t>
      </w:r>
      <w:r>
        <w:rPr>
          <w:rFonts w:hint="eastAsia" w:ascii="黑体" w:hAnsi="黑体" w:eastAsia="黑体" w:cs="Times New Roman"/>
          <w:spacing w:val="3"/>
          <w:sz w:val="32"/>
          <w:szCs w:val="32"/>
        </w:rPr>
        <w:t>年财政预算（草案）情况</w:t>
      </w:r>
    </w:p>
    <w:p w14:paraId="76E0AA36">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hint="eastAsia" w:ascii="仿宋_GB2312" w:hAnsi="NEU-BZ" w:eastAsia="仿宋_GB2312" w:cs="Times New Roman"/>
          <w:kern w:val="0"/>
          <w:sz w:val="32"/>
          <w:szCs w:val="32"/>
          <w:lang w:val="en-US" w:eastAsia="zh-CN"/>
        </w:rPr>
      </w:pPr>
      <w:r>
        <w:rPr>
          <w:rFonts w:hint="eastAsia" w:ascii="仿宋_GB2312" w:hAnsi="NEU-BZ" w:eastAsia="仿宋_GB2312" w:cs="Times New Roman"/>
          <w:kern w:val="0"/>
          <w:sz w:val="32"/>
          <w:szCs w:val="32"/>
          <w:lang w:val="en-US" w:eastAsia="zh-CN"/>
        </w:rPr>
        <w:t>2026年是“十五五”规划开局之年，更是承接“十四五”成果、开启新发展阶段的关键节点。科学编制执行2026年财政预算，对推动积极财政政策加力提效、保障全县经济社会平稳运行、实现高质量发展具有至关重要的意义。</w:t>
      </w:r>
    </w:p>
    <w:p w14:paraId="3E3FAFE6">
      <w:pPr>
        <w:keepNext w:val="0"/>
        <w:keepLines w:val="0"/>
        <w:pageBreakBefore w:val="0"/>
        <w:widowControl w:val="0"/>
        <w:numPr>
          <w:ilvl w:val="0"/>
          <w:numId w:val="0"/>
        </w:numPr>
        <w:kinsoku/>
        <w:wordWrap/>
        <w:overflowPunct/>
        <w:autoSpaceDE/>
        <w:autoSpaceDN w:val="0"/>
        <w:bidi w:val="0"/>
        <w:adjustRightInd w:val="0"/>
        <w:snapToGrid w:val="0"/>
        <w:spacing w:line="600" w:lineRule="exact"/>
        <w:ind w:firstLine="643" w:firstLineChars="200"/>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（一）预算编制的形势分析</w:t>
      </w:r>
    </w:p>
    <w:p w14:paraId="66343BCA">
      <w:pPr>
        <w:keepNext w:val="0"/>
        <w:keepLines w:val="0"/>
        <w:pageBreakBefore w:val="0"/>
        <w:widowControl w:val="0"/>
        <w:numPr>
          <w:ilvl w:val="0"/>
          <w:numId w:val="0"/>
        </w:numPr>
        <w:kinsoku/>
        <w:wordWrap/>
        <w:overflowPunct/>
        <w:autoSpaceDE/>
        <w:autoSpaceDN w:val="0"/>
        <w:bidi w:val="0"/>
        <w:adjustRightInd w:val="0"/>
        <w:snapToGrid w:val="0"/>
        <w:spacing w:line="600" w:lineRule="exact"/>
        <w:ind w:firstLine="643" w:firstLineChars="200"/>
        <w:textAlignment w:val="auto"/>
        <w:rPr>
          <w:rFonts w:hint="eastAsia" w:ascii="仿宋_GB2312" w:hAnsi="NEU-BZ" w:eastAsia="仿宋_GB2312" w:cs="Times New Roman"/>
          <w:kern w:val="0"/>
          <w:sz w:val="32"/>
          <w:szCs w:val="32"/>
          <w:lang w:val="en-US" w:eastAsia="zh-CN"/>
        </w:rPr>
      </w:pPr>
      <w:r>
        <w:rPr>
          <w:rFonts w:hint="eastAsia" w:ascii="仿宋_GB2312" w:hAnsi="NEU-BZ" w:eastAsia="仿宋_GB2312" w:cs="Times New Roman"/>
          <w:b/>
          <w:bCs/>
          <w:kern w:val="0"/>
          <w:sz w:val="32"/>
          <w:szCs w:val="32"/>
          <w:lang w:val="en-US" w:eastAsia="zh-CN"/>
        </w:rPr>
        <w:t>1.面临的挑战。</w:t>
      </w:r>
      <w:r>
        <w:rPr>
          <w:rFonts w:hint="eastAsia" w:ascii="仿宋_GB2312" w:hAnsi="NEU-BZ" w:eastAsia="仿宋_GB2312" w:cs="Times New Roman"/>
          <w:kern w:val="0"/>
          <w:sz w:val="32"/>
          <w:szCs w:val="32"/>
        </w:rPr>
        <w:t>当前宏观经济环境依旧复杂多变，内外部不确定因素交织，给我县经济企稳回升带来不小阻力，直接加剧了财政收入波动风险。</w:t>
      </w:r>
      <w:r>
        <w:rPr>
          <w:rFonts w:hint="eastAsia" w:ascii="仿宋_GB2312" w:hAnsi="NEU-BZ" w:eastAsia="仿宋_GB2312" w:cs="Times New Roman"/>
          <w:b/>
          <w:bCs/>
          <w:kern w:val="0"/>
          <w:sz w:val="32"/>
          <w:szCs w:val="32"/>
          <w:lang w:val="en-US" w:eastAsia="zh-CN"/>
        </w:rPr>
        <w:t>首先收入增长难度加大。</w:t>
      </w:r>
      <w:r>
        <w:rPr>
          <w:rFonts w:hint="eastAsia" w:ascii="仿宋_GB2312" w:hAnsi="NEU-BZ" w:eastAsia="仿宋_GB2312" w:cs="Times New Roman"/>
          <w:kern w:val="0"/>
          <w:sz w:val="32"/>
          <w:szCs w:val="32"/>
        </w:rPr>
        <w:t>经济内生增长动力仍显不足，市场有效需求疲软态势尚未根本扭转，部分市场主体生产经营困难较多，经济回升基础不够稳固，制约财政收入稳定增长；国有土地使用权出让收入、房地产关联税收虽有望触底回升，但受行业发展规律、市场预期等因素制约，增速难以大幅提升，加之非税收入增收潜力逐步耗尽，财政持续增收压力较大。</w:t>
      </w:r>
      <w:r>
        <w:rPr>
          <w:rFonts w:hint="eastAsia" w:ascii="仿宋_GB2312" w:hAnsi="NEU-BZ" w:eastAsia="仿宋_GB2312" w:cs="Times New Roman"/>
          <w:b/>
          <w:bCs/>
          <w:kern w:val="0"/>
          <w:sz w:val="32"/>
          <w:szCs w:val="32"/>
          <w:lang w:val="en-US" w:eastAsia="zh-CN"/>
        </w:rPr>
        <w:t>二是财政支出需求加大。</w:t>
      </w:r>
      <w:r>
        <w:rPr>
          <w:rFonts w:hint="eastAsia" w:ascii="仿宋_GB2312" w:hAnsi="NEU-BZ" w:eastAsia="仿宋_GB2312" w:cs="Times New Roman"/>
          <w:b w:val="0"/>
          <w:bCs w:val="0"/>
          <w:kern w:val="0"/>
          <w:sz w:val="32"/>
          <w:szCs w:val="32"/>
          <w:lang w:val="en-US" w:eastAsia="zh-CN"/>
        </w:rPr>
        <w:t>“十五五”开局之年，各方面对财政支出需求很大，</w:t>
      </w:r>
      <w:r>
        <w:rPr>
          <w:rFonts w:hint="eastAsia" w:ascii="仿宋_GB2312" w:hAnsi="NEU-BZ" w:eastAsia="仿宋_GB2312" w:cs="Times New Roman"/>
          <w:b w:val="0"/>
          <w:bCs w:val="0"/>
          <w:kern w:val="0"/>
          <w:sz w:val="32"/>
          <w:szCs w:val="32"/>
        </w:rPr>
        <w:t>教育</w:t>
      </w:r>
      <w:r>
        <w:rPr>
          <w:rFonts w:hint="eastAsia" w:ascii="仿宋_GB2312" w:hAnsi="NEU-BZ" w:eastAsia="仿宋_GB2312" w:cs="Times New Roman"/>
          <w:kern w:val="0"/>
          <w:sz w:val="32"/>
          <w:szCs w:val="32"/>
        </w:rPr>
        <w:t>、科技、民生等领域都需要加大投入，债务</w:t>
      </w:r>
      <w:r>
        <w:rPr>
          <w:rFonts w:hint="eastAsia" w:ascii="仿宋_GB2312" w:hAnsi="NEU-BZ" w:eastAsia="仿宋_GB2312" w:cs="Times New Roman"/>
          <w:kern w:val="0"/>
          <w:sz w:val="32"/>
          <w:szCs w:val="32"/>
          <w:lang w:val="en-US" w:eastAsia="zh-CN"/>
        </w:rPr>
        <w:t>还本付息</w:t>
      </w:r>
      <w:r>
        <w:rPr>
          <w:rFonts w:hint="eastAsia" w:ascii="仿宋_GB2312" w:hAnsi="NEU-BZ" w:eastAsia="仿宋_GB2312" w:cs="Times New Roman"/>
          <w:kern w:val="0"/>
          <w:sz w:val="32"/>
          <w:szCs w:val="32"/>
        </w:rPr>
        <w:t>支出快速增长，编外人员、城市运维费用等易增难减，既有支出格局调整难度大。</w:t>
      </w:r>
      <w:r>
        <w:rPr>
          <w:rFonts w:hint="eastAsia" w:ascii="仿宋_GB2312" w:hAnsi="NEU-BZ" w:eastAsia="仿宋_GB2312" w:cs="Times New Roman"/>
          <w:b/>
          <w:bCs/>
          <w:kern w:val="0"/>
          <w:sz w:val="32"/>
          <w:szCs w:val="32"/>
          <w:lang w:val="en-US" w:eastAsia="zh-CN"/>
        </w:rPr>
        <w:t>三是债务化解风险加大。</w:t>
      </w:r>
      <w:r>
        <w:rPr>
          <w:rFonts w:hint="eastAsia" w:ascii="仿宋_GB2312" w:hAnsi="NEU-BZ" w:eastAsia="仿宋_GB2312" w:cs="Times New Roman"/>
          <w:kern w:val="0"/>
          <w:sz w:val="32"/>
          <w:szCs w:val="32"/>
          <w:lang w:val="en-US" w:eastAsia="zh-CN"/>
        </w:rPr>
        <w:t>隐债清零进入“倒计时”阶段，剩下的都是难啃的硬骨头，可用来化债的资源所剩不多，叠加清理拖欠企业账款和暂付款、PPP支出责任等，化解风险的艰巨性、复杂性进一步凸显。</w:t>
      </w:r>
    </w:p>
    <w:p w14:paraId="5F1FB992">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eastAsia" w:ascii="仿宋_GB2312" w:hAnsi="NEU-BZ" w:eastAsia="仿宋_GB2312" w:cs="Times New Roman"/>
          <w:kern w:val="0"/>
          <w:sz w:val="32"/>
          <w:szCs w:val="32"/>
        </w:rPr>
      </w:pPr>
      <w:r>
        <w:rPr>
          <w:rFonts w:hint="eastAsia" w:ascii="仿宋_GB2312" w:hAnsi="NEU-BZ" w:eastAsia="仿宋_GB2312" w:cs="Times New Roman"/>
          <w:b/>
          <w:bCs/>
          <w:kern w:val="0"/>
          <w:sz w:val="32"/>
          <w:szCs w:val="32"/>
          <w:lang w:val="en-US" w:eastAsia="zh-CN"/>
        </w:rPr>
        <w:t>2.面临的机遇。</w:t>
      </w:r>
      <w:r>
        <w:rPr>
          <w:rFonts w:hint="eastAsia" w:ascii="仿宋_GB2312" w:hAnsi="NEU-BZ" w:eastAsia="仿宋_GB2312" w:cs="Times New Roman"/>
          <w:kern w:val="0"/>
          <w:sz w:val="32"/>
          <w:szCs w:val="32"/>
        </w:rPr>
        <w:t>多重积极因素叠加发力，为我县财政运行注入强劲动能、拓宽发展空间：</w:t>
      </w:r>
    </w:p>
    <w:p w14:paraId="0521C18D">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eastAsia" w:ascii="仿宋_GB2312" w:hAnsi="NEU-BZ" w:eastAsia="仿宋_GB2312" w:cs="Times New Roman"/>
          <w:kern w:val="0"/>
          <w:sz w:val="32"/>
          <w:szCs w:val="32"/>
          <w:lang w:eastAsia="zh-CN"/>
        </w:rPr>
      </w:pPr>
      <w:r>
        <w:rPr>
          <w:rFonts w:hint="eastAsia" w:ascii="仿宋_GB2312" w:hAnsi="NEU-BZ" w:eastAsia="仿宋_GB2312" w:cs="Times New Roman"/>
          <w:b/>
          <w:bCs/>
          <w:kern w:val="0"/>
          <w:sz w:val="32"/>
          <w:szCs w:val="32"/>
        </w:rPr>
        <w:t>一是</w:t>
      </w:r>
      <w:r>
        <w:rPr>
          <w:rFonts w:hint="eastAsia" w:ascii="仿宋_GB2312" w:hAnsi="NEU-BZ" w:eastAsia="仿宋_GB2312" w:cs="Times New Roman"/>
          <w:kern w:val="0"/>
          <w:sz w:val="32"/>
          <w:szCs w:val="32"/>
        </w:rPr>
        <w:t>国家化债政策持续加力，</w:t>
      </w:r>
      <w:r>
        <w:rPr>
          <w:rFonts w:hint="eastAsia" w:ascii="仿宋_GB2312" w:hAnsi="NEU-BZ" w:eastAsia="仿宋_GB2312" w:cs="Times New Roman"/>
          <w:kern w:val="0"/>
          <w:sz w:val="32"/>
          <w:szCs w:val="32"/>
          <w:lang w:val="en-US" w:eastAsia="zh-CN"/>
        </w:rPr>
        <w:t>2026年国家拟安排的4.4万亿元政府专项债券（重点用于重大项目建设、隐性债务置换及清理拖欠账款），叠加1.3万亿元支持“两重”“两新”工作的超长期特别国债，形成了强大的政策合力。这一组合拳为我县有效置换存量隐性债务提供了难得机遇，不仅能显著节约利息支出、减轻偿债压力，更能通过‘腾笼换鸟’释放宝贵财政空间，集中财力保障民生福祉和重点项目建设</w:t>
      </w:r>
      <w:r>
        <w:rPr>
          <w:rFonts w:hint="eastAsia" w:ascii="仿宋_GB2312" w:hAnsi="NEU-BZ" w:eastAsia="仿宋_GB2312" w:cs="Times New Roman"/>
          <w:kern w:val="0"/>
          <w:sz w:val="32"/>
          <w:szCs w:val="32"/>
          <w:lang w:eastAsia="zh-CN"/>
        </w:rPr>
        <w:t>。</w:t>
      </w:r>
    </w:p>
    <w:p w14:paraId="24316DCC">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eastAsia" w:ascii="仿宋_GB2312" w:hAnsi="NEU-BZ" w:eastAsia="仿宋_GB2312" w:cs="Times New Roman"/>
          <w:kern w:val="0"/>
          <w:sz w:val="32"/>
          <w:szCs w:val="32"/>
          <w:lang w:eastAsia="zh-CN"/>
        </w:rPr>
      </w:pPr>
      <w:r>
        <w:rPr>
          <w:rFonts w:hint="eastAsia" w:ascii="仿宋_GB2312" w:hAnsi="NEU-BZ" w:eastAsia="仿宋_GB2312" w:cs="Times New Roman"/>
          <w:b/>
          <w:bCs/>
          <w:kern w:val="0"/>
          <w:sz w:val="32"/>
          <w:szCs w:val="32"/>
        </w:rPr>
        <w:t>二是</w:t>
      </w:r>
      <w:r>
        <w:rPr>
          <w:rFonts w:hint="eastAsia" w:ascii="仿宋_GB2312" w:hAnsi="NEU-BZ" w:eastAsia="仿宋_GB2312" w:cs="Times New Roman"/>
          <w:kern w:val="0"/>
          <w:sz w:val="32"/>
          <w:szCs w:val="32"/>
        </w:rPr>
        <w:t>产业政策导向契合我县发展实际，全国财政工作会议明确</w:t>
      </w:r>
      <w:r>
        <w:rPr>
          <w:rFonts w:hint="eastAsia" w:ascii="仿宋_GB2312" w:hAnsi="NEU-BZ" w:eastAsia="仿宋_GB2312" w:cs="Times New Roman"/>
          <w:kern w:val="0"/>
          <w:sz w:val="32"/>
          <w:szCs w:val="32"/>
          <w:lang w:val="en-US" w:eastAsia="zh-CN"/>
        </w:rPr>
        <w:t>2026</w:t>
      </w:r>
      <w:r>
        <w:rPr>
          <w:rFonts w:hint="eastAsia" w:ascii="仿宋_GB2312" w:hAnsi="NEU-BZ" w:eastAsia="仿宋_GB2312" w:cs="Times New Roman"/>
          <w:kern w:val="0"/>
          <w:sz w:val="32"/>
          <w:szCs w:val="32"/>
        </w:rPr>
        <w:t>年加大对制造业高质量发展、新质生产力培育等领域投入，我县氧化铝</w:t>
      </w:r>
      <w:r>
        <w:rPr>
          <w:rFonts w:hint="eastAsia" w:ascii="仿宋_GB2312" w:hAnsi="NEU-BZ" w:eastAsia="仿宋_GB2312" w:cs="Times New Roman"/>
          <w:kern w:val="0"/>
          <w:sz w:val="32"/>
          <w:szCs w:val="32"/>
          <w:lang w:val="en-US" w:eastAsia="zh-CN"/>
        </w:rPr>
        <w:t>等</w:t>
      </w:r>
      <w:r>
        <w:rPr>
          <w:rFonts w:hint="eastAsia" w:ascii="仿宋_GB2312" w:hAnsi="NEU-BZ" w:eastAsia="仿宋_GB2312" w:cs="Times New Roman"/>
          <w:kern w:val="0"/>
          <w:sz w:val="32"/>
          <w:szCs w:val="32"/>
        </w:rPr>
        <w:t>产业契合国家制造业重点产业链升级行动导向，有望扭转相关税收下滑局面，形成稳定税源支撑，同时国家支持乡村全面振兴、区域协调发展的政策红利，与我县矿山治理收尾后优化支出结构、聚焦产业提质的需求同频共振</w:t>
      </w:r>
      <w:r>
        <w:rPr>
          <w:rFonts w:hint="eastAsia" w:ascii="仿宋_GB2312" w:hAnsi="NEU-BZ" w:eastAsia="仿宋_GB2312" w:cs="Times New Roman"/>
          <w:kern w:val="0"/>
          <w:sz w:val="32"/>
          <w:szCs w:val="32"/>
          <w:lang w:eastAsia="zh-CN"/>
        </w:rPr>
        <w:t>。</w:t>
      </w:r>
    </w:p>
    <w:p w14:paraId="6621FF47">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eastAsia" w:ascii="仿宋_GB2312" w:hAnsi="NEU-BZ" w:eastAsia="仿宋_GB2312" w:cs="Times New Roman"/>
          <w:kern w:val="0"/>
          <w:sz w:val="32"/>
          <w:szCs w:val="32"/>
          <w:lang w:val="en-US" w:eastAsia="zh-CN"/>
        </w:rPr>
      </w:pPr>
      <w:r>
        <w:rPr>
          <w:rFonts w:hint="eastAsia" w:ascii="仿宋_GB2312" w:hAnsi="NEU-BZ" w:eastAsia="仿宋_GB2312" w:cs="Times New Roman"/>
          <w:b/>
          <w:bCs/>
          <w:kern w:val="0"/>
          <w:sz w:val="32"/>
          <w:szCs w:val="32"/>
        </w:rPr>
        <w:t>三是</w:t>
      </w:r>
      <w:r>
        <w:rPr>
          <w:rFonts w:hint="eastAsia" w:ascii="仿宋_GB2312" w:hAnsi="NEU-BZ" w:eastAsia="仿宋_GB2312" w:cs="Times New Roman"/>
          <w:kern w:val="0"/>
          <w:sz w:val="32"/>
          <w:szCs w:val="32"/>
        </w:rPr>
        <w:t>招商与消费政策赋能，国家深入实施提振消费专项行动、扩大有效投资，鼓励地方开展精准招商、培育壮大经营主体，我县成立专班开展招商引资，契合政策导向，新产业、新业态、新模式加速涌现，重大项目落地投产将带动纳税主体扩容、税源规模增长，形成“政策赋能</w:t>
      </w:r>
      <w:r>
        <w:rPr>
          <w:rFonts w:hint="eastAsia" w:ascii="仿宋_GB2312" w:hAnsi="NEU-BZ" w:eastAsia="仿宋_GB2312" w:cs="Times New Roman"/>
          <w:kern w:val="0"/>
          <w:sz w:val="32"/>
          <w:szCs w:val="32"/>
          <w:lang w:val="en-US" w:eastAsia="zh-CN"/>
        </w:rPr>
        <w:t>-</w:t>
      </w:r>
      <w:r>
        <w:rPr>
          <w:rFonts w:hint="eastAsia" w:ascii="仿宋_GB2312" w:hAnsi="NEU-BZ" w:eastAsia="仿宋_GB2312" w:cs="Times New Roman"/>
          <w:kern w:val="0"/>
          <w:sz w:val="32"/>
          <w:szCs w:val="32"/>
        </w:rPr>
        <w:t>产业升级</w:t>
      </w:r>
      <w:r>
        <w:rPr>
          <w:rFonts w:hint="eastAsia" w:ascii="仿宋_GB2312" w:hAnsi="NEU-BZ" w:eastAsia="仿宋_GB2312" w:cs="Times New Roman"/>
          <w:kern w:val="0"/>
          <w:sz w:val="32"/>
          <w:szCs w:val="32"/>
          <w:lang w:val="en-US" w:eastAsia="zh-CN"/>
        </w:rPr>
        <w:t>-</w:t>
      </w:r>
      <w:r>
        <w:rPr>
          <w:rFonts w:hint="eastAsia" w:ascii="仿宋_GB2312" w:hAnsi="NEU-BZ" w:eastAsia="仿宋_GB2312" w:cs="Times New Roman"/>
          <w:kern w:val="0"/>
          <w:sz w:val="32"/>
          <w:szCs w:val="32"/>
        </w:rPr>
        <w:t>税源增长”的良性</w:t>
      </w:r>
      <w:r>
        <w:rPr>
          <w:rFonts w:hint="eastAsia" w:ascii="仿宋_GB2312" w:hAnsi="NEU-BZ" w:eastAsia="仿宋_GB2312" w:cs="Times New Roman"/>
          <w:kern w:val="0"/>
          <w:sz w:val="32"/>
          <w:szCs w:val="32"/>
          <w:lang w:val="en-US" w:eastAsia="zh-CN"/>
        </w:rPr>
        <w:t>循环。</w:t>
      </w:r>
    </w:p>
    <w:p w14:paraId="6C09F271">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hint="eastAsia" w:ascii="仿宋_GB2312" w:hAnsi="NEU-BZ" w:eastAsia="仿宋_GB2312" w:cs="Times New Roman"/>
          <w:kern w:val="0"/>
          <w:sz w:val="32"/>
          <w:szCs w:val="32"/>
        </w:rPr>
      </w:pPr>
      <w:r>
        <w:rPr>
          <w:rFonts w:hint="eastAsia" w:ascii="仿宋_GB2312" w:hAnsi="NEU-BZ" w:eastAsia="仿宋_GB2312" w:cs="Times New Roman"/>
          <w:kern w:val="0"/>
          <w:sz w:val="32"/>
          <w:szCs w:val="32"/>
        </w:rPr>
        <w:t>综合权衡当前经济形势、发展机遇与潜在挑战，结合我县经济社会发展实际情况，2026年全县一般公共预算收入增长预期目标确定为4.5%。这一目标既立足现实、稳妥可行，充分考虑了各类不确定因素，又彰显了主动担当、积极作为的工作导向，具有较强的科学性和指导性。</w:t>
      </w:r>
    </w:p>
    <w:p w14:paraId="565917BA">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hint="eastAsia" w:ascii="仿宋_GB2312" w:hAnsi="NEU-BZ" w:eastAsia="仿宋_GB2312" w:cs="Times New Roman"/>
          <w:kern w:val="0"/>
          <w:sz w:val="32"/>
          <w:szCs w:val="32"/>
        </w:rPr>
      </w:pPr>
      <w:r>
        <w:rPr>
          <w:rFonts w:hint="eastAsia" w:ascii="仿宋_GB2312" w:hAnsi="NEU-BZ" w:eastAsia="仿宋_GB2312" w:cs="Times New Roman"/>
          <w:kern w:val="0"/>
          <w:sz w:val="32"/>
          <w:szCs w:val="32"/>
        </w:rPr>
        <w:t>各乡镇要结合</w:t>
      </w:r>
      <w:r>
        <w:rPr>
          <w:rFonts w:hint="eastAsia" w:ascii="仿宋_GB2312" w:hAnsi="NEU-BZ" w:eastAsia="仿宋_GB2312" w:cs="Times New Roman"/>
          <w:kern w:val="0"/>
          <w:sz w:val="32"/>
          <w:szCs w:val="32"/>
          <w:lang w:val="en-US" w:eastAsia="zh-CN"/>
        </w:rPr>
        <w:t>各自</w:t>
      </w:r>
      <w:r>
        <w:rPr>
          <w:rFonts w:hint="eastAsia" w:ascii="仿宋_GB2312" w:hAnsi="NEU-BZ" w:eastAsia="仿宋_GB2312" w:cs="Times New Roman"/>
          <w:kern w:val="0"/>
          <w:sz w:val="32"/>
          <w:szCs w:val="32"/>
        </w:rPr>
        <w:t>经济基础、税源结构实际，坚持实事求是、精准施策</w:t>
      </w:r>
      <w:r>
        <w:rPr>
          <w:rFonts w:hint="eastAsia" w:ascii="仿宋_GB2312" w:hAnsi="NEU-BZ" w:eastAsia="仿宋_GB2312" w:cs="Times New Roman"/>
          <w:kern w:val="0"/>
          <w:sz w:val="32"/>
          <w:szCs w:val="32"/>
          <w:lang w:eastAsia="zh-CN"/>
        </w:rPr>
        <w:t>、</w:t>
      </w:r>
      <w:r>
        <w:rPr>
          <w:rFonts w:hint="eastAsia" w:ascii="仿宋_GB2312" w:hAnsi="NEU-BZ" w:eastAsia="仿宋_GB2312" w:cs="Times New Roman"/>
          <w:kern w:val="0"/>
          <w:sz w:val="32"/>
          <w:szCs w:val="32"/>
        </w:rPr>
        <w:t>科学合理制定本</w:t>
      </w:r>
      <w:r>
        <w:rPr>
          <w:rFonts w:hint="eastAsia" w:ascii="仿宋_GB2312" w:hAnsi="NEU-BZ" w:eastAsia="仿宋_GB2312" w:cs="Times New Roman"/>
          <w:kern w:val="0"/>
          <w:sz w:val="32"/>
          <w:szCs w:val="32"/>
          <w:lang w:val="en-US" w:eastAsia="zh-CN"/>
        </w:rPr>
        <w:t>年度</w:t>
      </w:r>
      <w:r>
        <w:rPr>
          <w:rFonts w:hint="eastAsia" w:ascii="仿宋_GB2312" w:hAnsi="NEU-BZ" w:eastAsia="仿宋_GB2312" w:cs="Times New Roman"/>
          <w:kern w:val="0"/>
          <w:sz w:val="32"/>
          <w:szCs w:val="32"/>
        </w:rPr>
        <w:t>收入目标，确保财政收入实现稳中有增、良性循环。</w:t>
      </w:r>
    </w:p>
    <w:p w14:paraId="5E3CC6E9">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eastAsia" w:ascii="楷体" w:hAnsi="楷体" w:eastAsia="楷体" w:cs="楷体"/>
          <w:b/>
          <w:bCs/>
          <w:kern w:val="0"/>
          <w:sz w:val="32"/>
          <w:szCs w:val="32"/>
          <w:lang w:eastAsia="zh-CN"/>
        </w:rPr>
      </w:pP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lang w:eastAsia="zh-CN"/>
        </w:rPr>
        <w:t>）预算编制指导思想与原则</w:t>
      </w:r>
    </w:p>
    <w:p w14:paraId="3B45C34E">
      <w:pPr>
        <w:keepNext w:val="0"/>
        <w:keepLines w:val="0"/>
        <w:pageBreakBefore w:val="0"/>
        <w:widowControl w:val="0"/>
        <w:kinsoku/>
        <w:wordWrap/>
        <w:overflowPunct/>
        <w:autoSpaceDE/>
        <w:autoSpaceDN w:val="0"/>
        <w:bidi w:val="0"/>
        <w:adjustRightInd w:val="0"/>
        <w:snapToGrid w:val="0"/>
        <w:spacing w:line="600" w:lineRule="exact"/>
        <w:ind w:firstLine="643" w:firstLineChars="200"/>
        <w:textAlignment w:val="auto"/>
        <w:rPr>
          <w:rFonts w:hint="eastAsia" w:ascii="黑体" w:hAnsi="黑体" w:eastAsia="黑体" w:cs="Times New Roman"/>
          <w:color w:val="auto"/>
          <w:sz w:val="32"/>
          <w:szCs w:val="32"/>
        </w:rPr>
      </w:pPr>
      <w:r>
        <w:rPr>
          <w:rFonts w:hint="eastAsia" w:ascii="仿宋_GB2312" w:hAnsi="Times New Roman" w:eastAsia="仿宋_GB2312" w:cs="Times New Roman"/>
          <w:b/>
          <w:bCs/>
          <w:sz w:val="32"/>
          <w:szCs w:val="32"/>
          <w:lang w:val="en-US" w:eastAsia="zh-CN"/>
        </w:rPr>
        <w:t>1.指导思想</w:t>
      </w:r>
      <w:r>
        <w:rPr>
          <w:rFonts w:hint="eastAsia" w:ascii="仿宋_GB2312" w:hAnsi="Times New Roman" w:eastAsia="仿宋_GB2312" w:cs="Times New Roman"/>
          <w:b/>
          <w:bCs/>
          <w:sz w:val="32"/>
          <w:szCs w:val="32"/>
        </w:rPr>
        <w:t>：</w:t>
      </w:r>
      <w:r>
        <w:rPr>
          <w:rFonts w:hint="eastAsia" w:ascii="黑体" w:hAnsi="黑体" w:eastAsia="黑体" w:cs="Times New Roman"/>
          <w:color w:val="auto"/>
          <w:sz w:val="32"/>
          <w:szCs w:val="32"/>
        </w:rPr>
        <w:t>以习近平新时代中国特色社会主义思想为指导，深入贯彻党的二十大和二十届历次全会精神，深入贯彻习近平总书记在河南考察时重要讲话精神和关于河南工作的重要论述，全面落实中央经济工作会议部署及全国财政工作会议要求，完整、准确、全面贯彻新发展理念，加快构建新发展格局，着力推动高质量发展。坚持稳中求进工作总基调，更好统筹发展和安全，锚定全国财政工作会议提出的“总量增加、结构更优、效益更好、动能更强”目标，实施更加积极有为的财政政策，增强政策前瞻性、针对性、协同性。持续扩大内需、优化供给，深入落实提振消费专项行动与扩大有效投资部署，做优增量、盘活存量，因地制宜发展新质生产力，精准对接制造业升级、乡村振兴等国家产业导向。持续防范化解重点领域风险，着力稳就业</w:t>
      </w:r>
      <w:r>
        <w:rPr>
          <w:rFonts w:hint="eastAsia" w:ascii="黑体" w:hAnsi="黑体" w:eastAsia="黑体" w:cs="Times New Roman"/>
          <w:color w:val="auto"/>
          <w:sz w:val="32"/>
          <w:szCs w:val="32"/>
          <w:lang w:eastAsia="zh-CN"/>
        </w:rPr>
        <w:t>、</w:t>
      </w:r>
      <w:r>
        <w:rPr>
          <w:rFonts w:hint="eastAsia" w:ascii="黑体" w:hAnsi="黑体" w:eastAsia="黑体" w:cs="Times New Roman"/>
          <w:color w:val="auto"/>
          <w:sz w:val="32"/>
          <w:szCs w:val="32"/>
        </w:rPr>
        <w:t>稳企业</w:t>
      </w:r>
      <w:r>
        <w:rPr>
          <w:rFonts w:hint="eastAsia" w:ascii="黑体" w:hAnsi="黑体" w:eastAsia="黑体" w:cs="Times New Roman"/>
          <w:color w:val="auto"/>
          <w:sz w:val="32"/>
          <w:szCs w:val="32"/>
          <w:lang w:eastAsia="zh-CN"/>
        </w:rPr>
        <w:t>、</w:t>
      </w:r>
      <w:r>
        <w:rPr>
          <w:rFonts w:hint="eastAsia" w:ascii="黑体" w:hAnsi="黑体" w:eastAsia="黑体" w:cs="Times New Roman"/>
          <w:color w:val="auto"/>
          <w:sz w:val="32"/>
          <w:szCs w:val="32"/>
        </w:rPr>
        <w:t>稳市场</w:t>
      </w:r>
      <w:r>
        <w:rPr>
          <w:rFonts w:hint="eastAsia" w:ascii="黑体" w:hAnsi="黑体" w:eastAsia="黑体" w:cs="Times New Roman"/>
          <w:color w:val="auto"/>
          <w:sz w:val="32"/>
          <w:szCs w:val="32"/>
          <w:lang w:eastAsia="zh-CN"/>
        </w:rPr>
        <w:t>、</w:t>
      </w:r>
      <w:r>
        <w:rPr>
          <w:rFonts w:hint="eastAsia" w:ascii="黑体" w:hAnsi="黑体" w:eastAsia="黑体" w:cs="Times New Roman"/>
          <w:color w:val="auto"/>
          <w:sz w:val="32"/>
          <w:szCs w:val="32"/>
        </w:rPr>
        <w:t>稳预期，推动经济实现质的有效提升和量的合理增长，保持社会和谐稳定，为实现“十五五”良好开局提供坚实财政支撑。</w:t>
      </w:r>
    </w:p>
    <w:p w14:paraId="27C0A504">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bCs/>
          <w:spacing w:val="3"/>
          <w:kern w:val="0"/>
          <w:sz w:val="32"/>
          <w:szCs w:val="32"/>
          <w:lang w:val="en-US" w:eastAsia="zh-CN"/>
        </w:rPr>
      </w:pPr>
      <w:r>
        <w:rPr>
          <w:rFonts w:hint="eastAsia" w:ascii="仿宋_GB2312" w:hAnsi="Times New Roman" w:eastAsia="仿宋_GB2312" w:cs="Times New Roman"/>
          <w:b/>
          <w:bCs/>
          <w:spacing w:val="3"/>
          <w:kern w:val="0"/>
          <w:sz w:val="32"/>
          <w:szCs w:val="32"/>
          <w:lang w:val="en-US" w:eastAsia="zh-CN"/>
        </w:rPr>
        <w:t>2.编制原则</w:t>
      </w:r>
    </w:p>
    <w:p w14:paraId="6FDAB961">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val="0"/>
          <w:bCs/>
          <w:spacing w:val="3"/>
          <w:kern w:val="0"/>
          <w:sz w:val="32"/>
          <w:szCs w:val="32"/>
        </w:rPr>
      </w:pPr>
      <w:r>
        <w:rPr>
          <w:rFonts w:hint="eastAsia" w:ascii="仿宋_GB2312" w:hAnsi="Times New Roman" w:eastAsia="仿宋_GB2312" w:cs="Times New Roman"/>
          <w:b/>
          <w:bCs w:val="0"/>
          <w:spacing w:val="3"/>
          <w:kern w:val="0"/>
          <w:sz w:val="32"/>
          <w:szCs w:val="32"/>
        </w:rPr>
        <w:t>一是坚持量入为出。</w:t>
      </w:r>
      <w:r>
        <w:rPr>
          <w:rFonts w:hint="eastAsia" w:ascii="仿宋_GB2312" w:hAnsi="Times New Roman" w:eastAsia="仿宋_GB2312" w:cs="Times New Roman"/>
          <w:b w:val="0"/>
          <w:bCs/>
          <w:spacing w:val="3"/>
          <w:kern w:val="0"/>
          <w:sz w:val="32"/>
          <w:szCs w:val="32"/>
        </w:rPr>
        <w:t>持续抓好过紧日子有关法规文件的落实，有多少钱办多少事，决不能大手大脚，不能“寅吃卯粮”。</w:t>
      </w:r>
    </w:p>
    <w:p w14:paraId="11AFABE5">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val="0"/>
          <w:bCs/>
          <w:spacing w:val="3"/>
          <w:kern w:val="0"/>
          <w:sz w:val="32"/>
          <w:szCs w:val="32"/>
        </w:rPr>
      </w:pPr>
      <w:r>
        <w:rPr>
          <w:rFonts w:hint="eastAsia" w:ascii="仿宋_GB2312" w:hAnsi="Times New Roman" w:eastAsia="仿宋_GB2312" w:cs="Times New Roman"/>
          <w:b/>
          <w:bCs w:val="0"/>
          <w:spacing w:val="3"/>
          <w:kern w:val="0"/>
          <w:sz w:val="32"/>
          <w:szCs w:val="32"/>
        </w:rPr>
        <w:t>二是坚持靠前发力。</w:t>
      </w:r>
      <w:r>
        <w:rPr>
          <w:rFonts w:hint="eastAsia" w:ascii="仿宋_GB2312" w:hAnsi="Times New Roman" w:eastAsia="仿宋_GB2312" w:cs="Times New Roman"/>
          <w:b w:val="0"/>
          <w:bCs/>
          <w:spacing w:val="3"/>
          <w:kern w:val="0"/>
          <w:sz w:val="32"/>
          <w:szCs w:val="32"/>
        </w:rPr>
        <w:t>工作谋划要早，落地执行要快，不能按节奏办事，行动越早越主动。</w:t>
      </w:r>
    </w:p>
    <w:p w14:paraId="74F84780">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val="0"/>
          <w:bCs/>
          <w:spacing w:val="3"/>
          <w:kern w:val="0"/>
          <w:sz w:val="32"/>
          <w:szCs w:val="32"/>
        </w:rPr>
      </w:pPr>
      <w:r>
        <w:rPr>
          <w:rFonts w:hint="eastAsia" w:ascii="仿宋_GB2312" w:hAnsi="Times New Roman" w:eastAsia="仿宋_GB2312" w:cs="Times New Roman"/>
          <w:b/>
          <w:bCs w:val="0"/>
          <w:spacing w:val="3"/>
          <w:kern w:val="0"/>
          <w:sz w:val="32"/>
          <w:szCs w:val="32"/>
        </w:rPr>
        <w:t>三是坚持防范风险。</w:t>
      </w:r>
      <w:r>
        <w:rPr>
          <w:rFonts w:hint="eastAsia" w:ascii="仿宋_GB2312" w:hAnsi="Times New Roman" w:eastAsia="仿宋_GB2312" w:cs="Times New Roman"/>
          <w:b w:val="0"/>
          <w:bCs/>
          <w:spacing w:val="3"/>
          <w:kern w:val="0"/>
          <w:sz w:val="32"/>
          <w:szCs w:val="32"/>
        </w:rPr>
        <w:t>时刻警惕可能冲击财政平稳运行和可持续性的苗头性、倾向性问题，预防在先、防患未然，避免事后处置的巨大成本。</w:t>
      </w:r>
    </w:p>
    <w:p w14:paraId="4DFAF638">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val="0"/>
          <w:bCs/>
          <w:spacing w:val="3"/>
          <w:kern w:val="0"/>
          <w:sz w:val="32"/>
          <w:szCs w:val="32"/>
        </w:rPr>
      </w:pPr>
      <w:r>
        <w:rPr>
          <w:rFonts w:hint="eastAsia" w:ascii="仿宋_GB2312" w:hAnsi="Times New Roman" w:eastAsia="仿宋_GB2312" w:cs="Times New Roman"/>
          <w:b/>
          <w:bCs w:val="0"/>
          <w:spacing w:val="3"/>
          <w:kern w:val="0"/>
          <w:sz w:val="32"/>
          <w:szCs w:val="32"/>
        </w:rPr>
        <w:t>四是坚持政策评估。</w:t>
      </w:r>
      <w:r>
        <w:rPr>
          <w:rFonts w:hint="eastAsia" w:ascii="仿宋_GB2312" w:hAnsi="Times New Roman" w:eastAsia="仿宋_GB2312" w:cs="Times New Roman"/>
          <w:b w:val="0"/>
          <w:bCs/>
          <w:spacing w:val="3"/>
          <w:kern w:val="0"/>
          <w:sz w:val="32"/>
          <w:szCs w:val="32"/>
        </w:rPr>
        <w:t>多维度关注政策实施效果，多层面听取企业和群众对政策的意见建议，及时调整完善政策，确保政策力度的适度性和协调性。</w:t>
      </w:r>
    </w:p>
    <w:p w14:paraId="5305FD27">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楷体_GB2312" w:hAnsi="楷体" w:eastAsia="楷体_GB2312" w:cs="Times New Roman"/>
          <w:b/>
          <w:bCs/>
          <w:spacing w:val="3"/>
          <w:sz w:val="32"/>
          <w:szCs w:val="32"/>
        </w:rPr>
      </w:pPr>
      <w:r>
        <w:rPr>
          <w:rFonts w:hint="eastAsia" w:ascii="楷体_GB2312" w:hAnsi="楷体" w:eastAsia="楷体_GB2312" w:cs="Times New Roman"/>
          <w:b/>
          <w:bCs/>
          <w:spacing w:val="3"/>
          <w:sz w:val="32"/>
          <w:szCs w:val="32"/>
        </w:rPr>
        <w:t>（</w:t>
      </w:r>
      <w:r>
        <w:rPr>
          <w:rFonts w:hint="eastAsia" w:ascii="楷体_GB2312" w:hAnsi="楷体" w:eastAsia="楷体_GB2312" w:cs="Times New Roman"/>
          <w:b/>
          <w:bCs/>
          <w:spacing w:val="3"/>
          <w:sz w:val="32"/>
          <w:szCs w:val="32"/>
          <w:lang w:val="en-US" w:eastAsia="zh-CN"/>
        </w:rPr>
        <w:t>三</w:t>
      </w:r>
      <w:r>
        <w:rPr>
          <w:rFonts w:hint="eastAsia" w:ascii="楷体_GB2312" w:hAnsi="楷体" w:eastAsia="楷体_GB2312" w:cs="Times New Roman"/>
          <w:b/>
          <w:bCs/>
          <w:spacing w:val="3"/>
          <w:sz w:val="32"/>
          <w:szCs w:val="32"/>
        </w:rPr>
        <w:t>）202</w:t>
      </w:r>
      <w:r>
        <w:rPr>
          <w:rFonts w:hint="eastAsia" w:ascii="楷体_GB2312" w:hAnsi="楷体" w:eastAsia="楷体_GB2312" w:cs="Times New Roman"/>
          <w:b/>
          <w:bCs/>
          <w:spacing w:val="3"/>
          <w:sz w:val="32"/>
          <w:szCs w:val="32"/>
          <w:lang w:val="en-US" w:eastAsia="zh-CN"/>
        </w:rPr>
        <w:t>6</w:t>
      </w:r>
      <w:r>
        <w:rPr>
          <w:rFonts w:hint="eastAsia" w:ascii="楷体_GB2312" w:hAnsi="楷体" w:eastAsia="楷体_GB2312" w:cs="Times New Roman"/>
          <w:b/>
          <w:bCs/>
          <w:spacing w:val="3"/>
          <w:sz w:val="32"/>
          <w:szCs w:val="32"/>
        </w:rPr>
        <w:t>年收支预算安排情况</w:t>
      </w:r>
    </w:p>
    <w:p w14:paraId="27CD9F81">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bCs/>
          <w:spacing w:val="3"/>
          <w:sz w:val="32"/>
          <w:szCs w:val="32"/>
        </w:rPr>
      </w:pPr>
      <w:r>
        <w:rPr>
          <w:rFonts w:hint="eastAsia" w:ascii="仿宋_GB2312" w:hAnsi="Times New Roman" w:eastAsia="仿宋_GB2312" w:cs="Times New Roman"/>
          <w:b/>
          <w:bCs/>
          <w:spacing w:val="3"/>
          <w:sz w:val="32"/>
          <w:szCs w:val="32"/>
        </w:rPr>
        <w:t>1</w:t>
      </w:r>
      <w:r>
        <w:rPr>
          <w:rFonts w:hint="eastAsia" w:ascii="仿宋_GB2312" w:hAnsi="Times New Roman" w:eastAsia="仿宋_GB2312" w:cs="Times New Roman"/>
          <w:b/>
          <w:bCs/>
          <w:spacing w:val="3"/>
          <w:sz w:val="32"/>
          <w:szCs w:val="32"/>
          <w:lang w:val="en-US" w:eastAsia="zh-CN"/>
        </w:rPr>
        <w:t>.</w:t>
      </w:r>
      <w:r>
        <w:rPr>
          <w:rFonts w:hint="eastAsia" w:ascii="仿宋_GB2312" w:hAnsi="Times New Roman" w:eastAsia="仿宋_GB2312" w:cs="Times New Roman"/>
          <w:b/>
          <w:bCs/>
          <w:spacing w:val="3"/>
          <w:sz w:val="32"/>
          <w:szCs w:val="32"/>
        </w:rPr>
        <w:t>一般公共预算</w:t>
      </w:r>
    </w:p>
    <w:p w14:paraId="6848E869">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lang w:val="en-US" w:eastAsia="zh-CN"/>
        </w:rPr>
        <w:t>2026</w:t>
      </w:r>
      <w:r>
        <w:rPr>
          <w:rFonts w:hint="eastAsia" w:ascii="仿宋_GB2312" w:hAnsi="Times New Roman" w:eastAsia="仿宋_GB2312" w:cs="Times New Roman"/>
          <w:spacing w:val="3"/>
          <w:kern w:val="0"/>
          <w:sz w:val="32"/>
          <w:szCs w:val="32"/>
        </w:rPr>
        <w:t>年全县一般公共预算收入安排</w:t>
      </w:r>
      <w:r>
        <w:rPr>
          <w:rFonts w:hint="eastAsia" w:ascii="仿宋_GB2312" w:hAnsi="Times New Roman" w:eastAsia="仿宋_GB2312" w:cs="Times New Roman"/>
          <w:spacing w:val="3"/>
          <w:kern w:val="0"/>
          <w:sz w:val="32"/>
          <w:szCs w:val="32"/>
          <w:lang w:val="en-US" w:eastAsia="zh-CN"/>
        </w:rPr>
        <w:t>21.22</w:t>
      </w:r>
      <w:r>
        <w:rPr>
          <w:rFonts w:hint="eastAsia" w:ascii="仿宋_GB2312" w:hAnsi="Times New Roman" w:eastAsia="仿宋_GB2312" w:cs="Times New Roman"/>
          <w:spacing w:val="3"/>
          <w:kern w:val="0"/>
          <w:sz w:val="32"/>
          <w:szCs w:val="32"/>
        </w:rPr>
        <w:t>亿元（按增长</w:t>
      </w:r>
      <w:r>
        <w:rPr>
          <w:rFonts w:hint="eastAsia" w:ascii="仿宋_GB2312" w:hAnsi="Times New Roman" w:eastAsia="仿宋_GB2312" w:cs="Times New Roman"/>
          <w:spacing w:val="3"/>
          <w:kern w:val="0"/>
          <w:sz w:val="32"/>
          <w:szCs w:val="32"/>
          <w:lang w:val="en-US" w:eastAsia="zh-CN"/>
        </w:rPr>
        <w:t>4.5%</w:t>
      </w:r>
      <w:r>
        <w:rPr>
          <w:rFonts w:hint="eastAsia" w:ascii="仿宋_GB2312" w:hAnsi="Times New Roman" w:eastAsia="仿宋_GB2312" w:cs="Times New Roman"/>
          <w:spacing w:val="3"/>
          <w:kern w:val="0"/>
          <w:sz w:val="32"/>
          <w:szCs w:val="32"/>
        </w:rPr>
        <w:t>测算），其中：税收收入</w:t>
      </w:r>
      <w:r>
        <w:rPr>
          <w:rFonts w:hint="eastAsia" w:ascii="仿宋_GB2312" w:hAnsi="Times New Roman" w:eastAsia="仿宋_GB2312" w:cs="Times New Roman"/>
          <w:spacing w:val="3"/>
          <w:kern w:val="0"/>
          <w:sz w:val="32"/>
          <w:szCs w:val="32"/>
          <w:lang w:val="en-US" w:eastAsia="zh-CN"/>
        </w:rPr>
        <w:t>13.81</w:t>
      </w:r>
      <w:r>
        <w:rPr>
          <w:rFonts w:hint="eastAsia" w:ascii="仿宋_GB2312" w:hAnsi="Times New Roman" w:eastAsia="仿宋_GB2312" w:cs="Times New Roman"/>
          <w:spacing w:val="3"/>
          <w:kern w:val="0"/>
          <w:sz w:val="32"/>
          <w:szCs w:val="32"/>
        </w:rPr>
        <w:t>亿元，非税收入</w:t>
      </w:r>
      <w:r>
        <w:rPr>
          <w:rFonts w:hint="eastAsia" w:ascii="仿宋_GB2312" w:hAnsi="Times New Roman" w:eastAsia="仿宋_GB2312" w:cs="Times New Roman"/>
          <w:spacing w:val="3"/>
          <w:kern w:val="0"/>
          <w:sz w:val="32"/>
          <w:szCs w:val="32"/>
          <w:lang w:val="en-US" w:eastAsia="zh-CN"/>
        </w:rPr>
        <w:t>7.41</w:t>
      </w:r>
      <w:r>
        <w:rPr>
          <w:rFonts w:hint="eastAsia" w:ascii="仿宋_GB2312" w:hAnsi="Times New Roman" w:eastAsia="仿宋_GB2312" w:cs="Times New Roman"/>
          <w:spacing w:val="3"/>
          <w:kern w:val="0"/>
          <w:sz w:val="32"/>
          <w:szCs w:val="32"/>
        </w:rPr>
        <w:t>亿元；加上年结余</w:t>
      </w:r>
      <w:r>
        <w:rPr>
          <w:rFonts w:hint="eastAsia" w:ascii="仿宋_GB2312" w:hAnsi="Times New Roman" w:eastAsia="仿宋_GB2312" w:cs="Times New Roman"/>
          <w:spacing w:val="3"/>
          <w:kern w:val="0"/>
          <w:sz w:val="32"/>
          <w:szCs w:val="32"/>
          <w:lang w:val="en-US" w:eastAsia="zh-CN"/>
        </w:rPr>
        <w:t>1.02</w:t>
      </w:r>
      <w:r>
        <w:rPr>
          <w:rFonts w:hint="eastAsia" w:ascii="仿宋_GB2312" w:hAnsi="Times New Roman" w:eastAsia="仿宋_GB2312" w:cs="Times New Roman"/>
          <w:spacing w:val="3"/>
          <w:kern w:val="0"/>
          <w:sz w:val="32"/>
          <w:szCs w:val="32"/>
        </w:rPr>
        <w:t>亿元</w:t>
      </w:r>
      <w:r>
        <w:rPr>
          <w:rFonts w:hint="eastAsia" w:ascii="仿宋_GB2312" w:hAnsi="Times New Roman" w:eastAsia="仿宋_GB2312" w:cs="Times New Roman"/>
          <w:spacing w:val="3"/>
          <w:kern w:val="0"/>
          <w:sz w:val="32"/>
          <w:szCs w:val="32"/>
          <w:lang w:eastAsia="zh-CN"/>
        </w:rPr>
        <w:t>，</w:t>
      </w:r>
      <w:r>
        <w:rPr>
          <w:rFonts w:hint="eastAsia" w:ascii="仿宋_GB2312" w:hAnsi="Times New Roman" w:eastAsia="仿宋_GB2312" w:cs="Times New Roman"/>
          <w:spacing w:val="3"/>
          <w:kern w:val="0"/>
          <w:sz w:val="32"/>
          <w:szCs w:val="32"/>
        </w:rPr>
        <w:t>转移支付收入</w:t>
      </w:r>
      <w:r>
        <w:rPr>
          <w:rFonts w:hint="eastAsia" w:ascii="仿宋_GB2312" w:hAnsi="Times New Roman" w:eastAsia="仿宋_GB2312" w:cs="Times New Roman"/>
          <w:spacing w:val="3"/>
          <w:kern w:val="0"/>
          <w:sz w:val="32"/>
          <w:szCs w:val="32"/>
          <w:lang w:val="en-US" w:eastAsia="zh-CN"/>
        </w:rPr>
        <w:t>10.27</w:t>
      </w:r>
      <w:r>
        <w:rPr>
          <w:rFonts w:hint="eastAsia" w:ascii="仿宋_GB2312" w:hAnsi="Times New Roman" w:eastAsia="仿宋_GB2312" w:cs="Times New Roman"/>
          <w:spacing w:val="3"/>
          <w:kern w:val="0"/>
          <w:sz w:val="32"/>
          <w:szCs w:val="32"/>
        </w:rPr>
        <w:t>亿元</w:t>
      </w:r>
      <w:r>
        <w:rPr>
          <w:rFonts w:hint="eastAsia" w:ascii="仿宋_GB2312" w:hAnsi="Times New Roman" w:eastAsia="仿宋_GB2312" w:cs="Times New Roman"/>
          <w:spacing w:val="3"/>
          <w:kern w:val="0"/>
          <w:sz w:val="32"/>
          <w:szCs w:val="32"/>
          <w:lang w:eastAsia="zh-CN"/>
        </w:rPr>
        <w:t>，</w:t>
      </w:r>
      <w:r>
        <w:rPr>
          <w:rFonts w:hint="eastAsia" w:ascii="仿宋_GB2312" w:hAnsi="Times New Roman" w:eastAsia="仿宋_GB2312" w:cs="Times New Roman"/>
          <w:spacing w:val="3"/>
          <w:kern w:val="0"/>
          <w:sz w:val="32"/>
          <w:szCs w:val="32"/>
        </w:rPr>
        <w:t>当年收入总计</w:t>
      </w:r>
      <w:r>
        <w:rPr>
          <w:rFonts w:hint="eastAsia" w:ascii="仿宋_GB2312" w:hAnsi="Times New Roman" w:eastAsia="仿宋_GB2312" w:cs="Times New Roman"/>
          <w:spacing w:val="3"/>
          <w:kern w:val="0"/>
          <w:sz w:val="32"/>
          <w:szCs w:val="32"/>
          <w:lang w:val="en-US" w:eastAsia="zh-CN"/>
        </w:rPr>
        <w:t>32.51</w:t>
      </w:r>
      <w:r>
        <w:rPr>
          <w:rFonts w:hint="eastAsia" w:ascii="仿宋_GB2312" w:hAnsi="Times New Roman" w:eastAsia="仿宋_GB2312" w:cs="Times New Roman"/>
          <w:spacing w:val="3"/>
          <w:kern w:val="0"/>
          <w:sz w:val="32"/>
          <w:szCs w:val="32"/>
        </w:rPr>
        <w:t>亿元。</w:t>
      </w:r>
    </w:p>
    <w:p w14:paraId="166CE5A4">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按照以收定支原则，</w:t>
      </w:r>
      <w:r>
        <w:rPr>
          <w:rFonts w:hint="eastAsia" w:ascii="仿宋_GB2312" w:hAnsi="Times New Roman" w:eastAsia="仿宋_GB2312" w:cs="Times New Roman"/>
          <w:spacing w:val="3"/>
          <w:kern w:val="0"/>
          <w:sz w:val="32"/>
          <w:szCs w:val="32"/>
          <w:lang w:val="en-US" w:eastAsia="zh-CN"/>
        </w:rPr>
        <w:t>扣除上解支出4亿元后，2026</w:t>
      </w:r>
      <w:r>
        <w:rPr>
          <w:rFonts w:hint="eastAsia" w:ascii="仿宋_GB2312" w:hAnsi="Times New Roman" w:eastAsia="仿宋_GB2312" w:cs="Times New Roman"/>
          <w:spacing w:val="3"/>
          <w:kern w:val="0"/>
          <w:sz w:val="32"/>
          <w:szCs w:val="32"/>
        </w:rPr>
        <w:t>年安排一般公共预算支</w:t>
      </w:r>
      <w:r>
        <w:rPr>
          <w:rFonts w:hint="eastAsia" w:ascii="仿宋_GB2312" w:hAnsi="Times New Roman" w:eastAsia="仿宋_GB2312" w:cs="Times New Roman"/>
          <w:spacing w:val="3"/>
          <w:kern w:val="0"/>
          <w:sz w:val="32"/>
          <w:szCs w:val="32"/>
          <w:lang w:val="en-US" w:eastAsia="zh-CN"/>
        </w:rPr>
        <w:t>28.51</w:t>
      </w:r>
      <w:r>
        <w:rPr>
          <w:rFonts w:hint="eastAsia" w:ascii="仿宋_GB2312" w:hAnsi="Times New Roman" w:eastAsia="仿宋_GB2312" w:cs="Times New Roman"/>
          <w:spacing w:val="3"/>
          <w:kern w:val="0"/>
          <w:sz w:val="32"/>
          <w:szCs w:val="32"/>
        </w:rPr>
        <w:t>亿元，实现收支平衡。</w:t>
      </w:r>
    </w:p>
    <w:p w14:paraId="0E0FB709">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b/>
          <w:spacing w:val="3"/>
          <w:kern w:val="0"/>
          <w:sz w:val="32"/>
          <w:szCs w:val="32"/>
        </w:rPr>
        <w:t xml:space="preserve">县本级收支预算情况: </w:t>
      </w:r>
      <w:r>
        <w:rPr>
          <w:rFonts w:hint="eastAsia" w:ascii="仿宋_GB2312" w:hAnsi="Times New Roman" w:eastAsia="仿宋_GB2312" w:cs="Times New Roman"/>
          <w:spacing w:val="3"/>
          <w:kern w:val="0"/>
          <w:sz w:val="32"/>
          <w:szCs w:val="32"/>
        </w:rPr>
        <w:t></w:t>
      </w:r>
    </w:p>
    <w:p w14:paraId="677031C5">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b/>
          <w:bCs/>
          <w:spacing w:val="3"/>
          <w:kern w:val="0"/>
          <w:sz w:val="32"/>
          <w:szCs w:val="32"/>
        </w:rPr>
        <w:t>收入：</w:t>
      </w:r>
      <w:r>
        <w:rPr>
          <w:rFonts w:hint="eastAsia" w:ascii="仿宋_GB2312" w:hAnsi="Times New Roman" w:eastAsia="仿宋_GB2312" w:cs="Times New Roman"/>
          <w:spacing w:val="3"/>
          <w:kern w:val="0"/>
          <w:sz w:val="32"/>
          <w:szCs w:val="32"/>
        </w:rPr>
        <w:t>2026 年县本级一般公共预算收入安排</w:t>
      </w:r>
      <w:r>
        <w:rPr>
          <w:rFonts w:hint="eastAsia" w:ascii="仿宋_GB2312" w:hAnsi="Times New Roman" w:eastAsia="仿宋_GB2312" w:cs="Times New Roman"/>
          <w:spacing w:val="3"/>
          <w:kern w:val="0"/>
          <w:sz w:val="32"/>
          <w:szCs w:val="32"/>
          <w:lang w:val="en-US" w:eastAsia="zh-CN"/>
        </w:rPr>
        <w:t>16.78</w:t>
      </w:r>
      <w:r>
        <w:rPr>
          <w:rFonts w:hint="eastAsia" w:ascii="仿宋_GB2312" w:hAnsi="Times New Roman" w:eastAsia="仿宋_GB2312" w:cs="Times New Roman"/>
          <w:spacing w:val="3"/>
          <w:kern w:val="0"/>
          <w:sz w:val="32"/>
          <w:szCs w:val="32"/>
        </w:rPr>
        <w:t>亿元，其中：税收收入</w:t>
      </w:r>
      <w:r>
        <w:rPr>
          <w:rFonts w:hint="eastAsia" w:ascii="仿宋_GB2312" w:hAnsi="Times New Roman" w:eastAsia="仿宋_GB2312" w:cs="Times New Roman"/>
          <w:spacing w:val="3"/>
          <w:kern w:val="0"/>
          <w:sz w:val="32"/>
          <w:szCs w:val="32"/>
          <w:lang w:val="en-US" w:eastAsia="zh-CN"/>
        </w:rPr>
        <w:t>10.51</w:t>
      </w:r>
      <w:r>
        <w:rPr>
          <w:rFonts w:hint="eastAsia" w:ascii="仿宋_GB2312" w:hAnsi="Times New Roman" w:eastAsia="仿宋_GB2312" w:cs="Times New Roman"/>
          <w:spacing w:val="3"/>
          <w:kern w:val="0"/>
          <w:sz w:val="32"/>
          <w:szCs w:val="32"/>
        </w:rPr>
        <w:t>亿元，非税收入</w:t>
      </w:r>
      <w:r>
        <w:rPr>
          <w:rFonts w:hint="eastAsia" w:ascii="仿宋_GB2312" w:hAnsi="Times New Roman" w:eastAsia="仿宋_GB2312" w:cs="Times New Roman"/>
          <w:spacing w:val="3"/>
          <w:kern w:val="0"/>
          <w:sz w:val="32"/>
          <w:szCs w:val="32"/>
          <w:lang w:val="en-US" w:eastAsia="zh-CN"/>
        </w:rPr>
        <w:t>6.27</w:t>
      </w:r>
      <w:r>
        <w:rPr>
          <w:rFonts w:hint="eastAsia" w:ascii="仿宋_GB2312" w:hAnsi="Times New Roman" w:eastAsia="仿宋_GB2312" w:cs="Times New Roman"/>
          <w:spacing w:val="3"/>
          <w:kern w:val="0"/>
          <w:sz w:val="32"/>
          <w:szCs w:val="32"/>
        </w:rPr>
        <w:t>亿元；</w:t>
      </w:r>
    </w:p>
    <w:p w14:paraId="6AB28CE2">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b/>
          <w:bCs/>
          <w:spacing w:val="3"/>
          <w:kern w:val="0"/>
          <w:sz w:val="32"/>
          <w:szCs w:val="32"/>
        </w:rPr>
        <w:t>支出：</w:t>
      </w:r>
      <w:r>
        <w:rPr>
          <w:rFonts w:hint="eastAsia" w:ascii="仿宋_GB2312" w:hAnsi="Times New Roman" w:eastAsia="仿宋_GB2312" w:cs="Times New Roman"/>
          <w:spacing w:val="3"/>
          <w:kern w:val="0"/>
          <w:sz w:val="32"/>
          <w:szCs w:val="32"/>
        </w:rPr>
        <w:t>县本级一般公共预算支出安排</w:t>
      </w:r>
      <w:r>
        <w:rPr>
          <w:rFonts w:hint="eastAsia" w:ascii="仿宋_GB2312" w:hAnsi="Times New Roman" w:eastAsia="仿宋_GB2312" w:cs="Times New Roman"/>
          <w:spacing w:val="3"/>
          <w:kern w:val="0"/>
          <w:sz w:val="32"/>
          <w:szCs w:val="32"/>
          <w:lang w:val="en-US" w:eastAsia="zh-CN"/>
        </w:rPr>
        <w:t>25.28</w:t>
      </w:r>
      <w:r>
        <w:rPr>
          <w:rFonts w:hint="eastAsia" w:ascii="仿宋_GB2312" w:hAnsi="Times New Roman" w:eastAsia="仿宋_GB2312" w:cs="Times New Roman"/>
          <w:spacing w:val="3"/>
          <w:kern w:val="0"/>
          <w:sz w:val="32"/>
          <w:szCs w:val="32"/>
        </w:rPr>
        <w:t>亿元，重点保障县级层面“三保”支出、重点项目建设和民生事业发展。</w:t>
      </w:r>
    </w:p>
    <w:p w14:paraId="5ED39ECE">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spacing w:val="3"/>
          <w:kern w:val="0"/>
          <w:sz w:val="32"/>
          <w:szCs w:val="32"/>
        </w:rPr>
      </w:pPr>
      <w:r>
        <w:rPr>
          <w:rFonts w:hint="eastAsia" w:ascii="仿宋_GB2312" w:hAnsi="Times New Roman" w:eastAsia="仿宋_GB2312" w:cs="Times New Roman"/>
          <w:b/>
          <w:spacing w:val="3"/>
          <w:kern w:val="0"/>
          <w:sz w:val="32"/>
          <w:szCs w:val="32"/>
        </w:rPr>
        <w:t>2</w:t>
      </w:r>
      <w:r>
        <w:rPr>
          <w:rFonts w:hint="eastAsia" w:ascii="仿宋_GB2312" w:hAnsi="Times New Roman" w:eastAsia="仿宋_GB2312" w:cs="Times New Roman"/>
          <w:b/>
          <w:spacing w:val="3"/>
          <w:kern w:val="0"/>
          <w:sz w:val="32"/>
          <w:szCs w:val="32"/>
          <w:lang w:val="en-US" w:eastAsia="zh-CN"/>
        </w:rPr>
        <w:t>.</w:t>
      </w:r>
      <w:r>
        <w:rPr>
          <w:rFonts w:hint="eastAsia" w:ascii="仿宋_GB2312" w:hAnsi="Times New Roman" w:eastAsia="仿宋_GB2312" w:cs="Times New Roman"/>
          <w:b/>
          <w:spacing w:val="3"/>
          <w:kern w:val="0"/>
          <w:sz w:val="32"/>
          <w:szCs w:val="32"/>
        </w:rPr>
        <w:t>政府性基金预算</w:t>
      </w:r>
    </w:p>
    <w:p w14:paraId="2EB2B6DF">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lang w:val="en-US" w:eastAsia="zh-CN"/>
        </w:rPr>
        <w:t>2026</w:t>
      </w:r>
      <w:r>
        <w:rPr>
          <w:rFonts w:hint="eastAsia" w:ascii="仿宋_GB2312" w:hAnsi="Times New Roman" w:eastAsia="仿宋_GB2312" w:cs="Times New Roman"/>
          <w:spacing w:val="3"/>
          <w:kern w:val="0"/>
          <w:sz w:val="32"/>
          <w:szCs w:val="32"/>
        </w:rPr>
        <w:t>年全县政府性基金预算收入安排</w:t>
      </w:r>
      <w:r>
        <w:rPr>
          <w:rFonts w:hint="eastAsia" w:ascii="仿宋_GB2312" w:hAnsi="Times New Roman" w:eastAsia="仿宋_GB2312" w:cs="Times New Roman"/>
          <w:spacing w:val="3"/>
          <w:kern w:val="0"/>
          <w:sz w:val="32"/>
          <w:szCs w:val="32"/>
          <w:lang w:val="en-US" w:eastAsia="zh-CN"/>
        </w:rPr>
        <w:t>4.96</w:t>
      </w:r>
      <w:r>
        <w:rPr>
          <w:rFonts w:hint="eastAsia" w:ascii="仿宋_GB2312" w:hAnsi="Times New Roman" w:eastAsia="仿宋_GB2312" w:cs="Times New Roman"/>
          <w:spacing w:val="3"/>
          <w:kern w:val="0"/>
          <w:sz w:val="32"/>
          <w:szCs w:val="32"/>
        </w:rPr>
        <w:t>亿元，加上年结余</w:t>
      </w:r>
      <w:r>
        <w:rPr>
          <w:rFonts w:hint="eastAsia" w:ascii="仿宋_GB2312" w:hAnsi="Times New Roman" w:eastAsia="仿宋_GB2312" w:cs="Times New Roman"/>
          <w:spacing w:val="3"/>
          <w:kern w:val="0"/>
          <w:sz w:val="32"/>
          <w:szCs w:val="32"/>
          <w:lang w:val="en-US" w:eastAsia="zh-CN"/>
        </w:rPr>
        <w:t>1.46</w:t>
      </w:r>
      <w:r>
        <w:rPr>
          <w:rFonts w:hint="eastAsia" w:ascii="仿宋_GB2312" w:hAnsi="Times New Roman" w:eastAsia="仿宋_GB2312" w:cs="Times New Roman"/>
          <w:spacing w:val="3"/>
          <w:kern w:val="0"/>
          <w:sz w:val="32"/>
          <w:szCs w:val="32"/>
        </w:rPr>
        <w:t>亿元、上级提前告知补助收入</w:t>
      </w:r>
      <w:r>
        <w:rPr>
          <w:rFonts w:hint="eastAsia" w:ascii="仿宋_GB2312" w:hAnsi="Times New Roman" w:eastAsia="仿宋_GB2312" w:cs="Times New Roman"/>
          <w:spacing w:val="3"/>
          <w:kern w:val="0"/>
          <w:sz w:val="32"/>
          <w:szCs w:val="32"/>
          <w:lang w:val="en-US" w:eastAsia="zh-CN"/>
        </w:rPr>
        <w:t>616</w:t>
      </w:r>
      <w:r>
        <w:rPr>
          <w:rFonts w:hint="eastAsia" w:ascii="仿宋_GB2312" w:hAnsi="Times New Roman" w:eastAsia="仿宋_GB2312" w:cs="Times New Roman"/>
          <w:spacing w:val="3"/>
          <w:kern w:val="0"/>
          <w:sz w:val="32"/>
          <w:szCs w:val="32"/>
        </w:rPr>
        <w:t>万元，</w:t>
      </w:r>
      <w:r>
        <w:rPr>
          <w:rFonts w:hint="eastAsia" w:ascii="仿宋_GB2312" w:hAnsi="Times New Roman" w:eastAsia="仿宋_GB2312" w:cs="Times New Roman"/>
          <w:spacing w:val="3"/>
          <w:kern w:val="0"/>
          <w:sz w:val="32"/>
          <w:szCs w:val="32"/>
          <w:lang w:val="en-US" w:eastAsia="zh-CN"/>
        </w:rPr>
        <w:t>提前下达债券收入1.32亿元，</w:t>
      </w:r>
      <w:r>
        <w:rPr>
          <w:rFonts w:hint="eastAsia" w:ascii="仿宋_GB2312" w:hAnsi="Times New Roman" w:eastAsia="仿宋_GB2312" w:cs="Times New Roman"/>
          <w:spacing w:val="3"/>
          <w:kern w:val="0"/>
          <w:sz w:val="32"/>
          <w:szCs w:val="32"/>
        </w:rPr>
        <w:t>当年收入总计</w:t>
      </w:r>
      <w:r>
        <w:rPr>
          <w:rFonts w:hint="eastAsia" w:ascii="仿宋_GB2312" w:hAnsi="Times New Roman" w:eastAsia="仿宋_GB2312" w:cs="Times New Roman"/>
          <w:spacing w:val="3"/>
          <w:kern w:val="0"/>
          <w:sz w:val="32"/>
          <w:szCs w:val="32"/>
          <w:lang w:val="en-US" w:eastAsia="zh-CN"/>
        </w:rPr>
        <w:t>7.8</w:t>
      </w:r>
      <w:r>
        <w:rPr>
          <w:rFonts w:hint="eastAsia" w:ascii="仿宋_GB2312" w:hAnsi="Times New Roman" w:eastAsia="仿宋_GB2312" w:cs="Times New Roman"/>
          <w:spacing w:val="3"/>
          <w:kern w:val="0"/>
          <w:sz w:val="32"/>
          <w:szCs w:val="32"/>
        </w:rPr>
        <w:t>亿元。</w:t>
      </w:r>
    </w:p>
    <w:p w14:paraId="7A827DAD">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按照以收定支原则，</w:t>
      </w:r>
      <w:r>
        <w:rPr>
          <w:rFonts w:hint="eastAsia" w:ascii="仿宋_GB2312" w:hAnsi="Times New Roman" w:eastAsia="仿宋_GB2312" w:cs="Times New Roman"/>
          <w:spacing w:val="3"/>
          <w:kern w:val="0"/>
          <w:sz w:val="32"/>
          <w:szCs w:val="32"/>
          <w:lang w:val="en-US" w:eastAsia="zh-CN"/>
        </w:rPr>
        <w:t>扣除债务还本支出3400万元，上解支出92万元后，2026</w:t>
      </w:r>
      <w:r>
        <w:rPr>
          <w:rFonts w:hint="eastAsia" w:ascii="仿宋_GB2312" w:hAnsi="Times New Roman" w:eastAsia="仿宋_GB2312" w:cs="Times New Roman"/>
          <w:spacing w:val="3"/>
          <w:kern w:val="0"/>
          <w:sz w:val="32"/>
          <w:szCs w:val="32"/>
        </w:rPr>
        <w:t>年安排政府性基金预算支</w:t>
      </w:r>
      <w:r>
        <w:rPr>
          <w:rFonts w:hint="eastAsia" w:ascii="仿宋_GB2312" w:hAnsi="Times New Roman" w:eastAsia="仿宋_GB2312" w:cs="Times New Roman"/>
          <w:spacing w:val="3"/>
          <w:kern w:val="0"/>
          <w:sz w:val="32"/>
          <w:szCs w:val="32"/>
          <w:lang w:val="en-US" w:eastAsia="zh-CN"/>
        </w:rPr>
        <w:t>出7.45</w:t>
      </w:r>
      <w:r>
        <w:rPr>
          <w:rFonts w:hint="eastAsia" w:ascii="仿宋_GB2312" w:hAnsi="Times New Roman" w:eastAsia="仿宋_GB2312" w:cs="Times New Roman"/>
          <w:spacing w:val="3"/>
          <w:kern w:val="0"/>
          <w:sz w:val="32"/>
          <w:szCs w:val="32"/>
        </w:rPr>
        <w:t>亿元，实现收支平衡。政府性基金预算均为县本级预算。</w:t>
      </w:r>
    </w:p>
    <w:p w14:paraId="09DD9C3F">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spacing w:val="3"/>
          <w:kern w:val="0"/>
          <w:sz w:val="32"/>
          <w:szCs w:val="32"/>
        </w:rPr>
      </w:pPr>
      <w:r>
        <w:rPr>
          <w:rFonts w:hint="eastAsia" w:ascii="仿宋_GB2312" w:hAnsi="Times New Roman" w:eastAsia="仿宋_GB2312" w:cs="Times New Roman"/>
          <w:b/>
          <w:spacing w:val="3"/>
          <w:kern w:val="0"/>
          <w:sz w:val="32"/>
          <w:szCs w:val="32"/>
        </w:rPr>
        <w:t>3</w:t>
      </w:r>
      <w:r>
        <w:rPr>
          <w:rFonts w:hint="eastAsia" w:ascii="仿宋_GB2312" w:hAnsi="Times New Roman" w:eastAsia="仿宋_GB2312" w:cs="Times New Roman"/>
          <w:b/>
          <w:spacing w:val="3"/>
          <w:kern w:val="0"/>
          <w:sz w:val="32"/>
          <w:szCs w:val="32"/>
          <w:lang w:val="en-US" w:eastAsia="zh-CN"/>
        </w:rPr>
        <w:t>.</w:t>
      </w:r>
      <w:r>
        <w:rPr>
          <w:rFonts w:hint="eastAsia" w:ascii="仿宋_GB2312" w:hAnsi="Times New Roman" w:eastAsia="仿宋_GB2312" w:cs="Times New Roman"/>
          <w:b/>
          <w:spacing w:val="3"/>
          <w:kern w:val="0"/>
          <w:sz w:val="32"/>
          <w:szCs w:val="32"/>
        </w:rPr>
        <w:t>国有资本经营预算</w:t>
      </w:r>
    </w:p>
    <w:p w14:paraId="15BFD4DC">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highlight w:val="yellow"/>
        </w:rPr>
      </w:pPr>
      <w:r>
        <w:rPr>
          <w:rFonts w:hint="eastAsia" w:ascii="仿宋_GB2312" w:hAnsi="Times New Roman" w:eastAsia="仿宋_GB2312" w:cs="Times New Roman"/>
          <w:spacing w:val="3"/>
          <w:kern w:val="0"/>
          <w:sz w:val="32"/>
          <w:szCs w:val="32"/>
        </w:rPr>
        <w:t>202</w:t>
      </w:r>
      <w:r>
        <w:rPr>
          <w:rFonts w:hint="eastAsia" w:ascii="仿宋_GB2312" w:hAnsi="Times New Roman" w:eastAsia="仿宋_GB2312" w:cs="Times New Roman"/>
          <w:spacing w:val="3"/>
          <w:kern w:val="0"/>
          <w:sz w:val="32"/>
          <w:szCs w:val="32"/>
          <w:lang w:val="en-US" w:eastAsia="zh-CN"/>
        </w:rPr>
        <w:t>6</w:t>
      </w:r>
      <w:r>
        <w:rPr>
          <w:rFonts w:hint="eastAsia" w:ascii="仿宋_GB2312" w:hAnsi="Times New Roman" w:eastAsia="仿宋_GB2312" w:cs="Times New Roman"/>
          <w:spacing w:val="3"/>
          <w:kern w:val="0"/>
          <w:sz w:val="32"/>
          <w:szCs w:val="32"/>
        </w:rPr>
        <w:t>年国有资本经营安排支出53万元，系上级资金，用于国有企业退休人员社会化管理补助。</w:t>
      </w:r>
    </w:p>
    <w:p w14:paraId="7B55C9B2">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b/>
          <w:spacing w:val="3"/>
          <w:kern w:val="0"/>
          <w:sz w:val="32"/>
          <w:szCs w:val="32"/>
        </w:rPr>
      </w:pPr>
      <w:r>
        <w:rPr>
          <w:rFonts w:hint="eastAsia" w:ascii="仿宋_GB2312" w:hAnsi="Times New Roman" w:eastAsia="仿宋_GB2312" w:cs="Times New Roman"/>
          <w:b/>
          <w:spacing w:val="3"/>
          <w:kern w:val="0"/>
          <w:sz w:val="32"/>
          <w:szCs w:val="32"/>
        </w:rPr>
        <w:t>4</w:t>
      </w:r>
      <w:r>
        <w:rPr>
          <w:rFonts w:hint="eastAsia" w:ascii="仿宋_GB2312" w:hAnsi="Times New Roman" w:eastAsia="仿宋_GB2312" w:cs="Times New Roman"/>
          <w:b/>
          <w:spacing w:val="3"/>
          <w:kern w:val="0"/>
          <w:sz w:val="32"/>
          <w:szCs w:val="32"/>
          <w:lang w:eastAsia="zh-CN"/>
        </w:rPr>
        <w:t>.</w:t>
      </w:r>
      <w:r>
        <w:rPr>
          <w:rFonts w:hint="eastAsia" w:ascii="仿宋_GB2312" w:hAnsi="Times New Roman" w:eastAsia="仿宋_GB2312" w:cs="Times New Roman"/>
          <w:b/>
          <w:spacing w:val="3"/>
          <w:kern w:val="0"/>
          <w:sz w:val="32"/>
          <w:szCs w:val="32"/>
        </w:rPr>
        <w:t>社会保险基金预算</w:t>
      </w:r>
    </w:p>
    <w:p w14:paraId="2527A056">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highlight w:val="yellow"/>
          <w:lang w:eastAsia="zh-CN"/>
        </w:rPr>
      </w:pPr>
      <w:r>
        <w:rPr>
          <w:rFonts w:hint="eastAsia" w:ascii="仿宋_GB2312" w:hAnsi="Times New Roman" w:eastAsia="仿宋_GB2312" w:cs="Times New Roman"/>
          <w:spacing w:val="3"/>
          <w:kern w:val="0"/>
          <w:sz w:val="32"/>
          <w:szCs w:val="32"/>
        </w:rPr>
        <w:t>202</w:t>
      </w:r>
      <w:r>
        <w:rPr>
          <w:rFonts w:hint="eastAsia" w:ascii="仿宋_GB2312" w:hAnsi="Times New Roman" w:eastAsia="仿宋_GB2312" w:cs="Times New Roman"/>
          <w:spacing w:val="3"/>
          <w:kern w:val="0"/>
          <w:sz w:val="32"/>
          <w:szCs w:val="32"/>
          <w:lang w:val="en-US" w:eastAsia="zh-CN"/>
        </w:rPr>
        <w:t>6</w:t>
      </w:r>
      <w:r>
        <w:rPr>
          <w:rFonts w:hint="eastAsia" w:ascii="仿宋_GB2312" w:hAnsi="Times New Roman" w:eastAsia="仿宋_GB2312" w:cs="Times New Roman"/>
          <w:spacing w:val="3"/>
          <w:kern w:val="0"/>
          <w:sz w:val="32"/>
          <w:szCs w:val="32"/>
        </w:rPr>
        <w:t>年社会保险基金收入预算安排</w:t>
      </w:r>
      <w:r>
        <w:rPr>
          <w:rFonts w:hint="eastAsia" w:ascii="仿宋_GB2312" w:hAnsi="Times New Roman" w:eastAsia="仿宋_GB2312" w:cs="Times New Roman"/>
          <w:spacing w:val="3"/>
          <w:kern w:val="0"/>
          <w:sz w:val="32"/>
          <w:szCs w:val="32"/>
          <w:lang w:val="en-US" w:eastAsia="zh-CN"/>
        </w:rPr>
        <w:t>1.92</w:t>
      </w:r>
      <w:r>
        <w:rPr>
          <w:rFonts w:hint="eastAsia" w:ascii="仿宋_GB2312" w:hAnsi="Times New Roman" w:eastAsia="仿宋_GB2312" w:cs="Times New Roman"/>
          <w:spacing w:val="3"/>
          <w:kern w:val="0"/>
          <w:sz w:val="32"/>
          <w:szCs w:val="32"/>
        </w:rPr>
        <w:t>亿元，支出预算安排</w:t>
      </w:r>
      <w:r>
        <w:rPr>
          <w:rFonts w:hint="eastAsia" w:ascii="仿宋_GB2312" w:hAnsi="Times New Roman" w:eastAsia="仿宋_GB2312" w:cs="Times New Roman"/>
          <w:spacing w:val="3"/>
          <w:kern w:val="0"/>
          <w:sz w:val="32"/>
          <w:szCs w:val="32"/>
          <w:lang w:val="en-US" w:eastAsia="zh-CN"/>
        </w:rPr>
        <w:t>1.35</w:t>
      </w:r>
      <w:r>
        <w:rPr>
          <w:rFonts w:hint="eastAsia" w:ascii="仿宋_GB2312" w:hAnsi="Times New Roman" w:eastAsia="仿宋_GB2312" w:cs="Times New Roman"/>
          <w:spacing w:val="3"/>
          <w:kern w:val="0"/>
          <w:sz w:val="32"/>
          <w:szCs w:val="32"/>
        </w:rPr>
        <w:t>亿元，为居民社会养老保险基金</w:t>
      </w:r>
      <w:r>
        <w:rPr>
          <w:rFonts w:hint="eastAsia" w:ascii="仿宋_GB2312" w:hAnsi="Times New Roman" w:eastAsia="仿宋_GB2312" w:cs="Times New Roman"/>
          <w:spacing w:val="3"/>
          <w:kern w:val="0"/>
          <w:sz w:val="32"/>
          <w:szCs w:val="32"/>
          <w:lang w:eastAsia="zh-CN"/>
        </w:rPr>
        <w:t>，</w:t>
      </w:r>
      <w:r>
        <w:rPr>
          <w:rFonts w:hint="eastAsia" w:ascii="仿宋_GB2312" w:hAnsi="Times New Roman" w:eastAsia="仿宋_GB2312" w:cs="Times New Roman"/>
          <w:spacing w:val="3"/>
          <w:kern w:val="0"/>
          <w:sz w:val="32"/>
          <w:szCs w:val="32"/>
        </w:rPr>
        <w:t>收支相抵后略有结余，确保社保基金可持续运行</w:t>
      </w:r>
      <w:r>
        <w:rPr>
          <w:rFonts w:hint="eastAsia" w:ascii="仿宋_GB2312" w:hAnsi="Times New Roman" w:eastAsia="仿宋_GB2312" w:cs="Times New Roman"/>
          <w:spacing w:val="3"/>
          <w:kern w:val="0"/>
          <w:sz w:val="32"/>
          <w:szCs w:val="32"/>
          <w:lang w:eastAsia="zh-CN"/>
        </w:rPr>
        <w:t>。</w:t>
      </w:r>
    </w:p>
    <w:p w14:paraId="7C3EC1A7">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楷体_GB2312" w:hAnsi="楷体" w:eastAsia="楷体_GB2312" w:cs="Times New Roman"/>
          <w:b/>
          <w:bCs/>
          <w:spacing w:val="3"/>
          <w:sz w:val="32"/>
          <w:szCs w:val="32"/>
        </w:rPr>
      </w:pPr>
      <w:r>
        <w:rPr>
          <w:rFonts w:hint="eastAsia" w:ascii="楷体_GB2312" w:hAnsi="楷体" w:eastAsia="楷体_GB2312" w:cs="Times New Roman"/>
          <w:b/>
          <w:bCs/>
          <w:spacing w:val="3"/>
          <w:sz w:val="32"/>
          <w:szCs w:val="32"/>
        </w:rPr>
        <w:t>（</w:t>
      </w:r>
      <w:r>
        <w:rPr>
          <w:rFonts w:hint="eastAsia" w:ascii="楷体_GB2312" w:hAnsi="楷体" w:eastAsia="楷体_GB2312" w:cs="Times New Roman"/>
          <w:b/>
          <w:bCs/>
          <w:spacing w:val="3"/>
          <w:sz w:val="32"/>
          <w:szCs w:val="32"/>
          <w:lang w:val="en-US" w:eastAsia="zh-CN"/>
        </w:rPr>
        <w:t>四</w:t>
      </w:r>
      <w:r>
        <w:rPr>
          <w:rFonts w:hint="eastAsia" w:ascii="楷体_GB2312" w:hAnsi="楷体" w:eastAsia="楷体_GB2312" w:cs="Times New Roman"/>
          <w:b/>
          <w:bCs/>
          <w:spacing w:val="3"/>
          <w:sz w:val="32"/>
          <w:szCs w:val="32"/>
        </w:rPr>
        <w:t>）202</w:t>
      </w:r>
      <w:r>
        <w:rPr>
          <w:rFonts w:hint="eastAsia" w:ascii="楷体_GB2312" w:hAnsi="楷体" w:eastAsia="楷体_GB2312" w:cs="Times New Roman"/>
          <w:b/>
          <w:bCs/>
          <w:spacing w:val="3"/>
          <w:sz w:val="32"/>
          <w:szCs w:val="32"/>
          <w:lang w:val="en-US" w:eastAsia="zh-CN"/>
        </w:rPr>
        <w:t>6</w:t>
      </w:r>
      <w:r>
        <w:rPr>
          <w:rFonts w:hint="eastAsia" w:ascii="楷体_GB2312" w:hAnsi="楷体" w:eastAsia="楷体_GB2312" w:cs="Times New Roman"/>
          <w:b/>
          <w:bCs/>
          <w:spacing w:val="3"/>
          <w:sz w:val="32"/>
          <w:szCs w:val="32"/>
        </w:rPr>
        <w:t>年政府债务预算情况</w:t>
      </w:r>
    </w:p>
    <w:p w14:paraId="0E982FA3">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b/>
          <w:bCs/>
          <w:spacing w:val="3"/>
          <w:kern w:val="0"/>
          <w:sz w:val="32"/>
          <w:szCs w:val="32"/>
          <w:lang w:val="en-US" w:eastAsia="zh-CN"/>
        </w:rPr>
        <w:t>1.债务到期情况：</w:t>
      </w:r>
      <w:r>
        <w:rPr>
          <w:rFonts w:hint="eastAsia" w:ascii="仿宋_GB2312" w:hAnsi="Times New Roman" w:eastAsia="仿宋_GB2312" w:cs="Times New Roman"/>
          <w:spacing w:val="3"/>
          <w:kern w:val="0"/>
          <w:sz w:val="32"/>
          <w:szCs w:val="32"/>
        </w:rPr>
        <w:t>202</w:t>
      </w:r>
      <w:r>
        <w:rPr>
          <w:rFonts w:hint="eastAsia" w:ascii="仿宋_GB2312" w:hAnsi="Times New Roman" w:eastAsia="仿宋_GB2312" w:cs="Times New Roman"/>
          <w:spacing w:val="3"/>
          <w:kern w:val="0"/>
          <w:sz w:val="32"/>
          <w:szCs w:val="32"/>
          <w:lang w:val="en-US" w:eastAsia="zh-CN"/>
        </w:rPr>
        <w:t>6</w:t>
      </w:r>
      <w:r>
        <w:rPr>
          <w:rFonts w:hint="eastAsia" w:ascii="仿宋_GB2312" w:hAnsi="Times New Roman" w:eastAsia="仿宋_GB2312" w:cs="Times New Roman"/>
          <w:spacing w:val="3"/>
          <w:kern w:val="0"/>
          <w:sz w:val="32"/>
          <w:szCs w:val="32"/>
        </w:rPr>
        <w:t>年债</w:t>
      </w:r>
      <w:r>
        <w:rPr>
          <w:rFonts w:hint="eastAsia" w:ascii="仿宋_GB2312" w:hAnsi="Times New Roman" w:eastAsia="仿宋_GB2312" w:cs="Times New Roman"/>
          <w:spacing w:val="3"/>
          <w:kern w:val="0"/>
          <w:sz w:val="32"/>
          <w:szCs w:val="32"/>
          <w:lang w:val="en-US" w:eastAsia="zh-CN"/>
        </w:rPr>
        <w:t>务</w:t>
      </w:r>
      <w:r>
        <w:rPr>
          <w:rFonts w:hint="eastAsia" w:ascii="仿宋_GB2312" w:hAnsi="Times New Roman" w:eastAsia="仿宋_GB2312" w:cs="Times New Roman"/>
          <w:spacing w:val="3"/>
          <w:kern w:val="0"/>
          <w:sz w:val="32"/>
          <w:szCs w:val="32"/>
        </w:rPr>
        <w:t>到期总额</w:t>
      </w:r>
      <w:r>
        <w:rPr>
          <w:rFonts w:hint="eastAsia" w:ascii="仿宋_GB2312" w:hAnsi="Times New Roman" w:eastAsia="仿宋_GB2312" w:cs="Times New Roman"/>
          <w:spacing w:val="3"/>
          <w:kern w:val="0"/>
          <w:sz w:val="32"/>
          <w:szCs w:val="32"/>
          <w:lang w:val="en-US" w:eastAsia="zh-CN"/>
        </w:rPr>
        <w:t>13.85</w:t>
      </w:r>
      <w:r>
        <w:rPr>
          <w:rFonts w:hint="eastAsia" w:ascii="仿宋_GB2312" w:hAnsi="Times New Roman" w:eastAsia="仿宋_GB2312" w:cs="Times New Roman"/>
          <w:spacing w:val="3"/>
          <w:kern w:val="0"/>
          <w:sz w:val="32"/>
          <w:szCs w:val="32"/>
        </w:rPr>
        <w:t>亿元，其中：应还本金</w:t>
      </w:r>
      <w:r>
        <w:rPr>
          <w:rFonts w:hint="eastAsia" w:ascii="仿宋_GB2312" w:hAnsi="Times New Roman" w:eastAsia="仿宋_GB2312" w:cs="Times New Roman"/>
          <w:spacing w:val="3"/>
          <w:kern w:val="0"/>
          <w:sz w:val="32"/>
          <w:szCs w:val="32"/>
          <w:lang w:val="en-US" w:eastAsia="zh-CN"/>
        </w:rPr>
        <w:t>11.95亿</w:t>
      </w:r>
      <w:r>
        <w:rPr>
          <w:rFonts w:hint="eastAsia" w:ascii="仿宋_GB2312" w:hAnsi="Times New Roman" w:eastAsia="仿宋_GB2312" w:cs="Times New Roman"/>
          <w:spacing w:val="3"/>
          <w:kern w:val="0"/>
          <w:sz w:val="32"/>
          <w:szCs w:val="32"/>
        </w:rPr>
        <w:t>元（一般债务</w:t>
      </w:r>
      <w:r>
        <w:rPr>
          <w:rFonts w:hint="eastAsia" w:ascii="仿宋_GB2312" w:hAnsi="Times New Roman" w:eastAsia="仿宋_GB2312" w:cs="Times New Roman"/>
          <w:spacing w:val="3"/>
          <w:kern w:val="0"/>
          <w:sz w:val="32"/>
          <w:szCs w:val="32"/>
          <w:lang w:val="en-US" w:eastAsia="zh-CN"/>
        </w:rPr>
        <w:t>4.68亿元，专项债务7.27亿元</w:t>
      </w:r>
      <w:r>
        <w:rPr>
          <w:rFonts w:hint="eastAsia" w:ascii="仿宋_GB2312" w:hAnsi="Times New Roman" w:eastAsia="仿宋_GB2312" w:cs="Times New Roman"/>
          <w:spacing w:val="3"/>
          <w:kern w:val="0"/>
          <w:sz w:val="32"/>
          <w:szCs w:val="32"/>
        </w:rPr>
        <w:t>），应付利息</w:t>
      </w:r>
      <w:r>
        <w:rPr>
          <w:rFonts w:hint="eastAsia" w:ascii="仿宋_GB2312" w:hAnsi="Times New Roman" w:eastAsia="仿宋_GB2312" w:cs="Times New Roman"/>
          <w:spacing w:val="3"/>
          <w:kern w:val="0"/>
          <w:sz w:val="32"/>
          <w:szCs w:val="32"/>
          <w:lang w:val="en-US" w:eastAsia="zh-CN"/>
        </w:rPr>
        <w:t>1.9</w:t>
      </w:r>
      <w:r>
        <w:rPr>
          <w:rFonts w:hint="eastAsia" w:ascii="仿宋_GB2312" w:hAnsi="Times New Roman" w:eastAsia="仿宋_GB2312" w:cs="Times New Roman"/>
          <w:spacing w:val="3"/>
          <w:kern w:val="0"/>
          <w:sz w:val="32"/>
          <w:szCs w:val="32"/>
        </w:rPr>
        <w:t>亿元（一般债务</w:t>
      </w:r>
      <w:r>
        <w:rPr>
          <w:rFonts w:hint="eastAsia" w:ascii="仿宋_GB2312" w:hAnsi="Times New Roman" w:eastAsia="仿宋_GB2312" w:cs="Times New Roman"/>
          <w:spacing w:val="3"/>
          <w:kern w:val="0"/>
          <w:sz w:val="32"/>
          <w:szCs w:val="32"/>
          <w:lang w:val="en-US" w:eastAsia="zh-CN"/>
        </w:rPr>
        <w:t>3589</w:t>
      </w:r>
      <w:r>
        <w:rPr>
          <w:rFonts w:hint="eastAsia" w:ascii="仿宋_GB2312" w:hAnsi="Times New Roman" w:eastAsia="仿宋_GB2312" w:cs="Times New Roman"/>
          <w:spacing w:val="3"/>
          <w:kern w:val="0"/>
          <w:sz w:val="32"/>
          <w:szCs w:val="32"/>
        </w:rPr>
        <w:t>万元，专项债务</w:t>
      </w:r>
      <w:r>
        <w:rPr>
          <w:rFonts w:hint="eastAsia" w:ascii="仿宋_GB2312" w:hAnsi="Times New Roman" w:eastAsia="仿宋_GB2312" w:cs="Times New Roman"/>
          <w:spacing w:val="3"/>
          <w:kern w:val="0"/>
          <w:sz w:val="32"/>
          <w:szCs w:val="32"/>
          <w:lang w:val="en-US" w:eastAsia="zh-CN"/>
        </w:rPr>
        <w:t>1.54</w:t>
      </w:r>
      <w:r>
        <w:rPr>
          <w:rFonts w:hint="eastAsia" w:ascii="仿宋_GB2312" w:hAnsi="Times New Roman" w:eastAsia="仿宋_GB2312" w:cs="Times New Roman"/>
          <w:spacing w:val="3"/>
          <w:kern w:val="0"/>
          <w:sz w:val="32"/>
          <w:szCs w:val="32"/>
        </w:rPr>
        <w:t>亿元）。</w:t>
      </w:r>
    </w:p>
    <w:p w14:paraId="7F683F60">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lang w:val="en-US" w:eastAsia="zh-CN"/>
        </w:rPr>
      </w:pPr>
      <w:r>
        <w:rPr>
          <w:rFonts w:hint="eastAsia" w:ascii="仿宋_GB2312" w:hAnsi="Times New Roman" w:eastAsia="仿宋_GB2312" w:cs="Times New Roman"/>
          <w:b/>
          <w:bCs/>
          <w:spacing w:val="3"/>
          <w:kern w:val="0"/>
          <w:sz w:val="32"/>
          <w:szCs w:val="32"/>
          <w:lang w:val="en-US" w:eastAsia="zh-CN"/>
        </w:rPr>
        <w:t>2.预算安排情况：</w:t>
      </w:r>
      <w:r>
        <w:rPr>
          <w:rFonts w:hint="eastAsia" w:ascii="仿宋_GB2312" w:hAnsi="Times New Roman" w:eastAsia="仿宋_GB2312" w:cs="Times New Roman"/>
          <w:spacing w:val="3"/>
          <w:kern w:val="0"/>
          <w:sz w:val="32"/>
          <w:szCs w:val="32"/>
        </w:rPr>
        <w:t>为保障到期债务按时偿还，</w:t>
      </w:r>
      <w:r>
        <w:rPr>
          <w:rFonts w:hint="eastAsia" w:ascii="仿宋_GB2312" w:hAnsi="Times New Roman" w:eastAsia="仿宋_GB2312" w:cs="Times New Roman"/>
          <w:spacing w:val="3"/>
          <w:kern w:val="0"/>
          <w:sz w:val="32"/>
          <w:szCs w:val="32"/>
          <w:lang w:val="en-US" w:eastAsia="zh-CN"/>
        </w:rPr>
        <w:t>2026</w:t>
      </w:r>
      <w:r>
        <w:rPr>
          <w:rFonts w:hint="eastAsia" w:ascii="仿宋_GB2312" w:hAnsi="Times New Roman" w:eastAsia="仿宋_GB2312" w:cs="Times New Roman"/>
          <w:spacing w:val="3"/>
          <w:kern w:val="0"/>
          <w:sz w:val="32"/>
          <w:szCs w:val="32"/>
        </w:rPr>
        <w:t>年计划通过发行地方再融资债券偿还到期</w:t>
      </w:r>
      <w:r>
        <w:rPr>
          <w:rFonts w:hint="eastAsia" w:ascii="仿宋_GB2312" w:hAnsi="Times New Roman" w:eastAsia="仿宋_GB2312" w:cs="Times New Roman"/>
          <w:spacing w:val="3"/>
          <w:kern w:val="0"/>
          <w:sz w:val="32"/>
          <w:szCs w:val="32"/>
          <w:lang w:val="en-US" w:eastAsia="zh-CN"/>
        </w:rPr>
        <w:t>债务</w:t>
      </w:r>
      <w:r>
        <w:rPr>
          <w:rFonts w:hint="eastAsia" w:ascii="仿宋_GB2312" w:hAnsi="Times New Roman" w:eastAsia="仿宋_GB2312" w:cs="Times New Roman"/>
          <w:spacing w:val="3"/>
          <w:kern w:val="0"/>
          <w:sz w:val="32"/>
          <w:szCs w:val="32"/>
        </w:rPr>
        <w:t>本金</w:t>
      </w:r>
      <w:r>
        <w:rPr>
          <w:rFonts w:hint="eastAsia" w:ascii="仿宋_GB2312" w:hAnsi="Times New Roman" w:eastAsia="仿宋_GB2312" w:cs="Times New Roman"/>
          <w:spacing w:val="3"/>
          <w:kern w:val="0"/>
          <w:sz w:val="32"/>
          <w:szCs w:val="32"/>
          <w:lang w:val="en-US" w:eastAsia="zh-CN"/>
        </w:rPr>
        <w:t>11.45亿元</w:t>
      </w:r>
      <w:r>
        <w:rPr>
          <w:rFonts w:hint="eastAsia" w:ascii="仿宋_GB2312" w:hAnsi="Times New Roman" w:eastAsia="仿宋_GB2312" w:cs="Times New Roman"/>
          <w:spacing w:val="3"/>
          <w:kern w:val="0"/>
          <w:sz w:val="32"/>
          <w:szCs w:val="32"/>
        </w:rPr>
        <w:t>（一般债务</w:t>
      </w:r>
      <w:r>
        <w:rPr>
          <w:rFonts w:hint="eastAsia" w:ascii="仿宋_GB2312" w:hAnsi="Times New Roman" w:eastAsia="仿宋_GB2312" w:cs="Times New Roman"/>
          <w:spacing w:val="3"/>
          <w:kern w:val="0"/>
          <w:sz w:val="32"/>
          <w:szCs w:val="32"/>
          <w:lang w:val="en-US" w:eastAsia="zh-CN"/>
        </w:rPr>
        <w:t>4.18亿元，专项债务7.27亿元</w:t>
      </w:r>
      <w:r>
        <w:rPr>
          <w:rFonts w:hint="eastAsia" w:ascii="仿宋_GB2312" w:hAnsi="Times New Roman" w:eastAsia="仿宋_GB2312" w:cs="Times New Roman"/>
          <w:spacing w:val="3"/>
          <w:kern w:val="0"/>
          <w:sz w:val="32"/>
          <w:szCs w:val="32"/>
        </w:rPr>
        <w:t>），扣除再融资债券后，我县列入年度预算的债务还本付息支出为</w:t>
      </w:r>
      <w:r>
        <w:rPr>
          <w:rFonts w:hint="eastAsia" w:ascii="仿宋_GB2312" w:hAnsi="Times New Roman" w:eastAsia="仿宋_GB2312" w:cs="Times New Roman"/>
          <w:spacing w:val="3"/>
          <w:kern w:val="0"/>
          <w:sz w:val="32"/>
          <w:szCs w:val="32"/>
          <w:lang w:val="en-US" w:eastAsia="zh-CN"/>
        </w:rPr>
        <w:t>2.4</w:t>
      </w:r>
      <w:r>
        <w:rPr>
          <w:rFonts w:hint="eastAsia" w:ascii="仿宋_GB2312" w:hAnsi="Times New Roman" w:eastAsia="仿宋_GB2312" w:cs="Times New Roman"/>
          <w:spacing w:val="3"/>
          <w:kern w:val="0"/>
          <w:sz w:val="32"/>
          <w:szCs w:val="32"/>
        </w:rPr>
        <w:t>亿元，其中：债务本金</w:t>
      </w:r>
      <w:r>
        <w:rPr>
          <w:rFonts w:hint="eastAsia" w:ascii="仿宋_GB2312" w:hAnsi="Times New Roman" w:eastAsia="仿宋_GB2312" w:cs="Times New Roman"/>
          <w:spacing w:val="3"/>
          <w:kern w:val="0"/>
          <w:sz w:val="32"/>
          <w:szCs w:val="32"/>
          <w:lang w:val="en-US" w:eastAsia="zh-CN"/>
        </w:rPr>
        <w:t>5023</w:t>
      </w:r>
      <w:r>
        <w:rPr>
          <w:rFonts w:hint="eastAsia" w:ascii="仿宋_GB2312" w:hAnsi="Times New Roman" w:eastAsia="仿宋_GB2312" w:cs="Times New Roman"/>
          <w:spacing w:val="3"/>
          <w:kern w:val="0"/>
          <w:sz w:val="32"/>
          <w:szCs w:val="32"/>
        </w:rPr>
        <w:t>万元，债务利息</w:t>
      </w:r>
      <w:r>
        <w:rPr>
          <w:rFonts w:hint="eastAsia" w:ascii="仿宋_GB2312" w:hAnsi="Times New Roman" w:eastAsia="仿宋_GB2312" w:cs="Times New Roman"/>
          <w:spacing w:val="3"/>
          <w:kern w:val="0"/>
          <w:sz w:val="32"/>
          <w:szCs w:val="32"/>
          <w:lang w:val="en-US" w:eastAsia="zh-CN"/>
        </w:rPr>
        <w:t>1.9亿元。</w:t>
      </w:r>
    </w:p>
    <w:p w14:paraId="16286AA2">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lang w:val="en-US" w:eastAsia="zh-CN"/>
        </w:rPr>
      </w:pPr>
      <w:r>
        <w:rPr>
          <w:rFonts w:hint="eastAsia" w:ascii="仿宋_GB2312" w:hAnsi="Times New Roman" w:eastAsia="仿宋_GB2312" w:cs="Times New Roman"/>
          <w:b/>
          <w:bCs/>
          <w:spacing w:val="3"/>
          <w:kern w:val="0"/>
          <w:sz w:val="32"/>
          <w:szCs w:val="32"/>
          <w:lang w:val="en-US" w:eastAsia="zh-CN"/>
        </w:rPr>
        <w:t>3.限额及发行情况：</w:t>
      </w:r>
      <w:r>
        <w:rPr>
          <w:rFonts w:hint="eastAsia" w:ascii="仿宋_GB2312" w:hAnsi="Times New Roman" w:eastAsia="仿宋_GB2312" w:cs="Times New Roman"/>
          <w:spacing w:val="3"/>
          <w:kern w:val="0"/>
          <w:sz w:val="32"/>
          <w:szCs w:val="32"/>
          <w:lang w:val="en-US" w:eastAsia="zh-CN"/>
        </w:rPr>
        <w:t>2026年专项债券第一批下达限额6.17亿元，其中：置换债券限额3.44亿元，用于项目建设类专项债券限额2.02亿元，提前批新增补充财力专项债券限额3400万元，提前批新增用于清欠专项债券限额3700万元。截至2026年3月，我县已发行专项债券1.32亿元，其中：置换债券3400万元，清欠专项债券3700万元，项目建设类专项债券6100万元。</w:t>
      </w:r>
    </w:p>
    <w:p w14:paraId="5D544ACC">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楷体_GB2312" w:hAnsi="楷体" w:eastAsia="楷体_GB2312" w:cs="Times New Roman"/>
          <w:b/>
          <w:bCs/>
          <w:spacing w:val="3"/>
          <w:sz w:val="32"/>
          <w:szCs w:val="32"/>
        </w:rPr>
      </w:pPr>
      <w:r>
        <w:rPr>
          <w:rFonts w:hint="eastAsia" w:ascii="楷体_GB2312" w:hAnsi="楷体" w:eastAsia="楷体_GB2312" w:cs="Times New Roman"/>
          <w:b/>
          <w:bCs/>
          <w:spacing w:val="3"/>
          <w:sz w:val="32"/>
          <w:szCs w:val="32"/>
        </w:rPr>
        <w:t>（</w:t>
      </w:r>
      <w:r>
        <w:rPr>
          <w:rFonts w:hint="eastAsia" w:ascii="楷体_GB2312" w:hAnsi="楷体" w:eastAsia="楷体_GB2312" w:cs="Times New Roman"/>
          <w:b/>
          <w:bCs/>
          <w:spacing w:val="3"/>
          <w:sz w:val="32"/>
          <w:szCs w:val="32"/>
          <w:lang w:val="en-US" w:eastAsia="zh-CN"/>
        </w:rPr>
        <w:t>五</w:t>
      </w:r>
      <w:r>
        <w:rPr>
          <w:rFonts w:hint="eastAsia" w:ascii="楷体_GB2312" w:hAnsi="楷体" w:eastAsia="楷体_GB2312" w:cs="Times New Roman"/>
          <w:b/>
          <w:bCs/>
          <w:spacing w:val="3"/>
          <w:sz w:val="32"/>
          <w:szCs w:val="32"/>
        </w:rPr>
        <w:t>）202</w:t>
      </w:r>
      <w:r>
        <w:rPr>
          <w:rFonts w:hint="eastAsia" w:ascii="楷体_GB2312" w:hAnsi="楷体" w:eastAsia="楷体_GB2312" w:cs="Times New Roman"/>
          <w:b/>
          <w:bCs/>
          <w:spacing w:val="3"/>
          <w:sz w:val="32"/>
          <w:szCs w:val="32"/>
          <w:lang w:val="en-US" w:eastAsia="zh-CN"/>
        </w:rPr>
        <w:t>6</w:t>
      </w:r>
      <w:r>
        <w:rPr>
          <w:rFonts w:hint="eastAsia" w:ascii="楷体_GB2312" w:hAnsi="楷体" w:eastAsia="楷体_GB2312" w:cs="Times New Roman"/>
          <w:b/>
          <w:bCs/>
          <w:spacing w:val="3"/>
          <w:sz w:val="32"/>
          <w:szCs w:val="32"/>
        </w:rPr>
        <w:t>年“三保”预算情况</w:t>
      </w:r>
    </w:p>
    <w:p w14:paraId="05C656F2">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202</w:t>
      </w:r>
      <w:r>
        <w:rPr>
          <w:rFonts w:hint="eastAsia" w:ascii="仿宋_GB2312" w:hAnsi="Times New Roman" w:eastAsia="仿宋_GB2312" w:cs="Times New Roman"/>
          <w:spacing w:val="3"/>
          <w:kern w:val="0"/>
          <w:sz w:val="32"/>
          <w:szCs w:val="32"/>
          <w:lang w:val="en-US" w:eastAsia="zh-CN"/>
        </w:rPr>
        <w:t>6</w:t>
      </w:r>
      <w:r>
        <w:rPr>
          <w:rFonts w:hint="eastAsia" w:ascii="仿宋_GB2312" w:hAnsi="Times New Roman" w:eastAsia="仿宋_GB2312" w:cs="Times New Roman"/>
          <w:spacing w:val="3"/>
          <w:kern w:val="0"/>
          <w:sz w:val="32"/>
          <w:szCs w:val="32"/>
        </w:rPr>
        <w:t>年，在财力有限的情况下，围绕“保工资、保运转、保基本民生”，拟安排“三保”支出</w:t>
      </w:r>
      <w:r>
        <w:rPr>
          <w:rFonts w:hint="eastAsia" w:ascii="仿宋_GB2312" w:hAnsi="Times New Roman" w:eastAsia="仿宋_GB2312" w:cs="Times New Roman"/>
          <w:spacing w:val="3"/>
          <w:kern w:val="0"/>
          <w:sz w:val="32"/>
          <w:szCs w:val="32"/>
          <w:lang w:val="en-US" w:eastAsia="zh-CN"/>
        </w:rPr>
        <w:t>17.71</w:t>
      </w:r>
      <w:r>
        <w:rPr>
          <w:rFonts w:hint="eastAsia" w:ascii="仿宋_GB2312" w:hAnsi="Times New Roman" w:eastAsia="仿宋_GB2312" w:cs="Times New Roman"/>
          <w:spacing w:val="3"/>
          <w:kern w:val="0"/>
          <w:sz w:val="32"/>
          <w:szCs w:val="32"/>
        </w:rPr>
        <w:t>亿元，具体内容如下：</w:t>
      </w:r>
    </w:p>
    <w:p w14:paraId="2502256F">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b/>
          <w:spacing w:val="3"/>
          <w:kern w:val="0"/>
          <w:sz w:val="32"/>
          <w:szCs w:val="32"/>
        </w:rPr>
        <w:t>1</w:t>
      </w:r>
      <w:r>
        <w:rPr>
          <w:rFonts w:hint="eastAsia" w:ascii="仿宋_GB2312" w:hAnsi="Times New Roman" w:eastAsia="仿宋_GB2312" w:cs="Times New Roman"/>
          <w:b/>
          <w:spacing w:val="3"/>
          <w:kern w:val="0"/>
          <w:sz w:val="32"/>
          <w:szCs w:val="32"/>
          <w:lang w:eastAsia="zh-CN"/>
        </w:rPr>
        <w:t>.</w:t>
      </w:r>
      <w:r>
        <w:rPr>
          <w:rFonts w:hint="eastAsia" w:ascii="仿宋_GB2312" w:hAnsi="Times New Roman" w:eastAsia="仿宋_GB2312" w:cs="Times New Roman"/>
          <w:b/>
          <w:spacing w:val="3"/>
          <w:kern w:val="0"/>
          <w:sz w:val="32"/>
          <w:szCs w:val="32"/>
        </w:rPr>
        <w:t>保工资支出</w:t>
      </w:r>
      <w:r>
        <w:rPr>
          <w:rFonts w:hint="eastAsia" w:ascii="仿宋_GB2312" w:hAnsi="Times New Roman" w:eastAsia="仿宋_GB2312" w:cs="Times New Roman"/>
          <w:b/>
          <w:spacing w:val="3"/>
          <w:kern w:val="0"/>
          <w:sz w:val="32"/>
          <w:szCs w:val="32"/>
          <w:lang w:val="en-US" w:eastAsia="zh-CN"/>
        </w:rPr>
        <w:t>9.96</w:t>
      </w:r>
      <w:r>
        <w:rPr>
          <w:rFonts w:hint="eastAsia" w:ascii="仿宋_GB2312" w:hAnsi="Times New Roman" w:eastAsia="仿宋_GB2312" w:cs="Times New Roman"/>
          <w:b/>
          <w:spacing w:val="3"/>
          <w:kern w:val="0"/>
          <w:sz w:val="32"/>
          <w:szCs w:val="32"/>
        </w:rPr>
        <w:t>亿元。</w:t>
      </w:r>
      <w:r>
        <w:rPr>
          <w:rFonts w:hint="eastAsia" w:ascii="仿宋_GB2312" w:hAnsi="Times New Roman" w:eastAsia="仿宋_GB2312" w:cs="Times New Roman"/>
          <w:spacing w:val="3"/>
          <w:kern w:val="0"/>
          <w:sz w:val="32"/>
          <w:szCs w:val="32"/>
        </w:rPr>
        <w:t>主要包括财政供养、差额补助人员工资、社会保险缴费等。</w:t>
      </w:r>
    </w:p>
    <w:p w14:paraId="5E62CA8B">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b/>
          <w:spacing w:val="3"/>
          <w:kern w:val="0"/>
          <w:sz w:val="32"/>
          <w:szCs w:val="32"/>
        </w:rPr>
        <w:t>2</w:t>
      </w:r>
      <w:r>
        <w:rPr>
          <w:rFonts w:hint="eastAsia" w:ascii="仿宋_GB2312" w:hAnsi="Times New Roman" w:eastAsia="仿宋_GB2312" w:cs="Times New Roman"/>
          <w:b/>
          <w:spacing w:val="3"/>
          <w:kern w:val="0"/>
          <w:sz w:val="32"/>
          <w:szCs w:val="32"/>
          <w:lang w:eastAsia="zh-CN"/>
        </w:rPr>
        <w:t>.</w:t>
      </w:r>
      <w:r>
        <w:rPr>
          <w:rFonts w:hint="eastAsia" w:ascii="仿宋_GB2312" w:hAnsi="Times New Roman" w:eastAsia="仿宋_GB2312" w:cs="Times New Roman"/>
          <w:b/>
          <w:spacing w:val="3"/>
          <w:kern w:val="0"/>
          <w:sz w:val="32"/>
          <w:szCs w:val="32"/>
        </w:rPr>
        <w:t>保运转支出</w:t>
      </w:r>
      <w:r>
        <w:rPr>
          <w:rFonts w:hint="eastAsia" w:ascii="仿宋_GB2312" w:hAnsi="Times New Roman" w:eastAsia="仿宋_GB2312" w:cs="Times New Roman"/>
          <w:b/>
          <w:spacing w:val="3"/>
          <w:kern w:val="0"/>
          <w:sz w:val="32"/>
          <w:szCs w:val="32"/>
          <w:lang w:val="en-US" w:eastAsia="zh-CN"/>
        </w:rPr>
        <w:t>7497万元</w:t>
      </w:r>
      <w:r>
        <w:rPr>
          <w:rFonts w:hint="eastAsia" w:ascii="仿宋_GB2312" w:hAnsi="Times New Roman" w:eastAsia="仿宋_GB2312" w:cs="Times New Roman"/>
          <w:b/>
          <w:spacing w:val="3"/>
          <w:kern w:val="0"/>
          <w:sz w:val="32"/>
          <w:szCs w:val="32"/>
        </w:rPr>
        <w:t>。</w:t>
      </w:r>
      <w:r>
        <w:rPr>
          <w:rFonts w:hint="eastAsia" w:ascii="仿宋_GB2312" w:hAnsi="Times New Roman" w:eastAsia="仿宋_GB2312" w:cs="Times New Roman"/>
          <w:spacing w:val="3"/>
          <w:kern w:val="0"/>
          <w:sz w:val="32"/>
          <w:szCs w:val="32"/>
        </w:rPr>
        <w:t>主要包括县直单位、乡镇运转支出。</w:t>
      </w:r>
    </w:p>
    <w:p w14:paraId="2EBA0E3B">
      <w:pPr>
        <w:keepNext w:val="0"/>
        <w:keepLines w:val="0"/>
        <w:pageBreakBefore w:val="0"/>
        <w:widowControl w:val="0"/>
        <w:kinsoku/>
        <w:wordWrap/>
        <w:overflowPunct/>
        <w:autoSpaceDE/>
        <w:autoSpaceDN w:val="0"/>
        <w:bidi w:val="0"/>
        <w:adjustRightInd w:val="0"/>
        <w:snapToGrid w:val="0"/>
        <w:spacing w:line="600" w:lineRule="exact"/>
        <w:ind w:firstLine="655" w:firstLineChars="200"/>
        <w:textAlignment w:val="auto"/>
        <w:rPr>
          <w:rFonts w:hint="eastAsia" w:ascii="仿宋_GB2312" w:hAnsi="Times New Roman" w:eastAsia="仿宋_GB2312" w:cs="Times New Roman"/>
          <w:spacing w:val="3"/>
          <w:kern w:val="0"/>
          <w:sz w:val="32"/>
          <w:szCs w:val="32"/>
          <w:lang w:eastAsia="zh-CN"/>
        </w:rPr>
      </w:pPr>
      <w:r>
        <w:rPr>
          <w:rFonts w:hint="eastAsia" w:ascii="仿宋_GB2312" w:hAnsi="Times New Roman" w:eastAsia="仿宋_GB2312" w:cs="Times New Roman"/>
          <w:b/>
          <w:spacing w:val="3"/>
          <w:kern w:val="0"/>
          <w:sz w:val="32"/>
          <w:szCs w:val="32"/>
        </w:rPr>
        <w:t>3</w:t>
      </w:r>
      <w:r>
        <w:rPr>
          <w:rFonts w:hint="eastAsia" w:ascii="仿宋_GB2312" w:hAnsi="Times New Roman" w:eastAsia="仿宋_GB2312" w:cs="Times New Roman"/>
          <w:b/>
          <w:spacing w:val="3"/>
          <w:kern w:val="0"/>
          <w:sz w:val="32"/>
          <w:szCs w:val="32"/>
          <w:lang w:eastAsia="zh-CN"/>
        </w:rPr>
        <w:t>.</w:t>
      </w:r>
      <w:r>
        <w:rPr>
          <w:rFonts w:hint="eastAsia" w:ascii="仿宋_GB2312" w:hAnsi="Times New Roman" w:eastAsia="仿宋_GB2312" w:cs="Times New Roman"/>
          <w:b/>
          <w:spacing w:val="3"/>
          <w:kern w:val="0"/>
          <w:sz w:val="32"/>
          <w:szCs w:val="32"/>
        </w:rPr>
        <w:t>保基本民生支出</w:t>
      </w:r>
      <w:r>
        <w:rPr>
          <w:rFonts w:hint="eastAsia" w:ascii="仿宋_GB2312" w:hAnsi="Times New Roman" w:eastAsia="仿宋_GB2312" w:cs="Times New Roman"/>
          <w:b/>
          <w:spacing w:val="3"/>
          <w:kern w:val="0"/>
          <w:sz w:val="32"/>
          <w:szCs w:val="32"/>
          <w:lang w:val="en-US" w:eastAsia="zh-CN"/>
        </w:rPr>
        <w:t>7</w:t>
      </w:r>
      <w:r>
        <w:rPr>
          <w:rFonts w:hint="eastAsia" w:ascii="仿宋_GB2312" w:hAnsi="Times New Roman" w:eastAsia="仿宋_GB2312" w:cs="Times New Roman"/>
          <w:b/>
          <w:spacing w:val="3"/>
          <w:kern w:val="0"/>
          <w:sz w:val="32"/>
          <w:szCs w:val="32"/>
        </w:rPr>
        <w:t>亿元。</w:t>
      </w:r>
      <w:r>
        <w:rPr>
          <w:rFonts w:hint="eastAsia" w:ascii="仿宋_GB2312" w:hAnsi="Times New Roman" w:eastAsia="仿宋_GB2312" w:cs="Times New Roman"/>
          <w:spacing w:val="3"/>
          <w:kern w:val="0"/>
          <w:sz w:val="32"/>
          <w:szCs w:val="32"/>
        </w:rPr>
        <w:t>主要包括</w:t>
      </w:r>
      <w:r>
        <w:rPr>
          <w:rFonts w:hint="eastAsia" w:ascii="仿宋_GB2312" w:hAnsi="Times New Roman" w:eastAsia="仿宋_GB2312" w:cs="Times New Roman"/>
          <w:spacing w:val="3"/>
          <w:kern w:val="0"/>
          <w:sz w:val="32"/>
          <w:szCs w:val="32"/>
          <w:lang w:eastAsia="zh-CN"/>
        </w:rPr>
        <w:t>：</w:t>
      </w:r>
    </w:p>
    <w:p w14:paraId="6B648171">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社会保障支出</w:t>
      </w:r>
      <w:r>
        <w:rPr>
          <w:rFonts w:hint="eastAsia" w:ascii="仿宋_GB2312" w:hAnsi="Times New Roman" w:eastAsia="仿宋_GB2312" w:cs="Times New Roman"/>
          <w:spacing w:val="3"/>
          <w:kern w:val="0"/>
          <w:sz w:val="32"/>
          <w:szCs w:val="32"/>
          <w:lang w:val="en-US" w:eastAsia="zh-CN"/>
        </w:rPr>
        <w:t>3.27</w:t>
      </w:r>
      <w:r>
        <w:rPr>
          <w:rFonts w:hint="eastAsia" w:ascii="仿宋_GB2312" w:hAnsi="Times New Roman" w:eastAsia="仿宋_GB2312" w:cs="Times New Roman"/>
          <w:spacing w:val="3"/>
          <w:kern w:val="0"/>
          <w:sz w:val="32"/>
          <w:szCs w:val="32"/>
        </w:rPr>
        <w:t>亿元（城乡低保、五保、城乡居民养老保险、孤儿生活保障、优抚对象抚恤和生活补助、义务兵优待金、退役安置等）；</w:t>
      </w:r>
    </w:p>
    <w:p w14:paraId="4944FA7D">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卫生健康支出</w:t>
      </w:r>
      <w:r>
        <w:rPr>
          <w:rFonts w:hint="eastAsia" w:ascii="仿宋_GB2312" w:hAnsi="Times New Roman" w:eastAsia="仿宋_GB2312" w:cs="Times New Roman"/>
          <w:spacing w:val="3"/>
          <w:kern w:val="0"/>
          <w:sz w:val="32"/>
          <w:szCs w:val="32"/>
          <w:lang w:val="en-US" w:eastAsia="zh-CN"/>
        </w:rPr>
        <w:t>1.89亿</w:t>
      </w:r>
      <w:r>
        <w:rPr>
          <w:rFonts w:hint="eastAsia" w:ascii="仿宋_GB2312" w:hAnsi="Times New Roman" w:eastAsia="仿宋_GB2312" w:cs="Times New Roman"/>
          <w:spacing w:val="3"/>
          <w:kern w:val="0"/>
          <w:sz w:val="32"/>
          <w:szCs w:val="32"/>
        </w:rPr>
        <w:t>元（基本公共卫生、</w:t>
      </w:r>
      <w:r>
        <w:rPr>
          <w:rFonts w:hint="eastAsia" w:ascii="仿宋_GB2312" w:hAnsi="Times New Roman" w:eastAsia="仿宋_GB2312" w:cs="Times New Roman"/>
          <w:spacing w:val="3"/>
          <w:kern w:val="0"/>
          <w:sz w:val="32"/>
          <w:szCs w:val="32"/>
          <w:lang w:val="en-US" w:eastAsia="zh-CN"/>
        </w:rPr>
        <w:t>基本医疗保险、</w:t>
      </w:r>
      <w:r>
        <w:rPr>
          <w:rFonts w:hint="eastAsia" w:ascii="仿宋_GB2312" w:hAnsi="Times New Roman" w:eastAsia="仿宋_GB2312" w:cs="Times New Roman"/>
          <w:spacing w:val="3"/>
          <w:kern w:val="0"/>
          <w:sz w:val="32"/>
          <w:szCs w:val="32"/>
        </w:rPr>
        <w:t>计划生育等）；</w:t>
      </w:r>
    </w:p>
    <w:p w14:paraId="28ECEA73">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教育支出</w:t>
      </w:r>
      <w:r>
        <w:rPr>
          <w:rFonts w:hint="eastAsia" w:ascii="仿宋_GB2312" w:hAnsi="Times New Roman" w:eastAsia="仿宋_GB2312" w:cs="Times New Roman"/>
          <w:spacing w:val="3"/>
          <w:kern w:val="0"/>
          <w:sz w:val="32"/>
          <w:szCs w:val="32"/>
          <w:lang w:val="en-US" w:eastAsia="zh-CN"/>
        </w:rPr>
        <w:t>5834</w:t>
      </w:r>
      <w:r>
        <w:rPr>
          <w:rFonts w:hint="eastAsia" w:ascii="仿宋_GB2312" w:hAnsi="Times New Roman" w:eastAsia="仿宋_GB2312" w:cs="Times New Roman"/>
          <w:spacing w:val="3"/>
          <w:kern w:val="0"/>
          <w:sz w:val="32"/>
          <w:szCs w:val="32"/>
        </w:rPr>
        <w:t>万元（城乡义务教育经费保障、学前教育、义务教育薄弱环节改善与能力提升、普通高中助学金、两免一补等）；</w:t>
      </w:r>
    </w:p>
    <w:p w14:paraId="686FEE8D">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lang w:eastAsia="zh-CN"/>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其他民生支出</w:t>
      </w:r>
      <w:r>
        <w:rPr>
          <w:rFonts w:hint="eastAsia" w:ascii="仿宋_GB2312" w:hAnsi="Times New Roman" w:eastAsia="仿宋_GB2312" w:cs="Times New Roman"/>
          <w:spacing w:val="3"/>
          <w:kern w:val="0"/>
          <w:sz w:val="32"/>
          <w:szCs w:val="32"/>
          <w:lang w:val="en-US" w:eastAsia="zh-CN"/>
        </w:rPr>
        <w:t>5030</w:t>
      </w:r>
      <w:r>
        <w:rPr>
          <w:rFonts w:hint="eastAsia" w:ascii="仿宋_GB2312" w:hAnsi="Times New Roman" w:eastAsia="仿宋_GB2312" w:cs="Times New Roman"/>
          <w:spacing w:val="3"/>
          <w:kern w:val="0"/>
          <w:sz w:val="32"/>
          <w:szCs w:val="32"/>
        </w:rPr>
        <w:t>万元（水、热、气、电、污水处理、公共交通等）</w:t>
      </w:r>
      <w:r>
        <w:rPr>
          <w:rFonts w:hint="eastAsia" w:ascii="仿宋_GB2312" w:hAnsi="Times New Roman" w:eastAsia="仿宋_GB2312" w:cs="Times New Roman"/>
          <w:spacing w:val="3"/>
          <w:kern w:val="0"/>
          <w:sz w:val="32"/>
          <w:szCs w:val="32"/>
          <w:lang w:eastAsia="zh-CN"/>
        </w:rPr>
        <w:t>；</w:t>
      </w:r>
    </w:p>
    <w:p w14:paraId="3F14BBC3">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村级支出</w:t>
      </w:r>
      <w:r>
        <w:rPr>
          <w:rFonts w:hint="eastAsia" w:ascii="仿宋_GB2312" w:hAnsi="Times New Roman" w:eastAsia="仿宋_GB2312" w:cs="Times New Roman"/>
          <w:spacing w:val="3"/>
          <w:kern w:val="0"/>
          <w:sz w:val="32"/>
          <w:szCs w:val="32"/>
          <w:lang w:val="en-US" w:eastAsia="zh-CN"/>
        </w:rPr>
        <w:t>3946万</w:t>
      </w:r>
      <w:r>
        <w:rPr>
          <w:rFonts w:hint="eastAsia" w:ascii="仿宋_GB2312" w:hAnsi="Times New Roman" w:eastAsia="仿宋_GB2312" w:cs="Times New Roman"/>
          <w:spacing w:val="3"/>
          <w:kern w:val="0"/>
          <w:sz w:val="32"/>
          <w:szCs w:val="32"/>
        </w:rPr>
        <w:t>元；</w:t>
      </w:r>
    </w:p>
    <w:p w14:paraId="25D35CCF">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乡村振兴资金</w:t>
      </w:r>
      <w:r>
        <w:rPr>
          <w:rFonts w:hint="eastAsia" w:ascii="仿宋_GB2312" w:hAnsi="Times New Roman" w:eastAsia="仿宋_GB2312" w:cs="Times New Roman"/>
          <w:spacing w:val="3"/>
          <w:kern w:val="0"/>
          <w:sz w:val="32"/>
          <w:szCs w:val="32"/>
          <w:lang w:val="en-US" w:eastAsia="zh-CN"/>
        </w:rPr>
        <w:t>3371</w:t>
      </w:r>
      <w:r>
        <w:rPr>
          <w:rFonts w:hint="eastAsia" w:ascii="仿宋_GB2312" w:hAnsi="Times New Roman" w:eastAsia="仿宋_GB2312" w:cs="Times New Roman"/>
          <w:spacing w:val="3"/>
          <w:kern w:val="0"/>
          <w:sz w:val="32"/>
          <w:szCs w:val="32"/>
        </w:rPr>
        <w:t>万元；</w:t>
      </w:r>
    </w:p>
    <w:p w14:paraId="3D4CDA8D">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仿宋_GB2312" w:hAnsi="Times New Roman" w:eastAsia="仿宋_GB2312" w:cs="Times New Roman"/>
          <w:spacing w:val="3"/>
          <w:kern w:val="0"/>
          <w:sz w:val="32"/>
          <w:szCs w:val="32"/>
          <w:lang w:eastAsia="zh-CN"/>
        </w:rPr>
      </w:pPr>
      <w:r>
        <w:rPr>
          <w:rFonts w:hint="eastAsia" w:ascii="仿宋_GB2312" w:hAnsi="Times New Roman" w:eastAsia="仿宋_GB2312" w:cs="Times New Roman"/>
          <w:spacing w:val="3"/>
          <w:kern w:val="0"/>
          <w:sz w:val="32"/>
          <w:szCs w:val="32"/>
        </w:rPr>
        <w:t>•</w:t>
      </w:r>
      <w:r>
        <w:rPr>
          <w:rFonts w:hint="eastAsia" w:ascii="仿宋_GB2312" w:hAnsi="Times New Roman" w:eastAsia="仿宋_GB2312" w:cs="Times New Roman"/>
          <w:spacing w:val="3"/>
          <w:kern w:val="0"/>
          <w:sz w:val="32"/>
          <w:szCs w:val="32"/>
        </w:rPr>
        <w:tab/>
      </w:r>
      <w:r>
        <w:rPr>
          <w:rFonts w:hint="eastAsia" w:ascii="仿宋_GB2312" w:hAnsi="Times New Roman" w:eastAsia="仿宋_GB2312" w:cs="Times New Roman"/>
          <w:spacing w:val="3"/>
          <w:kern w:val="0"/>
          <w:sz w:val="32"/>
          <w:szCs w:val="32"/>
        </w:rPr>
        <w:t>文化旅游支出</w:t>
      </w:r>
      <w:r>
        <w:rPr>
          <w:rFonts w:hint="eastAsia" w:ascii="仿宋_GB2312" w:hAnsi="Times New Roman" w:eastAsia="仿宋_GB2312" w:cs="Times New Roman"/>
          <w:spacing w:val="3"/>
          <w:kern w:val="0"/>
          <w:sz w:val="32"/>
          <w:szCs w:val="32"/>
          <w:lang w:val="en-US" w:eastAsia="zh-CN"/>
        </w:rPr>
        <w:t>200</w:t>
      </w:r>
      <w:r>
        <w:rPr>
          <w:rFonts w:hint="eastAsia" w:ascii="仿宋_GB2312" w:hAnsi="Times New Roman" w:eastAsia="仿宋_GB2312" w:cs="Times New Roman"/>
          <w:spacing w:val="3"/>
          <w:kern w:val="0"/>
          <w:sz w:val="32"/>
          <w:szCs w:val="32"/>
        </w:rPr>
        <w:t>万元（博物馆、纪念馆免费开放补助和公共美术馆、图书馆、文化馆站免费开放补助等）</w:t>
      </w:r>
      <w:r>
        <w:rPr>
          <w:rFonts w:hint="eastAsia" w:ascii="仿宋_GB2312" w:hAnsi="Times New Roman" w:eastAsia="仿宋_GB2312" w:cs="Times New Roman"/>
          <w:spacing w:val="3"/>
          <w:kern w:val="0"/>
          <w:sz w:val="32"/>
          <w:szCs w:val="32"/>
          <w:lang w:eastAsia="zh-CN"/>
        </w:rPr>
        <w:t>。</w:t>
      </w:r>
    </w:p>
    <w:p w14:paraId="6272C971">
      <w:pPr>
        <w:keepNext w:val="0"/>
        <w:keepLines w:val="0"/>
        <w:pageBreakBefore w:val="0"/>
        <w:widowControl w:val="0"/>
        <w:kinsoku/>
        <w:wordWrap/>
        <w:overflowPunct/>
        <w:autoSpaceDE/>
        <w:autoSpaceDN w:val="0"/>
        <w:bidi w:val="0"/>
        <w:adjustRightInd w:val="0"/>
        <w:snapToGrid w:val="0"/>
        <w:spacing w:line="600" w:lineRule="exact"/>
        <w:ind w:firstLine="652" w:firstLineChars="200"/>
        <w:textAlignment w:val="auto"/>
        <w:rPr>
          <w:rFonts w:hint="eastAsia" w:ascii="黑体" w:hAnsi="黑体" w:eastAsia="黑体" w:cs="黑体"/>
          <w:b w:val="0"/>
          <w:bCs w:val="0"/>
          <w:color w:val="auto"/>
          <w:spacing w:val="3"/>
          <w:sz w:val="32"/>
          <w:szCs w:val="32"/>
        </w:rPr>
      </w:pPr>
      <w:r>
        <w:rPr>
          <w:rFonts w:hint="eastAsia" w:ascii="黑体" w:hAnsi="黑体" w:eastAsia="黑体" w:cs="黑体"/>
          <w:b w:val="0"/>
          <w:bCs w:val="0"/>
          <w:color w:val="auto"/>
          <w:spacing w:val="3"/>
          <w:sz w:val="32"/>
          <w:szCs w:val="32"/>
        </w:rPr>
        <w:t>四、2026年财政重点工作​</w:t>
      </w:r>
    </w:p>
    <w:p w14:paraId="18F74572">
      <w:pPr>
        <w:keepNext w:val="0"/>
        <w:keepLines w:val="0"/>
        <w:pageBreakBefore w:val="0"/>
        <w:widowControl w:val="0"/>
        <w:kinsoku/>
        <w:wordWrap/>
        <w:overflowPunct/>
        <w:autoSpaceDE/>
        <w:bidi w:val="0"/>
        <w:spacing w:line="60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（一）着力深挖开源潜力，壮大财政收入规模​</w:t>
      </w:r>
    </w:p>
    <w:p w14:paraId="3668FCA7">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坚持把财源建设作为核心任务，落实中央“做优增量、盘活存量”的要求，多渠道拓宽收入来源，推动财政收入稳中有进、质效双升。</w:t>
      </w:r>
      <w:r>
        <w:rPr>
          <w:rFonts w:hint="eastAsia" w:ascii="仿宋_GB2312" w:hAnsi="仿宋_GB2312" w:eastAsia="仿宋_GB2312" w:cs="仿宋_GB2312"/>
          <w:b/>
          <w:bCs/>
          <w:color w:val="auto"/>
          <w:sz w:val="32"/>
          <w:szCs w:val="32"/>
          <w:lang w:eastAsia="zh-CN"/>
        </w:rPr>
        <w:t>一是强化税费征管，确保应收尽收。</w:t>
      </w:r>
      <w:r>
        <w:rPr>
          <w:rFonts w:hint="eastAsia" w:ascii="仿宋_GB2312" w:hAnsi="仿宋_GB2312" w:eastAsia="仿宋_GB2312" w:cs="仿宋_GB2312"/>
          <w:b w:val="0"/>
          <w:bCs w:val="0"/>
          <w:color w:val="auto"/>
          <w:sz w:val="32"/>
          <w:szCs w:val="32"/>
          <w:lang w:eastAsia="zh-CN"/>
        </w:rPr>
        <w:t>承接用好中央规范部分税收优惠、规范财政补贴、优化出口退税等政策以及消费税征收环节后移并下划地方等改革，巩固优势税源、孵化新兴税源、挖掘潜力财源，依法依规组织收入。强化综合治税，运用数字化监管手段，紧盯经济运行和税源变化，加强重点行业、税源、项目监控分析，规范非税收入管理，实现财政收入平稳有序入库。</w:t>
      </w:r>
      <w:r>
        <w:rPr>
          <w:rFonts w:hint="eastAsia" w:ascii="仿宋_GB2312" w:hAnsi="仿宋_GB2312" w:eastAsia="仿宋_GB2312" w:cs="仿宋_GB2312"/>
          <w:b/>
          <w:bCs/>
          <w:color w:val="auto"/>
          <w:sz w:val="32"/>
          <w:szCs w:val="32"/>
          <w:lang w:eastAsia="zh-CN"/>
        </w:rPr>
        <w:t>二是壮大产业集群，积蓄增收动能。</w:t>
      </w:r>
      <w:r>
        <w:rPr>
          <w:rFonts w:hint="eastAsia" w:ascii="仿宋_GB2312" w:hAnsi="仿宋_GB2312" w:eastAsia="仿宋_GB2312" w:cs="仿宋_GB2312"/>
          <w:b w:val="0"/>
          <w:bCs w:val="0"/>
          <w:color w:val="auto"/>
          <w:sz w:val="32"/>
          <w:szCs w:val="32"/>
          <w:lang w:eastAsia="zh-CN"/>
        </w:rPr>
        <w:t>聚焦打造“3+2”特色产业链群，统筹整合财政资金，用活用好政府产业引导基金，深化省</w:t>
      </w:r>
      <w:r>
        <w:rPr>
          <w:rFonts w:hint="eastAsia" w:ascii="仿宋_GB2312" w:hAnsi="仿宋_GB2312" w:eastAsia="仿宋_GB2312" w:cs="仿宋_GB2312"/>
          <w:b w:val="0"/>
          <w:bCs w:val="0"/>
          <w:color w:val="auto"/>
          <w:sz w:val="32"/>
          <w:szCs w:val="32"/>
          <w:lang w:val="en-US" w:eastAsia="zh-CN"/>
        </w:rPr>
        <w:t>市</w:t>
      </w:r>
      <w:r>
        <w:rPr>
          <w:rFonts w:hint="eastAsia" w:ascii="仿宋_GB2312" w:hAnsi="仿宋_GB2312" w:eastAsia="仿宋_GB2312" w:cs="仿宋_GB2312"/>
          <w:b w:val="0"/>
          <w:bCs w:val="0"/>
          <w:color w:val="auto"/>
          <w:sz w:val="32"/>
          <w:szCs w:val="32"/>
          <w:lang w:eastAsia="zh-CN"/>
        </w:rPr>
        <w:t>投资集团对接合作，全力支持技术创新、技改升级和数字化转型，培育壮大龙头企业与专精特新企业，以产业能级提升带动财源质效优化。</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是提振消费潜力，带动税收增长。</w:t>
      </w:r>
      <w:r>
        <w:rPr>
          <w:rFonts w:hint="eastAsia" w:ascii="仿宋_GB2312" w:hAnsi="仿宋_GB2312" w:eastAsia="仿宋_GB2312" w:cs="仿宋_GB2312"/>
          <w:b w:val="0"/>
          <w:bCs w:val="0"/>
          <w:color w:val="auto"/>
          <w:sz w:val="32"/>
          <w:szCs w:val="32"/>
          <w:lang w:eastAsia="zh-CN"/>
        </w:rPr>
        <w:t>深入实施提振消费专项行动，继续开展设备更新和消费品以旧换新，聚焦家电、汽车等重点领域，扩大促销活动覆盖范围，优化宣传推广和补贴审核流程，鼓励商户积极参与，充分释放消费潜能。</w:t>
      </w:r>
      <w:r>
        <w:rPr>
          <w:rFonts w:hint="eastAsia" w:ascii="仿宋_GB2312" w:hAnsi="仿宋_GB2312" w:eastAsia="仿宋_GB2312" w:cs="仿宋_GB2312"/>
          <w:b w:val="0"/>
          <w:bCs w:val="0"/>
          <w:color w:val="auto"/>
          <w:sz w:val="32"/>
          <w:szCs w:val="32"/>
          <w:lang w:val="en-US" w:eastAsia="zh-CN"/>
        </w:rPr>
        <w:t>综合运用财税相关政策工具，落实个人消费贷款财政贴息等政策，增强消费能力，提升消费意愿。</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是精准向上争资，拓宽资金渠道。</w:t>
      </w:r>
      <w:r>
        <w:rPr>
          <w:rFonts w:hint="eastAsia" w:ascii="仿宋_GB2312" w:hAnsi="仿宋_GB2312" w:eastAsia="仿宋_GB2312" w:cs="仿宋_GB2312"/>
          <w:b w:val="0"/>
          <w:bCs w:val="0"/>
          <w:color w:val="auto"/>
          <w:sz w:val="32"/>
          <w:szCs w:val="32"/>
          <w:lang w:eastAsia="zh-CN"/>
        </w:rPr>
        <w:t>抢抓“十五五”开局政策窗口，精准对接上级政策导向和资金渠道，加强对新质生产力、城市更新、节能减排、民生改善等重点领域项目谋划储备，加快重大项目建设。统筹用好超长期特别国债、专项债券、中央预算内投资等资金，优化投资结构，激发民间投资活力。​</w:t>
      </w:r>
    </w:p>
    <w:p w14:paraId="4087CF72">
      <w:pPr>
        <w:keepNext w:val="0"/>
        <w:keepLines w:val="0"/>
        <w:pageBreakBefore w:val="0"/>
        <w:widowControl w:val="0"/>
        <w:kinsoku/>
        <w:wordWrap/>
        <w:overflowPunct/>
        <w:autoSpaceDE/>
        <w:bidi w:val="0"/>
        <w:spacing w:line="60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（二）着力优化支出结构，保障重点领域支出​</w:t>
      </w:r>
    </w:p>
    <w:p w14:paraId="0F7B71A5">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坚持以人民为中心，向民生领域倾斜财政资源，让发展成果更多更公平惠及全县人民。</w:t>
      </w:r>
      <w:r>
        <w:rPr>
          <w:rFonts w:hint="eastAsia" w:ascii="仿宋_GB2312" w:hAnsi="仿宋_GB2312" w:eastAsia="仿宋_GB2312" w:cs="仿宋_GB2312"/>
          <w:b/>
          <w:bCs/>
          <w:color w:val="auto"/>
          <w:sz w:val="32"/>
          <w:szCs w:val="32"/>
          <w:lang w:eastAsia="zh-CN"/>
        </w:rPr>
        <w:t>一是厉行勤俭节约，严控一般性支</w:t>
      </w:r>
      <w:r>
        <w:rPr>
          <w:rFonts w:hint="eastAsia" w:ascii="仿宋_GB2312" w:hAnsi="仿宋_GB2312" w:eastAsia="仿宋_GB2312" w:cs="仿宋_GB2312"/>
          <w:b/>
          <w:bCs/>
          <w:color w:val="auto"/>
          <w:sz w:val="32"/>
          <w:szCs w:val="32"/>
          <w:lang w:val="en-US" w:eastAsia="zh-CN"/>
        </w:rPr>
        <w:t>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强化成本观念和节俭意识，积极开源节流，量入为出，努力做到花小钱办大事，少花钱多办事。</w:t>
      </w:r>
      <w:r>
        <w:rPr>
          <w:rFonts w:hint="eastAsia" w:ascii="仿宋_GB2312" w:hAnsi="仿宋_GB2312" w:eastAsia="仿宋_GB2312" w:cs="仿宋_GB2312"/>
          <w:b w:val="0"/>
          <w:bCs w:val="0"/>
          <w:color w:val="auto"/>
          <w:sz w:val="32"/>
          <w:szCs w:val="32"/>
          <w:lang w:eastAsia="zh-CN"/>
        </w:rPr>
        <w:t>严格执行《党政机关厉行节约反对浪费条例》，推进节约型机关建设，坚持部门业务经费、一般性支出、编外人员只减不增，把有限财力用在刀刃上。</w:t>
      </w:r>
      <w:r>
        <w:rPr>
          <w:rFonts w:hint="eastAsia" w:ascii="仿宋_GB2312" w:hAnsi="仿宋_GB2312" w:eastAsia="仿宋_GB2312" w:cs="仿宋_GB2312"/>
          <w:b/>
          <w:bCs/>
          <w:color w:val="auto"/>
          <w:sz w:val="32"/>
          <w:szCs w:val="32"/>
          <w:lang w:eastAsia="zh-CN"/>
        </w:rPr>
        <w:t>二是聚焦“三保”底线，筑牢保障根基。</w:t>
      </w:r>
      <w:r>
        <w:rPr>
          <w:rFonts w:hint="eastAsia" w:ascii="仿宋_GB2312" w:hAnsi="仿宋_GB2312" w:eastAsia="仿宋_GB2312" w:cs="仿宋_GB2312"/>
          <w:b w:val="0"/>
          <w:bCs w:val="0"/>
          <w:color w:val="auto"/>
          <w:sz w:val="32"/>
          <w:szCs w:val="32"/>
          <w:lang w:eastAsia="zh-CN"/>
        </w:rPr>
        <w:t>扩大保障面，聚焦关键点，将“三保”支出置于绝对优先位置，足额安排工资支出，合理保障单位运转需求，有效落实基本民生政策，坚决兜牢基层运转底线。</w:t>
      </w:r>
      <w:r>
        <w:rPr>
          <w:rFonts w:hint="eastAsia" w:ascii="仿宋_GB2312" w:hAnsi="仿宋_GB2312" w:eastAsia="仿宋_GB2312" w:cs="仿宋_GB2312"/>
          <w:b w:val="0"/>
          <w:bCs w:val="0"/>
          <w:color w:val="auto"/>
          <w:sz w:val="32"/>
          <w:szCs w:val="32"/>
          <w:lang w:val="en-US" w:eastAsia="zh-CN"/>
        </w:rPr>
        <w:t>加强监测预警和应急处置，健全“三保”风险处置预案，确保“三保”不出问题。</w:t>
      </w:r>
      <w:r>
        <w:rPr>
          <w:rFonts w:hint="eastAsia" w:ascii="仿宋_GB2312" w:hAnsi="仿宋_GB2312" w:eastAsia="仿宋_GB2312" w:cs="仿宋_GB2312"/>
          <w:b/>
          <w:bCs/>
          <w:color w:val="auto"/>
          <w:sz w:val="32"/>
          <w:szCs w:val="32"/>
          <w:lang w:eastAsia="zh-CN"/>
        </w:rPr>
        <w:t>三是保障重点任务，强化财政支撑。</w:t>
      </w:r>
      <w:r>
        <w:rPr>
          <w:rFonts w:hint="eastAsia" w:ascii="仿宋_GB2312" w:hAnsi="仿宋_GB2312" w:eastAsia="仿宋_GB2312" w:cs="仿宋_GB2312"/>
          <w:b w:val="0"/>
          <w:bCs w:val="0"/>
          <w:color w:val="auto"/>
          <w:sz w:val="32"/>
          <w:szCs w:val="32"/>
          <w:lang w:eastAsia="zh-CN"/>
        </w:rPr>
        <w:t>集中财力支持重大政策和民生实事，重点推进“一老一小”服务体系建设，</w:t>
      </w:r>
      <w:r>
        <w:rPr>
          <w:rFonts w:hint="eastAsia" w:ascii="仿宋_GB2312" w:hAnsi="仿宋_GB2312" w:eastAsia="仿宋_GB2312" w:cs="仿宋_GB2312"/>
          <w:b w:val="0"/>
          <w:bCs w:val="0"/>
          <w:color w:val="auto"/>
          <w:sz w:val="32"/>
          <w:szCs w:val="32"/>
          <w:lang w:val="en-US" w:eastAsia="zh-CN"/>
        </w:rPr>
        <w:t>促进高质量充分就业，</w:t>
      </w:r>
      <w:r>
        <w:rPr>
          <w:rFonts w:hint="eastAsia" w:ascii="仿宋_GB2312" w:hAnsi="仿宋_GB2312" w:eastAsia="仿宋_GB2312" w:cs="仿宋_GB2312"/>
          <w:b w:val="0"/>
          <w:bCs w:val="0"/>
          <w:color w:val="auto"/>
          <w:sz w:val="32"/>
          <w:szCs w:val="32"/>
          <w:lang w:eastAsia="zh-CN"/>
        </w:rPr>
        <w:t>落实育儿补贴、学前教育免费等普惠性政策，持续提升群众获得感幸福感。</w:t>
      </w:r>
      <w:r>
        <w:rPr>
          <w:rFonts w:hint="eastAsia" w:ascii="仿宋_GB2312" w:hAnsi="仿宋_GB2312" w:eastAsia="仿宋_GB2312" w:cs="仿宋_GB2312"/>
          <w:b/>
          <w:bCs/>
          <w:color w:val="auto"/>
          <w:sz w:val="32"/>
          <w:szCs w:val="32"/>
          <w:lang w:eastAsia="zh-CN"/>
        </w:rPr>
        <w:t>四是统筹区域发展，促进提质增效。</w:t>
      </w:r>
      <w:r>
        <w:rPr>
          <w:rFonts w:hint="eastAsia" w:ascii="仿宋_GB2312" w:hAnsi="仿宋_GB2312" w:eastAsia="仿宋_GB2312" w:cs="仿宋_GB2312"/>
          <w:b w:val="0"/>
          <w:bCs w:val="0"/>
          <w:color w:val="auto"/>
          <w:sz w:val="32"/>
          <w:szCs w:val="32"/>
          <w:lang w:eastAsia="zh-CN"/>
        </w:rPr>
        <w:t>整合资金支持乡村振兴、城市更新、生态环保等重点工作和重大项目，加大“三农”投入力度，培育特色农业产业、推动一二三产业融合，升级高标准农田、水利、道路等基础设施，开展农村人居环境整治，打造生态宜居和美乡村，</w:t>
      </w:r>
      <w:r>
        <w:rPr>
          <w:rFonts w:hint="eastAsia" w:ascii="仿宋_GB2312" w:hAnsi="仿宋_GB2312" w:eastAsia="仿宋_GB2312" w:cs="仿宋_GB2312"/>
          <w:b w:val="0"/>
          <w:bCs w:val="0"/>
          <w:color w:val="auto"/>
          <w:sz w:val="32"/>
          <w:szCs w:val="32"/>
          <w:lang w:val="en-US" w:eastAsia="zh-CN"/>
        </w:rPr>
        <w:t>推进乡村全面振兴。</w:t>
      </w:r>
      <w:r>
        <w:rPr>
          <w:rFonts w:hint="eastAsia" w:ascii="仿宋_GB2312" w:hAnsi="仿宋_GB2312" w:eastAsia="仿宋_GB2312" w:cs="仿宋_GB2312"/>
          <w:b w:val="0"/>
          <w:bCs w:val="0"/>
          <w:color w:val="auto"/>
          <w:sz w:val="32"/>
          <w:szCs w:val="32"/>
          <w:lang w:eastAsia="zh-CN"/>
        </w:rPr>
        <w:t>​</w:t>
      </w:r>
    </w:p>
    <w:p w14:paraId="27E34480">
      <w:pPr>
        <w:keepNext w:val="0"/>
        <w:keepLines w:val="0"/>
        <w:pageBreakBefore w:val="0"/>
        <w:widowControl w:val="0"/>
        <w:kinsoku/>
        <w:wordWrap/>
        <w:overflowPunct/>
        <w:autoSpaceDE/>
        <w:bidi w:val="0"/>
        <w:spacing w:line="60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（三）着力推进高效管理，提升财政治理效能​</w:t>
      </w:r>
    </w:p>
    <w:p w14:paraId="42BAECD7">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以改革破解发展难题，完善财政管理体制机制，推动财政工作规范化、科学化、精细化。</w:t>
      </w:r>
      <w:r>
        <w:rPr>
          <w:rFonts w:hint="eastAsia" w:ascii="仿宋_GB2312" w:hAnsi="仿宋_GB2312" w:eastAsia="仿宋_GB2312" w:cs="仿宋_GB2312"/>
          <w:b/>
          <w:bCs/>
          <w:color w:val="auto"/>
          <w:sz w:val="32"/>
          <w:szCs w:val="32"/>
          <w:lang w:eastAsia="zh-CN"/>
        </w:rPr>
        <w:t>一是深化预算改革，优化资源配置。</w:t>
      </w:r>
      <w:r>
        <w:rPr>
          <w:rFonts w:hint="eastAsia" w:ascii="仿宋_GB2312" w:hAnsi="仿宋_GB2312" w:eastAsia="仿宋_GB2312" w:cs="仿宋_GB2312"/>
          <w:b w:val="0"/>
          <w:bCs w:val="0"/>
          <w:color w:val="auto"/>
          <w:sz w:val="32"/>
          <w:szCs w:val="32"/>
          <w:lang w:eastAsia="zh-CN"/>
        </w:rPr>
        <w:t>加强财政资源和预算统筹，持续深化零基预算改革，对大事要事类、日常履职类项目给予差异化保障，建立能增能减、有保有压，能上能下的预算安排机制。加强项目成本收益把关，坚决防止超越财力铺摊子、上项目，确保基层财政平稳、可持续。完善国有“三资”管理机制，科学盘活资产资源，提高财政收入质量。</w:t>
      </w:r>
      <w:r>
        <w:rPr>
          <w:rFonts w:hint="eastAsia" w:ascii="仿宋_GB2312" w:hAnsi="仿宋_GB2312" w:eastAsia="仿宋_GB2312" w:cs="仿宋_GB2312"/>
          <w:b/>
          <w:bCs/>
          <w:color w:val="auto"/>
          <w:sz w:val="32"/>
          <w:szCs w:val="32"/>
          <w:lang w:eastAsia="zh-CN"/>
        </w:rPr>
        <w:t>二是强化绩效管理，提升资金效益。</w:t>
      </w:r>
      <w:r>
        <w:rPr>
          <w:rFonts w:hint="eastAsia" w:ascii="仿宋_GB2312" w:hAnsi="仿宋_GB2312" w:eastAsia="仿宋_GB2312" w:cs="仿宋_GB2312"/>
          <w:b w:val="0"/>
          <w:bCs w:val="0"/>
          <w:color w:val="auto"/>
          <w:sz w:val="32"/>
          <w:szCs w:val="32"/>
          <w:lang w:eastAsia="zh-CN"/>
        </w:rPr>
        <w:t>聚焦落实政府过紧日子要求，牢固树立绩效理念，谋划民生项目提标扩面和重大项目建设等增支政策时，要开展事前绩效评估和财政可承受能力评估，申报预算时合理设置绩效目标，预算执行中加强绩效监控，执行结束后科学开展评价，并切实加强结果运用，真正做到“花钱必问效、无效必问责”。</w:t>
      </w:r>
      <w:r>
        <w:rPr>
          <w:rFonts w:hint="eastAsia" w:ascii="仿宋_GB2312" w:hAnsi="仿宋_GB2312" w:eastAsia="仿宋_GB2312" w:cs="仿宋_GB2312"/>
          <w:b/>
          <w:bCs/>
          <w:color w:val="auto"/>
          <w:sz w:val="32"/>
          <w:szCs w:val="32"/>
          <w:lang w:eastAsia="zh-CN"/>
        </w:rPr>
        <w:t>三是建设数字财政，赋能高效履职。</w:t>
      </w:r>
      <w:r>
        <w:rPr>
          <w:rFonts w:hint="eastAsia" w:ascii="仿宋_GB2312" w:hAnsi="仿宋_GB2312" w:eastAsia="仿宋_GB2312" w:cs="仿宋_GB2312"/>
          <w:b w:val="0"/>
          <w:bCs w:val="0"/>
          <w:color w:val="auto"/>
          <w:sz w:val="32"/>
          <w:szCs w:val="32"/>
          <w:lang w:eastAsia="zh-CN"/>
        </w:rPr>
        <w:t>依托大数据、云计算等现代信息技术，升级完善财政管理信息系统，实现预算编制、资金拨付、国库支付、监督监管全流程数字化，提升财政工作透明度和行政效率，为科学决策提供数据支撑。​</w:t>
      </w:r>
    </w:p>
    <w:p w14:paraId="403C59AE">
      <w:pPr>
        <w:keepNext w:val="0"/>
        <w:keepLines w:val="0"/>
        <w:pageBreakBefore w:val="0"/>
        <w:widowControl w:val="0"/>
        <w:kinsoku/>
        <w:wordWrap/>
        <w:overflowPunct/>
        <w:autoSpaceDE/>
        <w:bidi w:val="0"/>
        <w:spacing w:line="60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（四）着力防范财政风险，守牢安全发展底线​</w:t>
      </w:r>
    </w:p>
    <w:p w14:paraId="65A2DD70">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坚持底线思维，增强风险意识，多措并举防范化解财政领域各类风险，确保财政运行稳健安全。</w:t>
      </w:r>
      <w:r>
        <w:rPr>
          <w:rFonts w:hint="eastAsia" w:ascii="仿宋_GB2312" w:hAnsi="仿宋_GB2312" w:eastAsia="仿宋_GB2312" w:cs="仿宋_GB2312"/>
          <w:b/>
          <w:bCs/>
          <w:color w:val="auto"/>
          <w:sz w:val="32"/>
          <w:szCs w:val="32"/>
          <w:lang w:eastAsia="zh-CN"/>
        </w:rPr>
        <w:t>一是规范债务管理，稳妥化解风险。</w:t>
      </w:r>
      <w:r>
        <w:rPr>
          <w:rFonts w:hint="eastAsia" w:ascii="仿宋_GB2312" w:hAnsi="仿宋_GB2312" w:eastAsia="仿宋_GB2312" w:cs="仿宋_GB2312"/>
          <w:b w:val="0"/>
          <w:bCs w:val="0"/>
          <w:color w:val="auto"/>
          <w:sz w:val="32"/>
          <w:szCs w:val="32"/>
          <w:lang w:eastAsia="zh-CN"/>
        </w:rPr>
        <w:t>严格落实政府债务管理规定，坚持发展中化债、化债中发展，稳妥化解存量债务、严格控制增量债务；将还本付息足额纳入年度预算，争取债券资金置换存量债务以降低利息负担，推进平台公司退出，建立健全债务风险预警机制和应急处置预案。</w:t>
      </w:r>
      <w:r>
        <w:rPr>
          <w:rFonts w:hint="eastAsia" w:ascii="仿宋_GB2312" w:hAnsi="仿宋_GB2312" w:eastAsia="仿宋_GB2312" w:cs="仿宋_GB2312"/>
          <w:b/>
          <w:bCs/>
          <w:color w:val="auto"/>
          <w:sz w:val="32"/>
          <w:szCs w:val="32"/>
          <w:lang w:eastAsia="zh-CN"/>
        </w:rPr>
        <w:t>二是强化预算约束，严守法定底线。</w:t>
      </w:r>
      <w:r>
        <w:rPr>
          <w:rFonts w:hint="eastAsia" w:ascii="仿宋_GB2312" w:hAnsi="仿宋_GB2312" w:eastAsia="仿宋_GB2312" w:cs="仿宋_GB2312"/>
          <w:b w:val="0"/>
          <w:bCs w:val="0"/>
          <w:color w:val="auto"/>
          <w:sz w:val="32"/>
          <w:szCs w:val="32"/>
          <w:lang w:eastAsia="zh-CN"/>
        </w:rPr>
        <w:t>坚持预算法定原则，提高预算编制科学性和精准性，严格执行人大批准的预算及各项决议，严禁无预算、超预算支出，部门新增支出需求原则上通过调整支出结构解决，不另行追加预算。</w:t>
      </w:r>
      <w:r>
        <w:rPr>
          <w:rFonts w:hint="eastAsia" w:ascii="仿宋_GB2312" w:hAnsi="仿宋_GB2312" w:eastAsia="仿宋_GB2312" w:cs="仿宋_GB2312"/>
          <w:b/>
          <w:bCs/>
          <w:color w:val="auto"/>
          <w:sz w:val="32"/>
          <w:szCs w:val="32"/>
          <w:lang w:eastAsia="zh-CN"/>
        </w:rPr>
        <w:t>三是严守财经纪律，筑牢监管防线。</w:t>
      </w:r>
      <w:r>
        <w:rPr>
          <w:rFonts w:hint="eastAsia" w:ascii="仿宋_GB2312" w:hAnsi="仿宋_GB2312" w:eastAsia="仿宋_GB2312" w:cs="仿宋_GB2312"/>
          <w:b w:val="0"/>
          <w:bCs w:val="0"/>
          <w:color w:val="auto"/>
          <w:sz w:val="32"/>
          <w:szCs w:val="32"/>
          <w:lang w:eastAsia="zh-CN"/>
        </w:rPr>
        <w:t>加强预算执行动态监控，推进财政资金全流程监管，聚焦重点领域、关键环节加大监督检查力度，严厉查处截留、挤占、挪用财政资金等违法违规行为，强化与纪检监察监督、巡视巡察监督、审计监督、干部监督等各类监督贯通协调，协同监管、立体追责、形成合力。</w:t>
      </w:r>
      <w:r>
        <w:rPr>
          <w:rFonts w:hint="eastAsia" w:ascii="仿宋_GB2312" w:hAnsi="仿宋_GB2312" w:eastAsia="仿宋_GB2312" w:cs="仿宋_GB2312"/>
          <w:b/>
          <w:bCs/>
          <w:color w:val="auto"/>
          <w:sz w:val="32"/>
          <w:szCs w:val="32"/>
          <w:lang w:val="en-US" w:eastAsia="zh-CN"/>
        </w:rPr>
        <w:t>四是加强制度建设，</w:t>
      </w:r>
      <w:r>
        <w:rPr>
          <w:rFonts w:hint="eastAsia" w:ascii="仿宋_GB2312" w:hAnsi="仿宋_GB2312" w:eastAsia="仿宋_GB2312" w:cs="仿宋_GB2312"/>
          <w:b/>
          <w:bCs/>
          <w:color w:val="auto"/>
          <w:sz w:val="32"/>
          <w:szCs w:val="32"/>
          <w:lang w:eastAsia="zh-CN"/>
        </w:rPr>
        <w:t>夯实财政基础。</w:t>
      </w:r>
      <w:r>
        <w:rPr>
          <w:rFonts w:hint="eastAsia" w:ascii="仿宋_GB2312" w:hAnsi="仿宋_GB2312" w:eastAsia="仿宋_GB2312" w:cs="仿宋_GB2312"/>
          <w:b w:val="0"/>
          <w:bCs w:val="0"/>
          <w:color w:val="auto"/>
          <w:sz w:val="32"/>
          <w:szCs w:val="32"/>
          <w:lang w:eastAsia="zh-CN"/>
        </w:rPr>
        <w:t>发挥主责监督作用，统筹推进法治建设、队伍建设、信息化建设，进一步加强内控制度建设和执行，加强银行账户管理、会计基础管理和人员日常监督管理，建立长效机制，筑牢财政运行安全防线。</w:t>
      </w:r>
    </w:p>
    <w:p w14:paraId="777BD637">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各位代表，2026年是“十五五”规划开局之年，做好财政工作任务艰巨，责任重大。我们将在县委坚强领导下，自觉接受县人大</w:t>
      </w:r>
      <w:r>
        <w:rPr>
          <w:rFonts w:hint="eastAsia" w:ascii="仿宋_GB2312" w:hAnsi="仿宋_GB2312" w:eastAsia="仿宋_GB2312" w:cs="仿宋_GB2312"/>
          <w:b w:val="0"/>
          <w:bCs w:val="0"/>
          <w:color w:val="auto"/>
          <w:sz w:val="32"/>
          <w:szCs w:val="32"/>
          <w:lang w:val="en-US" w:eastAsia="zh-CN"/>
        </w:rPr>
        <w:t>及其常委会</w:t>
      </w:r>
      <w:r>
        <w:rPr>
          <w:rFonts w:hint="eastAsia" w:ascii="仿宋_GB2312" w:hAnsi="仿宋_GB2312" w:eastAsia="仿宋_GB2312" w:cs="仿宋_GB2312"/>
          <w:b w:val="0"/>
          <w:bCs w:val="0"/>
          <w:color w:val="auto"/>
          <w:sz w:val="32"/>
          <w:szCs w:val="32"/>
          <w:lang w:eastAsia="zh-CN"/>
        </w:rPr>
        <w:t>监督，牢牢把握“稳保拼争”工作要求，聚焦扩内需、育新质、惠民生、防风险重点任务，以奋勇争先的闯劲、真抓实干的作风、攻坚克难的担当，全力以赴完成全年预算目标，为加快建设“三区两县”，奋力实现渑池“十五五”良好开局作出新的更大贡献！</w:t>
      </w:r>
    </w:p>
    <w:p w14:paraId="39185369">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6A2921A4">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9B146AD">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350F01BA">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74AA6362">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DA496DC">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1AE973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4520C9F1">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437A0981">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2B1B4B0">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1E01A138">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FDA7FEB">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1F8C19E7">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p>
    <w:p w14:paraId="4B21AA32">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3208485">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3742806B">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A10FC19">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7C4A71FC">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6BABEA8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66705317">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6048036">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3BA87C5">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17091F2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189BB82D">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0E190F5">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44A1932">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E2C4E75">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3B8FA723">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1FA68FAE">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413EBB5D">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7B643B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68FE301">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7C1FA18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41754A40">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C1055A2">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780A35EE">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BB121D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sectPr>
          <w:footerReference r:id="rId4" w:type="default"/>
          <w:pgSz w:w="11906" w:h="16838"/>
          <w:pgMar w:top="1440" w:right="1800" w:bottom="1440" w:left="1800" w:header="851" w:footer="992" w:gutter="0"/>
          <w:cols w:space="425" w:num="1"/>
          <w:docGrid w:type="lines" w:linePitch="312" w:charSpace="0"/>
        </w:sectPr>
      </w:pPr>
    </w:p>
    <w:p w14:paraId="3C021D3D">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1209E328">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FB588C4">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47497DC8">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38EC4B44">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3518E6DC">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37B4C55F">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1421A29">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68AA5BC">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5654708">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775206B2">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5888A27A">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7028C34">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29F6EEE">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6EE59032">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0717F00C">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7E06109A">
      <w:pPr>
        <w:keepNext w:val="0"/>
        <w:keepLines w:val="0"/>
        <w:pageBreakBefore w:val="0"/>
        <w:widowControl w:val="0"/>
        <w:kinsoku/>
        <w:wordWrap/>
        <w:overflowPunct/>
        <w:autoSpaceDE/>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14:paraId="2CC53C36">
      <w:pPr>
        <w:keepNext w:val="0"/>
        <w:keepLines w:val="0"/>
        <w:pageBreakBefore w:val="0"/>
        <w:widowControl w:val="0"/>
        <w:kinsoku/>
        <w:wordWrap/>
        <w:overflowPunct/>
        <w:autoSpaceDE/>
        <w:bidi w:val="0"/>
        <w:spacing w:line="600" w:lineRule="exact"/>
        <w:textAlignment w:val="auto"/>
        <w:rPr>
          <w:rFonts w:hint="eastAsia" w:ascii="仿宋_GB2312" w:hAnsi="仿宋_GB2312" w:eastAsia="仿宋_GB2312" w:cs="仿宋_GB2312"/>
          <w:b w:val="0"/>
          <w:bCs w:val="0"/>
          <w:color w:val="auto"/>
          <w:sz w:val="32"/>
          <w:szCs w:val="32"/>
          <w:lang w:eastAsia="zh-CN"/>
        </w:rPr>
      </w:pPr>
    </w:p>
    <w:p w14:paraId="6D945945">
      <w:pPr>
        <w:widowControl/>
        <w:adjustRightInd w:val="0"/>
        <w:snapToGrid w:val="0"/>
        <w:spacing w:before="0" w:beforeAutospacing="0" w:after="0" w:afterAutospacing="0" w:line="480" w:lineRule="auto"/>
        <w:ind w:firstLine="0" w:firstLineChars="0"/>
        <w:jc w:val="left"/>
        <w:rPr>
          <w:rFonts w:ascii="仿宋_GB2312" w:hAnsi="Arial" w:eastAsia="仿宋_GB2312" w:cs="Arial"/>
          <w:snapToGrid w:val="0"/>
          <w:color w:val="000000"/>
          <w:sz w:val="32"/>
          <w:szCs w:val="32"/>
          <w:lang w:val="en-US" w:eastAsia="zh-CN" w:bidi="ar-SA"/>
        </w:rPr>
      </w:pPr>
      <w:r>
        <w:rPr>
          <w:rFonts w:ascii="宋体" w:hAnsi="宋体" w:eastAsia="仿宋" w:cs="宋体"/>
          <w:snapToGrid w:val="0"/>
          <w:color w:val="000000"/>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491490</wp:posOffset>
                </wp:positionV>
                <wp:extent cx="5585460" cy="15240"/>
                <wp:effectExtent l="0" t="6350" r="7620" b="8890"/>
                <wp:wrapNone/>
                <wp:docPr id="5" name="直接连接符 5"/>
                <wp:cNvGraphicFramePr/>
                <a:graphic xmlns:a="http://schemas.openxmlformats.org/drawingml/2006/main">
                  <a:graphicData uri="http://schemas.microsoft.com/office/word/2010/wordprocessingShape">
                    <wps:wsp>
                      <wps:cNvCnPr/>
                      <wps:spPr>
                        <a:xfrm flipV="1">
                          <a:off x="1097915" y="8646795"/>
                          <a:ext cx="5585460" cy="15240"/>
                        </a:xfrm>
                        <a:prstGeom prst="line">
                          <a:avLst/>
                        </a:prstGeom>
                        <a:noFill/>
                        <a:ln w="12700"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5pt;margin-top:38.7pt;height:1.2pt;width:439.8pt;z-index:251660288;mso-width-relative:page;mso-height-relative:page;" filled="f" stroked="t" coordsize="21600,21600" o:gfxdata="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BaV2NUAAAAHAQAADwAAAAAAAAABACAAAAAiAAAAZHJzL2Rvd25y&#10;ZXYueG1sUEsBAhQAFAAAAAgAh07iQPWzLuMBAgAA2gMAAA4AAAAAAAAAAQAgAAAAJAEAAGRycy9l&#10;Mm9Eb2MueG1sUEsFBgAAAAAGAAYAWQEAAJcFAAAAAA==&#10;">
                <v:fill on="f" focussize="0,0"/>
                <v:stroke weight="1pt" color="#000000 [3204]" miterlimit="8" joinstyle="miter"/>
                <v:imagedata o:title=""/>
                <o:lock v:ext="edit" aspectratio="f"/>
              </v:line>
            </w:pict>
          </mc:Fallback>
        </mc:AlternateContent>
      </w:r>
    </w:p>
    <w:p w14:paraId="590B1B8A">
      <w:pPr>
        <w:widowControl/>
        <w:adjustRightInd w:val="0"/>
        <w:snapToGrid w:val="0"/>
        <w:spacing w:before="0" w:beforeAutospacing="0" w:after="0" w:afterAutospacing="0" w:line="480" w:lineRule="auto"/>
        <w:ind w:firstLine="0" w:firstLineChars="0"/>
        <w:jc w:val="left"/>
        <w:rPr>
          <w:rFonts w:ascii="仿宋_GB2312" w:hAnsi="Arial" w:eastAsia="仿宋_GB2312" w:cs="Arial"/>
          <w:snapToGrid w:val="0"/>
          <w:color w:val="000000"/>
          <w:sz w:val="32"/>
          <w:szCs w:val="32"/>
          <w:lang w:val="en-US" w:eastAsia="zh-CN" w:bidi="ar-SA"/>
        </w:rPr>
      </w:pPr>
      <w:r>
        <w:rPr>
          <w:rFonts w:ascii="宋体" w:hAnsi="宋体" w:eastAsia="仿宋" w:cs="宋体"/>
          <w:snapToGrid w:val="0"/>
          <w:color w:val="000000"/>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306070</wp:posOffset>
                </wp:positionV>
                <wp:extent cx="5600700" cy="22860"/>
                <wp:effectExtent l="0" t="6350" r="7620" b="16510"/>
                <wp:wrapNone/>
                <wp:docPr id="6" name="直接连接符 6"/>
                <wp:cNvGraphicFramePr/>
                <a:graphic xmlns:a="http://schemas.openxmlformats.org/drawingml/2006/main">
                  <a:graphicData uri="http://schemas.microsoft.com/office/word/2010/wordprocessingShape">
                    <wps:wsp>
                      <wps:cNvCnPr/>
                      <wps:spPr>
                        <a:xfrm flipV="1">
                          <a:off x="1128395" y="9043035"/>
                          <a:ext cx="5600700" cy="22860"/>
                        </a:xfrm>
                        <a:prstGeom prst="line">
                          <a:avLst/>
                        </a:prstGeom>
                        <a:noFill/>
                        <a:ln w="12700"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9pt;margin-top:24.1pt;height:1.8pt;width:441pt;z-index:251661312;mso-width-relative:page;mso-height-relative:page;" filled="f" stroked="t" coordsize="21600,21600" o:gfxdata="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FzWk0gAAAAcBAAAPAAAAAAAAAAEAIAAAACIAAABkcnMvZG93bnJldi54&#10;bWxQSwECFAAUAAAACACHTuJAbejmGQACAADaAwAADgAAAAAAAAABACAAAAAhAQAAZHJzL2Uyb0Rv&#10;Yy54bWxQSwUGAAAAAAYABgBZAQAAkwUAAAAA&#10;">
                <v:fill on="f" focussize="0,0"/>
                <v:stroke weight="1pt" color="#000000 [3204]" miterlimit="8" joinstyle="miter"/>
                <v:imagedata o:title=""/>
                <o:lock v:ext="edit" aspectratio="f"/>
              </v:line>
            </w:pict>
          </mc:Fallback>
        </mc:AlternateContent>
      </w:r>
      <w:r>
        <w:rPr>
          <w:rFonts w:hint="eastAsia" w:ascii="仿宋_GB2312" w:hAnsi="Arial" w:eastAsia="仿宋_GB2312" w:cs="Arial"/>
          <w:snapToGrid w:val="0"/>
          <w:color w:val="000000"/>
          <w:sz w:val="32"/>
          <w:szCs w:val="32"/>
          <w:lang w:val="en-US" w:eastAsia="zh-CN" w:bidi="ar-SA"/>
        </w:rPr>
        <w:t>渑池县十五届人大七次会议秘书处     2026年3月30日印</w:t>
      </w:r>
    </w:p>
    <w:p w14:paraId="4B2B4AA1">
      <w:pPr>
        <w:adjustRightInd w:val="0"/>
        <w:snapToGrid w:val="0"/>
        <w:spacing w:line="360" w:lineRule="auto"/>
        <w:ind w:firstLine="6080" w:firstLineChars="1900"/>
        <w:rPr>
          <w:rFonts w:hint="eastAsia" w:ascii="仿宋_GB2312" w:hAnsi="仿宋_GB2312" w:eastAsia="仿宋_GB2312" w:cs="仿宋_GB2312"/>
          <w:b w:val="0"/>
          <w:bCs w:val="0"/>
          <w:color w:val="auto"/>
          <w:sz w:val="32"/>
          <w:szCs w:val="32"/>
          <w:lang w:eastAsia="zh-CN"/>
        </w:rPr>
      </w:pPr>
      <w:r>
        <w:rPr>
          <w:rFonts w:hint="eastAsia" w:ascii="仿宋_GB2312" w:hAnsi="Arial" w:eastAsia="仿宋_GB2312" w:cs="Arial"/>
          <w:snapToGrid w:val="0"/>
          <w:kern w:val="0"/>
          <w:sz w:val="32"/>
          <w:szCs w:val="32"/>
        </w:rPr>
        <w:t>（共印500份）</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5422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3A43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3A43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B23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E01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B92F9"/>
    <w:multiLevelType w:val="singleLevel"/>
    <w:tmpl w:val="DB4B92F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C7"/>
    <w:rsid w:val="002C1472"/>
    <w:rsid w:val="003C1827"/>
    <w:rsid w:val="00461266"/>
    <w:rsid w:val="00483F00"/>
    <w:rsid w:val="00A43F8B"/>
    <w:rsid w:val="00E023C7"/>
    <w:rsid w:val="00E364EC"/>
    <w:rsid w:val="00F670DC"/>
    <w:rsid w:val="02EC754A"/>
    <w:rsid w:val="05283431"/>
    <w:rsid w:val="06E633D6"/>
    <w:rsid w:val="0A086454"/>
    <w:rsid w:val="0CE37658"/>
    <w:rsid w:val="0D785517"/>
    <w:rsid w:val="0DBF68FD"/>
    <w:rsid w:val="0FB0621E"/>
    <w:rsid w:val="12E7196F"/>
    <w:rsid w:val="140F2CD4"/>
    <w:rsid w:val="14A32AD4"/>
    <w:rsid w:val="14AD7F5C"/>
    <w:rsid w:val="15DF791D"/>
    <w:rsid w:val="16E3154B"/>
    <w:rsid w:val="17D93FAB"/>
    <w:rsid w:val="18145E48"/>
    <w:rsid w:val="18B521DE"/>
    <w:rsid w:val="192A3A09"/>
    <w:rsid w:val="1B574618"/>
    <w:rsid w:val="1C6D6020"/>
    <w:rsid w:val="1C766D49"/>
    <w:rsid w:val="1CC47A8B"/>
    <w:rsid w:val="1DEE279B"/>
    <w:rsid w:val="247342C7"/>
    <w:rsid w:val="2656043E"/>
    <w:rsid w:val="28607CCE"/>
    <w:rsid w:val="28E83472"/>
    <w:rsid w:val="29257B04"/>
    <w:rsid w:val="2DC63FCC"/>
    <w:rsid w:val="310C3F30"/>
    <w:rsid w:val="31351AEA"/>
    <w:rsid w:val="3171670F"/>
    <w:rsid w:val="33374CF3"/>
    <w:rsid w:val="357E3311"/>
    <w:rsid w:val="3598340C"/>
    <w:rsid w:val="35A87AF3"/>
    <w:rsid w:val="3854365E"/>
    <w:rsid w:val="38DC2DF2"/>
    <w:rsid w:val="3B4465A1"/>
    <w:rsid w:val="3B623B86"/>
    <w:rsid w:val="3CDB6CF0"/>
    <w:rsid w:val="3FC41E29"/>
    <w:rsid w:val="40AD6798"/>
    <w:rsid w:val="425901A8"/>
    <w:rsid w:val="430E3CE9"/>
    <w:rsid w:val="47BC6660"/>
    <w:rsid w:val="4A196956"/>
    <w:rsid w:val="4A633B90"/>
    <w:rsid w:val="4C2D4213"/>
    <w:rsid w:val="4C7741CE"/>
    <w:rsid w:val="4F7D58B5"/>
    <w:rsid w:val="4FDE7CBA"/>
    <w:rsid w:val="4FEF7F84"/>
    <w:rsid w:val="50434ACC"/>
    <w:rsid w:val="53FB3558"/>
    <w:rsid w:val="5622217A"/>
    <w:rsid w:val="5B60623E"/>
    <w:rsid w:val="5C3B6762"/>
    <w:rsid w:val="5CFD5D90"/>
    <w:rsid w:val="5D4F2E55"/>
    <w:rsid w:val="5D9418E8"/>
    <w:rsid w:val="5DD710D5"/>
    <w:rsid w:val="5ECC5D50"/>
    <w:rsid w:val="5FCD6066"/>
    <w:rsid w:val="608A29CC"/>
    <w:rsid w:val="60D76161"/>
    <w:rsid w:val="64555F16"/>
    <w:rsid w:val="65AE0D99"/>
    <w:rsid w:val="65BE55C4"/>
    <w:rsid w:val="664C25DD"/>
    <w:rsid w:val="67D4720E"/>
    <w:rsid w:val="69501A18"/>
    <w:rsid w:val="6B541336"/>
    <w:rsid w:val="6C90622F"/>
    <w:rsid w:val="6E5145FC"/>
    <w:rsid w:val="6E631CBE"/>
    <w:rsid w:val="70F14522"/>
    <w:rsid w:val="71CC701F"/>
    <w:rsid w:val="723D4A31"/>
    <w:rsid w:val="762A60B3"/>
    <w:rsid w:val="78061E7B"/>
    <w:rsid w:val="782B18E2"/>
    <w:rsid w:val="79D552B2"/>
    <w:rsid w:val="7AE5221C"/>
    <w:rsid w:val="7C2B0910"/>
    <w:rsid w:val="7E32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10949</Words>
  <Characters>11666</Characters>
  <Lines>113</Lines>
  <Paragraphs>31</Paragraphs>
  <TotalTime>9</TotalTime>
  <ScaleCrop>false</ScaleCrop>
  <LinksUpToDate>false</LinksUpToDate>
  <CharactersWithSpaces>11718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2025-11-21T08:44:00Z</dcterms:created>
  <dc:creator>Administrator</dc:creator>
  <cp:lastModifiedBy>我想</cp:lastModifiedBy>
  <cp:lastPrinted>2026-03-26T03:47:00Z</cp:lastPrinted>
  <dcterms:modified xsi:type="dcterms:W3CDTF">2026-03-30T02:11:01Z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eyJoZGlkIjoiNDU2OTMyN2VkYWFmZjM0ODNlZjQwMmUyODM3ZDA4YWYiLCJ1c2VySWQiOiI0NjIwODIzNjAifQ==</vt:lpwstr>
  </property>
  <property fmtid="{D5CDD505-2E9C-101B-9397-08002B2CF9AE}" pid="3" name="KSOProductBuildVer">
    <vt:lpwstr>2052-12.1.0.25225</vt:lpwstr>
  </property>
  <property fmtid="{D5CDD505-2E9C-101B-9397-08002B2CF9AE}" pid="4" name="ICV">
    <vt:lpwstr>2AAE15CE9A9B468D9CC697A38F70C206_13</vt:lpwstr>
  </property>
</Properties>
</file>