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EF9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渑池县国有建设用地考古前置工作实施方案</w:t>
      </w:r>
    </w:p>
    <w:p w14:paraId="580265DF">
      <w:pPr>
        <w:spacing w:line="640" w:lineRule="exact"/>
        <w:jc w:val="center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（征求意见稿）</w:t>
      </w:r>
    </w:p>
    <w:bookmarkEnd w:id="0"/>
    <w:p w14:paraId="6C4A2E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448EAB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为全面落实“先考古、后出让、后建设”法定制度，严格规范我县国有建设用地考古调查、勘探前置管理工作，统筹平衡文物安全保护与项目建设发展需求，有效防范建设领域文物违法风险，持续优化营商环境，保障全县国土空间有序开发和经济社会高质量发展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结合我县文物资源分布及建设用地管理实际，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制定本实施方案。</w:t>
      </w:r>
    </w:p>
    <w:p w14:paraId="27F017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一、实施范围</w:t>
      </w:r>
    </w:p>
    <w:p w14:paraId="4FD0B7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本实施方案适用于渑池县范围内出让、划拨国有土地使用权，拟进行储备或供应的商业、住宅、工业、仓储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采矿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等用地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包括新增国有建设用地和收回的存量土地。</w:t>
      </w:r>
    </w:p>
    <w:p w14:paraId="69A611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下列情形不再重复开展考古前置：</w:t>
      </w:r>
    </w:p>
    <w:p w14:paraId="2AB0E2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已依法完成考古调查、勘探、发掘并出具正式文物考古结论文件的地块；</w:t>
      </w:r>
    </w:p>
    <w:p w14:paraId="7EF9E1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已完成土地供应、已竣工投入使用、历史已建成区域地块；</w:t>
      </w:r>
    </w:p>
    <w:p w14:paraId="02138F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法律法规规定豁免考古前置的特殊项目。</w:t>
      </w:r>
    </w:p>
    <w:p w14:paraId="40D463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、职责分工</w:t>
      </w:r>
    </w:p>
    <w:p w14:paraId="75AB4E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（一）县文广旅局</w:t>
      </w:r>
    </w:p>
    <w:p w14:paraId="6D7967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为考古前置工作牵头主体单位，负责全县考古前置工作统筹组织、业务指导、现场监管、成果审核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依规委托具备合法资质的考古勘探发掘单位开展作业，审核考古勘探工作报告，出具正式考古前置意见书。</w:t>
      </w:r>
    </w:p>
    <w:p w14:paraId="27D457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（二）县自然资源局</w:t>
      </w:r>
    </w:p>
    <w:p w14:paraId="21AE1B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负责用地源头管控，在土地征收、成片开发、地块储备、用地报批阶段，及时梳理拟供应地块清单，按时函告文物部门开展考古前置；精准提供地块红线、坐标、面积等技术资料；将文物考古意见书作为土地供应、用地审批的必备前置要件，无考古合规意见不得办理供地手续。</w:t>
      </w:r>
    </w:p>
    <w:p w14:paraId="245C51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（三）县财政局</w:t>
      </w:r>
    </w:p>
    <w:p w14:paraId="0C20B9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负责将全县考古调查、勘探、资料整理等相关工作经费足额纳入县级财政年度预算，实行全额保障、专款专用，按照流程及时拨付。</w:t>
      </w:r>
    </w:p>
    <w:p w14:paraId="51175F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县发改委、住建局、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行政审批和政务信息管理局</w:t>
      </w:r>
    </w:p>
    <w:p w14:paraId="067C7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在项目立项、规划许可、施工许可、工程报建等审批环节，严格核验考古前置手续，建立审批联动机制，对未完成考古前置、无合规文物意见的项目，不予审批、不予许可。</w:t>
      </w:r>
    </w:p>
    <w:p w14:paraId="5E0FA3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（五）各乡（镇）人民政府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韶阳街道办事处</w:t>
      </w:r>
    </w:p>
    <w:p w14:paraId="3CEE43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落实属地管理责任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，做好征地群众沟通协调、施工环境维护、现场秩序管控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配合文物、自然资源部门开展地块踏勘和考古作业。</w:t>
      </w:r>
    </w:p>
    <w:p w14:paraId="46D8E4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、规范工作流程</w:t>
      </w:r>
    </w:p>
    <w:p w14:paraId="0BAF5B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（一）地块移交告知</w:t>
      </w:r>
    </w:p>
    <w:p w14:paraId="6DD10A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县自然资源局确定年度、季度、月度拟供应国有建设用地地块后，5个工作日内向县文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旅局出具正式工作函，附地块矢量红线、权属说明、地块基本信息。</w:t>
      </w:r>
    </w:p>
    <w:p w14:paraId="4F0CAE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（二）组织考古作业</w:t>
      </w:r>
    </w:p>
    <w:p w14:paraId="3F31AF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县文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旅局收函后3个工作日内完成任务分派，委托具备考古勘探资质考古机构进场实施考古调查、勘探工作。</w:t>
      </w:r>
    </w:p>
    <w:p w14:paraId="1DC3DF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考古单位应于考古调查、勘探之日起20个工作日内（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因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天气等不可抗力和阻工等不确定因素除外），按照国家考古工作规范完成考古调查、勘探工作。情况复杂的，可适当延长；考古调查、勘探工作结束后7个工作日内，考古单位应当出具文物考古调查、勘探报告报至县文广旅局，县文广旅局委托相关机构对考古调查、勘探进行质量验收。</w:t>
      </w:r>
    </w:p>
    <w:p w14:paraId="59EB08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（三）成果审核出件</w:t>
      </w:r>
    </w:p>
    <w:p w14:paraId="2F274D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考古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完成野外作业及资料整理后，提交正式考古工作报告。县文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旅局在5个工作日内完成审核，出具《国有建设用地考古前置审查意见书》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206393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1.未发现文物遗存的，出具考古前置意见书，同意正常供地；</w:t>
      </w:r>
    </w:p>
    <w:p w14:paraId="2BF5B3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2.发现一般文物遗存的，明确保护性施工、局部清理处置意见；</w:t>
      </w:r>
    </w:p>
    <w:p w14:paraId="158CAD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3.发现重要古遗址、古墓群、文物富集区的，依法提出考古发掘、用地避让、规划调整、原址保护等处置意见。</w:t>
      </w:r>
    </w:p>
    <w:p w14:paraId="13E582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（四）审批闭环落地</w:t>
      </w:r>
    </w:p>
    <w:p w14:paraId="52520C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各审批部门严格以考古审查意见书为依据，开展后续用地、规划、施工审批；涉及重大文物发现的，由县政府统筹优化用地规划，待文物保护处置完毕后方可推进土地供应和项目建设。</w:t>
      </w:r>
    </w:p>
    <w:p w14:paraId="430343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、经费与资质管理</w:t>
      </w:r>
    </w:p>
    <w:p w14:paraId="1E893D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经费保障</w:t>
      </w:r>
    </w:p>
    <w:p w14:paraId="65E71F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考古前置所有工作经费由县级财政全额承担，纳入常态化预算保障，统一由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县文广旅局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按程序申报、财政部门审核拨付。</w:t>
      </w:r>
    </w:p>
    <w:p w14:paraId="522D9C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资质管理</w:t>
      </w:r>
    </w:p>
    <w:p w14:paraId="1D011D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所有考古作业必须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省级文物部门备案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并委任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具备合法考古勘探发掘资质的专业机构实施，严禁无资质单位开展文物考古作业。</w:t>
      </w:r>
    </w:p>
    <w:p w14:paraId="30FB9F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质量管理</w:t>
      </w:r>
    </w:p>
    <w:p w14:paraId="1DF48B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县文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旅局全程监管考古勘探调查作业流程、作业标准、成果质量，确保工作合规、资料完整、结论准确。</w:t>
      </w:r>
    </w:p>
    <w:p w14:paraId="086C29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、工作要求</w:t>
      </w:r>
    </w:p>
    <w:p w14:paraId="3F6613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（一）压实工作责任</w:t>
      </w:r>
    </w:p>
    <w:p w14:paraId="24F832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严格执行考古前置刚性制度，坚决杜绝“先建设、后考古”“边建设、边考古”等违规行为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对履职不力、审批不严、规避程序造成文物损毁的，依规依纪严肃追责问责。</w:t>
      </w:r>
    </w:p>
    <w:p w14:paraId="7732FD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（二）健全联动机制</w:t>
      </w:r>
    </w:p>
    <w:p w14:paraId="790914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渑池县关于加强文物保护单位监管实行网格化管理的工作机制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（详见附件），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定期调度考古前置推进情况，破解地块推进慢、衔接不顺畅等问题，持续提升审批服务效率。</w:t>
      </w:r>
    </w:p>
    <w:p w14:paraId="6005D3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（三）强化监督检查</w:t>
      </w:r>
    </w:p>
    <w:p w14:paraId="390476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县高质量发展促进中心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将考古前置制度落实情况纳入常态化督查范围，对工作滞后、推诿扯皮、落实不到位的单位进行通报督办。</w:t>
      </w:r>
    </w:p>
    <w:p w14:paraId="32ED78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32"/>
        </w:rPr>
        <w:t>（四）加强宣传引导</w:t>
      </w:r>
    </w:p>
    <w:p w14:paraId="6F9DD1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通过政务公开、政策宣讲、企业告知等方式，全面普及考古前置政策要求，引导建设单位自觉遵守文物保护法律法规，营造依法建设、主动保护文物的良好氛围。</w:t>
      </w:r>
    </w:p>
    <w:p w14:paraId="40A121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781A3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left="1380" w:leftChars="200" w:hanging="960" w:hangingChars="3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附件：渑池县关于加强文物保护单位监管实行网格化管理的工作机制</w:t>
      </w:r>
    </w:p>
    <w:p w14:paraId="343D6F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462AE7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1ECCF8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510A1E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 w14:paraId="223A31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附  件</w:t>
      </w:r>
    </w:p>
    <w:p w14:paraId="7EE46D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</w:p>
    <w:p w14:paraId="78D9C4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渑池县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  <w:t>关于加强文物保护单位监管实行</w:t>
      </w:r>
    </w:p>
    <w:p w14:paraId="61E1D5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  <w:t>网格化管理的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工作机制</w:t>
      </w:r>
    </w:p>
    <w:p w14:paraId="4F4D7D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</w:p>
    <w:p w14:paraId="0E3F15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t>网格划分与责任体系</w:t>
      </w:r>
    </w:p>
    <w:p w14:paraId="33208F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按照“属地管理、就近划片、责任清晰”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原则，对全县5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84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处文物保护单位实行全域网格划分，建立三级网格架构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3D9F64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  <w:t>（一）一级网格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  <w:t>县级总网格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）</w:t>
      </w:r>
    </w:p>
    <w:p w14:paraId="52B21B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责任主体：县文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广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旅局</w:t>
      </w:r>
    </w:p>
    <w:p w14:paraId="0CAB0F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网格长：县政府分管领导任总网格长，县文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广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旅局主要负责同志任执行网格长。</w:t>
      </w:r>
    </w:p>
    <w:p w14:paraId="09F1EF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管理职责：统筹全县5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84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处文物保护单位网格化管理工作，制定管理制度、考核办法；对各乡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网格履职情况开展督导检查、业务培训、执法巡查；牵头开展文物安全专项整治，协调公安、自然资源、应急等部门联合执法；对跨乡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文物保护单位、国保、省保单位实施重点督导，统筹解决重大安全隐患。</w:t>
      </w:r>
    </w:p>
    <w:p w14:paraId="050CBA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  <w:t>（二）二级网格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  <w:t>乡镇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  <w:t>片区网格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）</w:t>
      </w:r>
    </w:p>
    <w:p w14:paraId="3336C1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责任主体：各乡（镇）人民政府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韶阳街道办事处</w:t>
      </w:r>
    </w:p>
    <w:p w14:paraId="2B18CC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网格长：主要负责同志任网格长，分管文化、文物工作副职任副网格长。</w:t>
      </w:r>
    </w:p>
    <w:p w14:paraId="75A0BB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管理职责：对辖区内所有文物保护单位分片划区，逐一明确点位责任人；组织开展常态化文物巡查，建立巡查台账，及时上报损毁、盗掘、违法施工等问题；落实野外文物、古墓葬、古遗址日常巡护，组织开展文物消防安全排查；管理考核村级文物保护员，保障基层文物管护工作落地。</w:t>
      </w:r>
    </w:p>
    <w:p w14:paraId="61671F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  <w:t>（三）三级网格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  <w:t>村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  <w:t>级点位网格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）</w:t>
      </w:r>
    </w:p>
    <w:p w14:paraId="5C741C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责任主体：各行政村（社区）</w:t>
      </w:r>
    </w:p>
    <w:p w14:paraId="208BCD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网格长：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主要负责同志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为第一责任人，每处文物保护单位明确1名专职或兼职文物保护员。</w:t>
      </w:r>
    </w:p>
    <w:p w14:paraId="41C360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管理职责：对分配到本村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的文物保护点位实行一对一管护，全县5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84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处文物保护单位全部落实村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级管护责任人；开展日常巡查值守，重点巡查野外遗址、古墓葬、古建筑，及时制止私挖乱建、乱堆乱放、擅自施工等行为；做好文物保护政策宣传，发现险情、险情第一时间上报乡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及县级文物部门；配合开展文物修缮、安防建设、保护标志维护等工作。</w:t>
      </w:r>
    </w:p>
    <w:p w14:paraId="5F1BB8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t>、工作运行机制</w:t>
      </w:r>
    </w:p>
    <w:p w14:paraId="0E11A8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  <w:t>台账动态管理机制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以全县5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84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处文物保护单位为基础，建立全县统一文物保护网格化管理台账，明确每一处文物的名称、级别、地理位置、保护范围、网格责任人、联系电话，做到一单位一台账、一网格一档案，实现精准管理。</w:t>
      </w:r>
    </w:p>
    <w:p w14:paraId="37522E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  <w:t>常态化巡查机制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县级网格每季度开展全覆盖督导巡查，重点抽查高风险点位；乡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）、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网格每月开展不少于1次全域巡查；村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级网格野外文物点每周至少巡查2次，古建筑、重要遗址每日巡查，做好巡查记录。</w:t>
      </w:r>
    </w:p>
    <w:p w14:paraId="4C3A83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  <w:t>隐患快速处置机制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实行隐患“发现—上报—交办—处置—销号”闭环管理，对巡查发现的安全隐患，第一时间逐级上报，限期整改落实，确保问题早发现、早处置。</w:t>
      </w:r>
    </w:p>
    <w:p w14:paraId="20DA02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</w:rPr>
        <w:t>联合执法联动机制</w:t>
      </w:r>
      <w:r>
        <w:rPr>
          <w:rFonts w:hint="eastAsia" w:ascii="Times New Roman" w:hAnsi="Times New Roman" w:eastAsia="楷体_GB2312" w:cs="楷体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县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文广旅局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定期组织公安、自然资源等部门开展联合执法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，严厉打击盗掘古文化遗址、古墓葬、损毁文物、违法建设等违法行为，形成监管合力。</w:t>
      </w:r>
    </w:p>
    <w:p w14:paraId="1196FFD1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704B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30DD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30DD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9C5F8"/>
    <w:multiLevelType w:val="singleLevel"/>
    <w:tmpl w:val="4049C5F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45676"/>
    <w:rsid w:val="06845676"/>
    <w:rsid w:val="098B3EEE"/>
    <w:rsid w:val="181369A7"/>
    <w:rsid w:val="232E1AFF"/>
    <w:rsid w:val="4DA301D4"/>
    <w:rsid w:val="5E5A69A4"/>
    <w:rsid w:val="6A51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4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uiPriority w:val="0"/>
    <w:pPr>
      <w:jc w:val="center"/>
    </w:pPr>
    <w:rPr>
      <w:rFonts w:ascii="Calibri" w:hAnsi="Calibri" w:eastAsia="华文中宋" w:cs="Calibri"/>
      <w:b/>
      <w:bCs/>
      <w:w w:val="80"/>
      <w:sz w:val="76"/>
      <w:szCs w:val="76"/>
    </w:rPr>
  </w:style>
  <w:style w:type="paragraph" w:customStyle="1" w:styleId="4">
    <w:name w:val="Body Text First Indent 21"/>
    <w:basedOn w:val="5"/>
    <w:qFormat/>
    <w:uiPriority w:val="0"/>
    <w:pPr>
      <w:spacing w:after="120" w:afterLines="0"/>
      <w:ind w:left="420" w:leftChars="200" w:firstLine="420" w:firstLineChars="200"/>
    </w:pPr>
  </w:style>
  <w:style w:type="paragraph" w:customStyle="1" w:styleId="5">
    <w:name w:val="Body Text Indent1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2026-05-27T07:57:00Z</dcterms:created>
  <dc:creator>MT</dc:creator>
  <cp:lastModifiedBy>MT</cp:lastModifiedBy>
  <dcterms:modified xsi:type="dcterms:W3CDTF">2026-05-27T07:59:12Z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1A21CC77010D43D4BFEEEF5E955FC09B_11</vt:lpwstr>
  </property>
  <property fmtid="{D5CDD505-2E9C-101B-9397-08002B2CF9AE}" pid="4" name="KSOTemplateDocerSaveRecord">
    <vt:lpwstr>eyJoZGlkIjoiMzVjZDI5ZWYwOTU4N2NkYjU4NTQ4Mzg0MTU1ZTA5MmMiLCJ1c2VySWQiOiIyOTg3NTAxMDAifQ==</vt:lpwstr>
  </property>
</Properties>
</file>